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53" w:lineRule="exact"/>
        <w:rPr>
          <w:sz w:val="24"/>
          <w:szCs w:val="24"/>
          <w:color w:val="auto"/>
        </w:rPr>
      </w:pPr>
    </w:p>
    <w:p>
      <w:pPr>
        <w:ind w:left="3900" w:right="3900" w:hanging="3660"/>
        <w:spacing w:after="0" w:line="311" w:lineRule="auto"/>
        <w:tabs>
          <w:tab w:leader="none" w:pos="588"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March 31, 2017</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54" w:lineRule="exact"/>
        <w:rPr>
          <w:sz w:val="24"/>
          <w:szCs w:val="24"/>
          <w:color w:val="auto"/>
        </w:rPr>
      </w:pPr>
    </w:p>
    <w:p>
      <w:pPr>
        <w:ind w:left="580" w:hanging="327"/>
        <w:spacing w:after="0"/>
        <w:tabs>
          <w:tab w:leader="none" w:pos="580" w:val="left"/>
        </w:tabs>
        <w:numPr>
          <w:ilvl w:val="0"/>
          <w:numId w:val="2"/>
        </w:numPr>
        <w:rPr>
          <w:rFonts w:ascii="Arial" w:cs="Arial" w:eastAsia="Arial" w:hAnsi="Arial"/>
          <w:sz w:val="29"/>
          <w:szCs w:val="29"/>
          <w:color w:val="auto"/>
          <w:vertAlign w:val="subscript"/>
        </w:rPr>
      </w:pPr>
      <w:r>
        <w:rPr>
          <w:rFonts w:ascii="Arial" w:cs="Arial" w:eastAsia="Arial" w:hAnsi="Arial"/>
          <w:sz w:val="18"/>
          <w:szCs w:val="18"/>
          <w:b w:val="1"/>
          <w:bCs w:val="1"/>
          <w:color w:val="auto"/>
        </w:rPr>
        <w:t>Transition Report pursuant to Section 13 or 15(d) of the Securities Exchange Act of 1934</w:t>
      </w:r>
    </w:p>
    <w:p>
      <w:pPr>
        <w:spacing w:after="0" w:line="15" w:lineRule="exact"/>
        <w:rPr>
          <w:sz w:val="24"/>
          <w:szCs w:val="24"/>
          <w:color w:val="auto"/>
        </w:rPr>
      </w:pPr>
    </w:p>
    <w:p>
      <w:pPr>
        <w:ind w:left="3460"/>
        <w:spacing w:after="0"/>
        <w:tabs>
          <w:tab w:leader="none" w:pos="6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2037715</wp:posOffset>
            </wp:positionH>
            <wp:positionV relativeFrom="paragraph">
              <wp:posOffset>99060</wp:posOffset>
            </wp:positionV>
            <wp:extent cx="32588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2569210</wp:posOffset>
            </wp:positionH>
            <wp:positionV relativeFrom="paragraph">
              <wp:posOffset>193675</wp:posOffset>
            </wp:positionV>
            <wp:extent cx="2204085" cy="660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04085" cy="660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p>
      <w:pPr>
        <w:jc w:val="center"/>
        <w:ind w:right="-119"/>
        <w:spacing w:after="0"/>
        <w:rPr>
          <w:sz w:val="20"/>
          <w:szCs w:val="20"/>
          <w:color w:val="auto"/>
        </w:rPr>
      </w:pPr>
      <w:r>
        <w:rPr>
          <w:rFonts w:ascii="Arial" w:cs="Arial" w:eastAsia="Arial" w:hAnsi="Arial"/>
          <w:sz w:val="16"/>
          <w:szCs w:val="16"/>
          <w:color w:val="auto"/>
        </w:rPr>
        <w:t>Exact Name of Registrant; State of</w:t>
      </w:r>
    </w:p>
    <w:p>
      <w:pPr>
        <w:spacing w:after="0" w:line="22" w:lineRule="exact"/>
        <w:rPr>
          <w:sz w:val="24"/>
          <w:szCs w:val="24"/>
          <w:color w:val="auto"/>
        </w:rPr>
      </w:pPr>
    </w:p>
    <w:p>
      <w:pPr>
        <w:jc w:val="center"/>
        <w:ind w:right="-119"/>
        <w:spacing w:after="0"/>
        <w:rPr>
          <w:sz w:val="20"/>
          <w:szCs w:val="20"/>
          <w:color w:val="auto"/>
        </w:rPr>
      </w:pPr>
      <w:r>
        <w:rPr>
          <w:rFonts w:ascii="Arial" w:cs="Arial" w:eastAsia="Arial" w:hAnsi="Arial"/>
          <w:sz w:val="16"/>
          <w:szCs w:val="16"/>
          <w:color w:val="auto"/>
        </w:rPr>
        <w:t>Incorporation; Address and Telephone</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040" w:type="dxa"/>
            <w:vAlign w:val="bottom"/>
            <w:tcBorders>
              <w:bottom w:val="single" w:sz="8" w:color="auto"/>
            </w:tcBorders>
          </w:tcPr>
          <w:p>
            <w:pPr>
              <w:jc w:val="center"/>
              <w:ind w:left="108"/>
              <w:spacing w:after="0"/>
              <w:rPr>
                <w:sz w:val="20"/>
                <w:szCs w:val="20"/>
                <w:color w:val="auto"/>
              </w:rPr>
            </w:pPr>
            <w:r>
              <w:rPr>
                <w:rFonts w:ascii="Arial" w:cs="Arial" w:eastAsia="Arial" w:hAnsi="Arial"/>
                <w:sz w:val="14"/>
                <w:szCs w:val="14"/>
                <w:color w:val="auto"/>
                <w:w w:val="95"/>
              </w:rPr>
              <w:t>Commission File Number</w:t>
            </w:r>
          </w:p>
        </w:tc>
        <w:tc>
          <w:tcPr>
            <w:tcW w:w="5320" w:type="dxa"/>
            <w:vAlign w:val="bottom"/>
            <w:tcBorders>
              <w:bottom w:val="single" w:sz="8" w:color="auto"/>
            </w:tcBorders>
          </w:tcPr>
          <w:p>
            <w:pPr>
              <w:jc w:val="center"/>
              <w:ind w:left="46"/>
              <w:spacing w:after="0"/>
              <w:rPr>
                <w:sz w:val="20"/>
                <w:szCs w:val="20"/>
                <w:color w:val="auto"/>
              </w:rPr>
            </w:pPr>
            <w:r>
              <w:rPr>
                <w:rFonts w:ascii="Arial" w:cs="Arial" w:eastAsia="Arial" w:hAnsi="Arial"/>
                <w:sz w:val="16"/>
                <w:szCs w:val="16"/>
                <w:color w:val="auto"/>
                <w:w w:val="94"/>
              </w:rPr>
              <w:t>Number of Principal Executive Offices</w:t>
            </w:r>
          </w:p>
        </w:tc>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I.R.S. Employer Identification No.</w:t>
            </w:r>
          </w:p>
        </w:tc>
        <w:tc>
          <w:tcPr>
            <w:tcW w:w="0" w:type="dxa"/>
            <w:vAlign w:val="bottom"/>
          </w:tcPr>
          <w:p>
            <w:pPr>
              <w:spacing w:after="0"/>
              <w:rPr>
                <w:sz w:val="1"/>
                <w:szCs w:val="1"/>
                <w:color w:val="auto"/>
              </w:rPr>
            </w:pPr>
          </w:p>
        </w:tc>
      </w:tr>
      <w:tr>
        <w:trPr>
          <w:trHeight w:val="190"/>
        </w:trPr>
        <w:tc>
          <w:tcPr>
            <w:tcW w:w="3040" w:type="dxa"/>
            <w:vAlign w:val="bottom"/>
          </w:tcPr>
          <w:p>
            <w:pPr>
              <w:jc w:val="center"/>
              <w:ind w:left="108"/>
              <w:spacing w:after="0"/>
              <w:rPr>
                <w:sz w:val="20"/>
                <w:szCs w:val="20"/>
                <w:color w:val="auto"/>
              </w:rPr>
            </w:pPr>
            <w:r>
              <w:rPr>
                <w:rFonts w:ascii="Arial" w:cs="Arial" w:eastAsia="Arial" w:hAnsi="Arial"/>
                <w:sz w:val="14"/>
                <w:szCs w:val="14"/>
                <w:b w:val="1"/>
                <w:bCs w:val="1"/>
                <w:color w:val="auto"/>
                <w:w w:val="92"/>
              </w:rPr>
              <w:t>001-32871</w:t>
            </w:r>
          </w:p>
        </w:tc>
        <w:tc>
          <w:tcPr>
            <w:tcW w:w="5320" w:type="dxa"/>
            <w:vAlign w:val="bottom"/>
            <w:vMerge w:val="restart"/>
          </w:tcPr>
          <w:p>
            <w:pPr>
              <w:jc w:val="center"/>
              <w:ind w:left="46"/>
              <w:spacing w:after="0"/>
              <w:rPr>
                <w:sz w:val="20"/>
                <w:szCs w:val="20"/>
                <w:color w:val="auto"/>
              </w:rPr>
            </w:pPr>
            <w:r>
              <w:rPr>
                <w:rFonts w:ascii="Arial" w:cs="Arial" w:eastAsia="Arial" w:hAnsi="Arial"/>
                <w:sz w:val="29"/>
                <w:szCs w:val="29"/>
                <w:b w:val="1"/>
                <w:bCs w:val="1"/>
                <w:color w:val="auto"/>
                <w:w w:val="99"/>
              </w:rPr>
              <w:t>COMCAST CORPORATION</w:t>
            </w:r>
          </w:p>
        </w:tc>
        <w:tc>
          <w:tcPr>
            <w:tcW w:w="3060" w:type="dxa"/>
            <w:vAlign w:val="bottom"/>
          </w:tcPr>
          <w:p>
            <w:pPr>
              <w:jc w:val="center"/>
              <w:spacing w:after="0"/>
              <w:rPr>
                <w:sz w:val="20"/>
                <w:szCs w:val="20"/>
                <w:color w:val="auto"/>
              </w:rPr>
            </w:pPr>
            <w:r>
              <w:rPr>
                <w:rFonts w:ascii="Arial" w:cs="Arial" w:eastAsia="Arial" w:hAnsi="Arial"/>
                <w:sz w:val="14"/>
                <w:szCs w:val="14"/>
                <w:b w:val="1"/>
                <w:bCs w:val="1"/>
                <w:color w:val="auto"/>
                <w:w w:val="90"/>
              </w:rPr>
              <w:t>27-0000798</w:t>
            </w:r>
          </w:p>
        </w:tc>
        <w:tc>
          <w:tcPr>
            <w:tcW w:w="0" w:type="dxa"/>
            <w:vAlign w:val="bottom"/>
          </w:tcPr>
          <w:p>
            <w:pPr>
              <w:spacing w:after="0"/>
              <w:rPr>
                <w:sz w:val="1"/>
                <w:szCs w:val="1"/>
                <w:color w:val="auto"/>
              </w:rPr>
            </w:pPr>
          </w:p>
        </w:tc>
      </w:tr>
      <w:tr>
        <w:trPr>
          <w:trHeight w:val="184"/>
        </w:trPr>
        <w:tc>
          <w:tcPr>
            <w:tcW w:w="3040" w:type="dxa"/>
            <w:vAlign w:val="bottom"/>
          </w:tcPr>
          <w:p>
            <w:pPr>
              <w:spacing w:after="0"/>
              <w:rPr>
                <w:sz w:val="16"/>
                <w:szCs w:val="16"/>
                <w:color w:val="auto"/>
              </w:rPr>
            </w:pPr>
          </w:p>
        </w:tc>
        <w:tc>
          <w:tcPr>
            <w:tcW w:w="5320" w:type="dxa"/>
            <w:vAlign w:val="bottom"/>
            <w:vMerge w:val="continue"/>
          </w:tcPr>
          <w:p>
            <w:pPr>
              <w:spacing w:after="0"/>
              <w:rPr>
                <w:sz w:val="16"/>
                <w:szCs w:val="16"/>
                <w:color w:val="auto"/>
              </w:rPr>
            </w:pPr>
          </w:p>
        </w:tc>
        <w:tc>
          <w:tcPr>
            <w:tcW w:w="3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040" w:type="dxa"/>
            <w:vAlign w:val="bottom"/>
          </w:tcPr>
          <w:p>
            <w:pPr>
              <w:spacing w:after="0"/>
              <w:rPr>
                <w:sz w:val="14"/>
                <w:szCs w:val="14"/>
                <w:color w:val="auto"/>
              </w:rPr>
            </w:pPr>
          </w:p>
        </w:tc>
        <w:tc>
          <w:tcPr>
            <w:tcW w:w="5320" w:type="dxa"/>
            <w:vAlign w:val="bottom"/>
          </w:tcPr>
          <w:p>
            <w:pPr>
              <w:jc w:val="center"/>
              <w:ind w:left="66"/>
              <w:spacing w:after="0"/>
              <w:rPr>
                <w:sz w:val="20"/>
                <w:szCs w:val="20"/>
                <w:color w:val="auto"/>
              </w:rPr>
            </w:pPr>
            <w:r>
              <w:rPr>
                <w:rFonts w:ascii="Arial" w:cs="Arial" w:eastAsia="Arial" w:hAnsi="Arial"/>
                <w:sz w:val="14"/>
                <w:szCs w:val="14"/>
                <w:b w:val="1"/>
                <w:bCs w:val="1"/>
                <w:color w:val="auto"/>
              </w:rPr>
              <w:t>PENNSYLVANIA</w:t>
            </w:r>
          </w:p>
        </w:tc>
        <w:tc>
          <w:tcPr>
            <w:tcW w:w="3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5320" w:type="dxa"/>
            <w:vAlign w:val="bottom"/>
          </w:tcPr>
          <w:p>
            <w:pPr>
              <w:jc w:val="center"/>
              <w:ind w:left="66"/>
              <w:spacing w:after="0" w:line="149" w:lineRule="exact"/>
              <w:rPr>
                <w:sz w:val="20"/>
                <w:szCs w:val="20"/>
                <w:color w:val="auto"/>
              </w:rPr>
            </w:pPr>
            <w:r>
              <w:rPr>
                <w:rFonts w:ascii="Arial" w:cs="Arial" w:eastAsia="Arial" w:hAnsi="Arial"/>
                <w:sz w:val="14"/>
                <w:szCs w:val="14"/>
                <w:b w:val="1"/>
                <w:bCs w:val="1"/>
                <w:color w:val="auto"/>
                <w:w w:val="92"/>
              </w:rPr>
              <w:t>One Comcast Center</w:t>
            </w:r>
          </w:p>
        </w:tc>
        <w:tc>
          <w:tcPr>
            <w:tcW w:w="3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5320" w:type="dxa"/>
            <w:vAlign w:val="bottom"/>
          </w:tcPr>
          <w:p>
            <w:pPr>
              <w:jc w:val="center"/>
              <w:ind w:left="66"/>
              <w:spacing w:after="0" w:line="149" w:lineRule="exact"/>
              <w:rPr>
                <w:sz w:val="20"/>
                <w:szCs w:val="20"/>
                <w:color w:val="auto"/>
              </w:rPr>
            </w:pPr>
            <w:r>
              <w:rPr>
                <w:rFonts w:ascii="Arial" w:cs="Arial" w:eastAsia="Arial" w:hAnsi="Arial"/>
                <w:sz w:val="14"/>
                <w:szCs w:val="14"/>
                <w:b w:val="1"/>
                <w:bCs w:val="1"/>
                <w:color w:val="auto"/>
                <w:w w:val="93"/>
              </w:rPr>
              <w:t>Philadelphia, PA 19103-2838</w:t>
            </w:r>
          </w:p>
        </w:tc>
        <w:tc>
          <w:tcPr>
            <w:tcW w:w="3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040" w:type="dxa"/>
            <w:vAlign w:val="bottom"/>
          </w:tcPr>
          <w:p>
            <w:pPr>
              <w:spacing w:after="0"/>
              <w:rPr>
                <w:sz w:val="16"/>
                <w:szCs w:val="16"/>
                <w:color w:val="auto"/>
              </w:rPr>
            </w:pPr>
          </w:p>
        </w:tc>
        <w:tc>
          <w:tcPr>
            <w:tcW w:w="5320" w:type="dxa"/>
            <w:vAlign w:val="bottom"/>
          </w:tcPr>
          <w:p>
            <w:pPr>
              <w:jc w:val="center"/>
              <w:ind w:left="46"/>
              <w:spacing w:after="0"/>
              <w:rPr>
                <w:sz w:val="20"/>
                <w:szCs w:val="20"/>
                <w:color w:val="auto"/>
              </w:rPr>
            </w:pPr>
            <w:r>
              <w:rPr>
                <w:rFonts w:ascii="Arial" w:cs="Arial" w:eastAsia="Arial" w:hAnsi="Arial"/>
                <w:sz w:val="14"/>
                <w:szCs w:val="14"/>
                <w:b w:val="1"/>
                <w:bCs w:val="1"/>
                <w:color w:val="auto"/>
                <w:w w:val="93"/>
              </w:rPr>
              <w:t>(215) 286-1700</w:t>
            </w:r>
          </w:p>
        </w:tc>
        <w:tc>
          <w:tcPr>
            <w:tcW w:w="3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3040" w:type="dxa"/>
            <w:vAlign w:val="bottom"/>
          </w:tcPr>
          <w:p>
            <w:pPr>
              <w:jc w:val="center"/>
              <w:ind w:left="108"/>
              <w:spacing w:after="0"/>
              <w:rPr>
                <w:sz w:val="20"/>
                <w:szCs w:val="20"/>
                <w:color w:val="auto"/>
              </w:rPr>
            </w:pPr>
            <w:r>
              <w:rPr>
                <w:rFonts w:ascii="Arial" w:cs="Arial" w:eastAsia="Arial" w:hAnsi="Arial"/>
                <w:sz w:val="14"/>
                <w:szCs w:val="14"/>
                <w:b w:val="1"/>
                <w:bCs w:val="1"/>
                <w:color w:val="auto"/>
                <w:w w:val="92"/>
              </w:rPr>
              <w:t>001-36438</w:t>
            </w:r>
          </w:p>
        </w:tc>
        <w:tc>
          <w:tcPr>
            <w:tcW w:w="5320" w:type="dxa"/>
            <w:vAlign w:val="bottom"/>
            <w:vMerge w:val="restart"/>
          </w:tcPr>
          <w:p>
            <w:pPr>
              <w:jc w:val="center"/>
              <w:ind w:left="66"/>
              <w:spacing w:after="0"/>
              <w:rPr>
                <w:sz w:val="20"/>
                <w:szCs w:val="20"/>
                <w:color w:val="auto"/>
              </w:rPr>
            </w:pPr>
            <w:r>
              <w:rPr>
                <w:rFonts w:ascii="Arial" w:cs="Arial" w:eastAsia="Arial" w:hAnsi="Arial"/>
                <w:sz w:val="29"/>
                <w:szCs w:val="29"/>
                <w:b w:val="1"/>
                <w:bCs w:val="1"/>
                <w:color w:val="auto"/>
              </w:rPr>
              <w:t>NBCUNIVERSAL MEDIA, LLC</w:t>
            </w:r>
          </w:p>
        </w:tc>
        <w:tc>
          <w:tcPr>
            <w:tcW w:w="3060" w:type="dxa"/>
            <w:vAlign w:val="bottom"/>
          </w:tcPr>
          <w:p>
            <w:pPr>
              <w:jc w:val="center"/>
              <w:spacing w:after="0"/>
              <w:rPr>
                <w:sz w:val="20"/>
                <w:szCs w:val="20"/>
                <w:color w:val="auto"/>
              </w:rPr>
            </w:pPr>
            <w:r>
              <w:rPr>
                <w:rFonts w:ascii="Arial" w:cs="Arial" w:eastAsia="Arial" w:hAnsi="Arial"/>
                <w:sz w:val="14"/>
                <w:szCs w:val="14"/>
                <w:b w:val="1"/>
                <w:bCs w:val="1"/>
                <w:color w:val="auto"/>
                <w:w w:val="90"/>
              </w:rPr>
              <w:t>14-1682529</w:t>
            </w:r>
          </w:p>
        </w:tc>
        <w:tc>
          <w:tcPr>
            <w:tcW w:w="0" w:type="dxa"/>
            <w:vAlign w:val="bottom"/>
          </w:tcPr>
          <w:p>
            <w:pPr>
              <w:spacing w:after="0"/>
              <w:rPr>
                <w:sz w:val="1"/>
                <w:szCs w:val="1"/>
                <w:color w:val="auto"/>
              </w:rPr>
            </w:pPr>
          </w:p>
        </w:tc>
      </w:tr>
      <w:tr>
        <w:trPr>
          <w:trHeight w:val="179"/>
        </w:trPr>
        <w:tc>
          <w:tcPr>
            <w:tcW w:w="3040" w:type="dxa"/>
            <w:vAlign w:val="bottom"/>
          </w:tcPr>
          <w:p>
            <w:pPr>
              <w:spacing w:after="0"/>
              <w:rPr>
                <w:sz w:val="15"/>
                <w:szCs w:val="15"/>
                <w:color w:val="auto"/>
              </w:rPr>
            </w:pPr>
          </w:p>
        </w:tc>
        <w:tc>
          <w:tcPr>
            <w:tcW w:w="5320" w:type="dxa"/>
            <w:vAlign w:val="bottom"/>
            <w:vMerge w:val="continue"/>
          </w:tcPr>
          <w:p>
            <w:pPr>
              <w:spacing w:after="0"/>
              <w:rPr>
                <w:sz w:val="15"/>
                <w:szCs w:val="15"/>
                <w:color w:val="auto"/>
              </w:rPr>
            </w:pPr>
          </w:p>
        </w:tc>
        <w:tc>
          <w:tcPr>
            <w:tcW w:w="30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DELAWARE</w:t>
      </w:r>
    </w:p>
    <w:p>
      <w:pPr>
        <w:jc w:val="center"/>
        <w:ind w:right="-119"/>
        <w:spacing w:after="0" w:line="226" w:lineRule="auto"/>
        <w:rPr>
          <w:sz w:val="20"/>
          <w:szCs w:val="20"/>
          <w:color w:val="auto"/>
        </w:rPr>
      </w:pPr>
      <w:r>
        <w:rPr>
          <w:rFonts w:ascii="Arial" w:cs="Arial" w:eastAsia="Arial" w:hAnsi="Arial"/>
          <w:sz w:val="14"/>
          <w:szCs w:val="14"/>
          <w:b w:val="1"/>
          <w:bCs w:val="1"/>
          <w:color w:val="auto"/>
        </w:rPr>
        <w:t>30 Rockefeller Plaza</w:t>
      </w:r>
    </w:p>
    <w:p>
      <w:pPr>
        <w:jc w:val="center"/>
        <w:ind w:right="-119"/>
        <w:spacing w:after="0" w:line="222" w:lineRule="auto"/>
        <w:rPr>
          <w:sz w:val="20"/>
          <w:szCs w:val="20"/>
          <w:color w:val="auto"/>
        </w:rPr>
      </w:pPr>
      <w:r>
        <w:rPr>
          <w:rFonts w:ascii="Arial" w:cs="Arial" w:eastAsia="Arial" w:hAnsi="Arial"/>
          <w:sz w:val="14"/>
          <w:szCs w:val="14"/>
          <w:b w:val="1"/>
          <w:bCs w:val="1"/>
          <w:color w:val="auto"/>
        </w:rPr>
        <w:t>New York, NY 10112-0015</w:t>
      </w:r>
    </w:p>
    <w:p>
      <w:pPr>
        <w:jc w:val="center"/>
        <w:ind w:right="-119"/>
        <w:spacing w:after="0"/>
        <w:rPr>
          <w:sz w:val="20"/>
          <w:szCs w:val="20"/>
          <w:color w:val="auto"/>
        </w:rPr>
      </w:pPr>
      <w:r>
        <w:rPr>
          <w:rFonts w:ascii="Arial" w:cs="Arial" w:eastAsia="Arial" w:hAnsi="Arial"/>
          <w:sz w:val="14"/>
          <w:szCs w:val="14"/>
          <w:b w:val="1"/>
          <w:bCs w:val="1"/>
          <w:color w:val="auto"/>
        </w:rPr>
        <w:t>(212) 664-4444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2037715</wp:posOffset>
            </wp:positionH>
            <wp:positionV relativeFrom="paragraph">
              <wp:posOffset>13335</wp:posOffset>
            </wp:positionV>
            <wp:extent cx="32588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34" w:lineRule="exact"/>
        <w:rPr>
          <w:sz w:val="24"/>
          <w:szCs w:val="24"/>
          <w:color w:val="auto"/>
        </w:rPr>
      </w:pPr>
    </w:p>
    <w:p>
      <w:pPr>
        <w:jc w:val="both"/>
        <w:spacing w:after="0" w:line="273"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w:t>
      </w:r>
    </w:p>
    <w:p>
      <w:pPr>
        <w:spacing w:after="0" w:line="120" w:lineRule="exact"/>
        <w:rPr>
          <w:sz w:val="24"/>
          <w:szCs w:val="24"/>
          <w:color w:val="auto"/>
        </w:rPr>
      </w:pPr>
    </w:p>
    <w:tbl>
      <w:tblPr>
        <w:tblLayout w:type="fixed"/>
        <w:tblInd w:w="3240" w:type="dxa"/>
        <w:tblCellMar>
          <w:top w:w="0" w:type="dxa"/>
          <w:left w:w="0" w:type="dxa"/>
          <w:bottom w:w="0" w:type="dxa"/>
          <w:right w:w="0" w:type="dxa"/>
        </w:tblCellMar>
      </w:tblPr>
      <w:tr>
        <w:trPr>
          <w:trHeight w:val="182"/>
        </w:trPr>
        <w:tc>
          <w:tcPr>
            <w:tcW w:w="2500" w:type="dxa"/>
            <w:vAlign w:val="bottom"/>
          </w:tcPr>
          <w:p>
            <w:pPr>
              <w:spacing w:after="0"/>
              <w:rPr>
                <w:sz w:val="20"/>
                <w:szCs w:val="20"/>
                <w:color w:val="auto"/>
              </w:rPr>
            </w:pPr>
            <w:r>
              <w:rPr>
                <w:rFonts w:ascii="Arial" w:cs="Arial" w:eastAsia="Arial" w:hAnsi="Arial"/>
                <w:sz w:val="14"/>
                <w:szCs w:val="14"/>
                <w:color w:val="auto"/>
              </w:rPr>
              <w:t>Comcast Corporation</w:t>
            </w:r>
          </w:p>
        </w:tc>
        <w:tc>
          <w:tcPr>
            <w:tcW w:w="1200" w:type="dxa"/>
            <w:vAlign w:val="bottom"/>
            <w:vMerge w:val="restart"/>
          </w:tcPr>
          <w:p>
            <w:pPr>
              <w:ind w:left="900"/>
              <w:spacing w:after="0"/>
              <w:rPr>
                <w:sz w:val="20"/>
                <w:szCs w:val="20"/>
                <w:color w:val="auto"/>
              </w:rPr>
            </w:pPr>
            <w:r>
              <w:rPr>
                <w:rFonts w:ascii="Arial" w:cs="Arial" w:eastAsia="Arial" w:hAnsi="Arial"/>
                <w:sz w:val="14"/>
                <w:szCs w:val="14"/>
                <w:color w:val="auto"/>
              </w:rPr>
              <w:t>Yes</w:t>
            </w:r>
          </w:p>
        </w:tc>
        <w:tc>
          <w:tcPr>
            <w:tcW w:w="560" w:type="dxa"/>
            <w:vAlign w:val="bottom"/>
            <w:vMerge w:val="restart"/>
          </w:tcPr>
          <w:p>
            <w:pPr>
              <w:ind w:left="80"/>
              <w:spacing w:after="0"/>
              <w:rPr>
                <w:sz w:val="20"/>
                <w:szCs w:val="20"/>
                <w:color w:val="auto"/>
              </w:rPr>
            </w:pPr>
            <w:r>
              <w:rPr>
                <w:rFonts w:ascii="Arial" w:cs="Arial" w:eastAsia="Arial" w:hAnsi="Arial"/>
                <w:sz w:val="14"/>
                <w:szCs w:val="14"/>
                <w:color w:val="auto"/>
              </w:rPr>
              <w:t>x</w:t>
            </w:r>
          </w:p>
        </w:tc>
        <w:tc>
          <w:tcPr>
            <w:tcW w:w="640" w:type="dxa"/>
            <w:vAlign w:val="bottom"/>
            <w:vMerge w:val="restart"/>
          </w:tcPr>
          <w:p>
            <w:pPr>
              <w:ind w:left="420"/>
              <w:spacing w:after="0"/>
              <w:rPr>
                <w:sz w:val="20"/>
                <w:szCs w:val="20"/>
                <w:color w:val="auto"/>
              </w:rPr>
            </w:pPr>
            <w:r>
              <w:rPr>
                <w:rFonts w:ascii="Arial" w:cs="Arial" w:eastAsia="Arial" w:hAnsi="Arial"/>
                <w:sz w:val="14"/>
                <w:szCs w:val="14"/>
                <w:color w:val="auto"/>
              </w:rPr>
              <w:t>No</w:t>
            </w:r>
          </w:p>
        </w:tc>
        <w:tc>
          <w:tcPr>
            <w:tcW w:w="120" w:type="dxa"/>
            <w:vAlign w:val="bottom"/>
            <w:vMerge w:val="restart"/>
          </w:tcPr>
          <w:p>
            <w:pPr>
              <w:ind w:left="60"/>
              <w:spacing w:after="0"/>
              <w:rPr>
                <w:sz w:val="20"/>
                <w:szCs w:val="20"/>
                <w:color w:val="auto"/>
              </w:rPr>
            </w:pPr>
            <w:r>
              <w:rPr>
                <w:rFonts w:ascii="Arial" w:cs="Arial" w:eastAsia="Arial" w:hAnsi="Arial"/>
                <w:sz w:val="11"/>
                <w:szCs w:val="11"/>
                <w:color w:val="auto"/>
                <w:w w:val="71"/>
              </w:rPr>
              <w:t>c</w:t>
            </w: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500" w:type="dxa"/>
            <w:vAlign w:val="bottom"/>
          </w:tcPr>
          <w:p>
            <w:pPr>
              <w:spacing w:after="0"/>
              <w:rPr>
                <w:sz w:val="20"/>
                <w:szCs w:val="20"/>
                <w:color w:val="auto"/>
              </w:rPr>
            </w:pPr>
            <w:r>
              <w:rPr>
                <w:rFonts w:ascii="Arial" w:cs="Arial" w:eastAsia="Arial" w:hAnsi="Arial"/>
                <w:sz w:val="14"/>
                <w:szCs w:val="14"/>
                <w:color w:val="auto"/>
              </w:rPr>
              <w:t>NBCUniversal Media, LLC</w:t>
            </w:r>
          </w:p>
        </w:tc>
        <w:tc>
          <w:tcPr>
            <w:tcW w:w="1200" w:type="dxa"/>
            <w:vAlign w:val="bottom"/>
            <w:vMerge w:val="restart"/>
          </w:tcPr>
          <w:p>
            <w:pPr>
              <w:ind w:left="900"/>
              <w:spacing w:after="0"/>
              <w:rPr>
                <w:sz w:val="20"/>
                <w:szCs w:val="20"/>
                <w:color w:val="auto"/>
              </w:rPr>
            </w:pPr>
            <w:r>
              <w:rPr>
                <w:rFonts w:ascii="Arial" w:cs="Arial" w:eastAsia="Arial" w:hAnsi="Arial"/>
                <w:sz w:val="14"/>
                <w:szCs w:val="14"/>
                <w:color w:val="auto"/>
              </w:rPr>
              <w:t>Yes</w:t>
            </w:r>
          </w:p>
        </w:tc>
        <w:tc>
          <w:tcPr>
            <w:tcW w:w="560" w:type="dxa"/>
            <w:vAlign w:val="bottom"/>
            <w:vMerge w:val="restart"/>
          </w:tcPr>
          <w:p>
            <w:pPr>
              <w:ind w:left="80"/>
              <w:spacing w:after="0"/>
              <w:rPr>
                <w:sz w:val="20"/>
                <w:szCs w:val="20"/>
                <w:color w:val="auto"/>
              </w:rPr>
            </w:pPr>
            <w:r>
              <w:rPr>
                <w:rFonts w:ascii="Arial" w:cs="Arial" w:eastAsia="Arial" w:hAnsi="Arial"/>
                <w:sz w:val="14"/>
                <w:szCs w:val="14"/>
                <w:color w:val="auto"/>
              </w:rPr>
              <w:t>x</w:t>
            </w:r>
          </w:p>
        </w:tc>
        <w:tc>
          <w:tcPr>
            <w:tcW w:w="640" w:type="dxa"/>
            <w:vAlign w:val="bottom"/>
            <w:vMerge w:val="restart"/>
          </w:tcPr>
          <w:p>
            <w:pPr>
              <w:ind w:left="420"/>
              <w:spacing w:after="0"/>
              <w:rPr>
                <w:sz w:val="20"/>
                <w:szCs w:val="20"/>
                <w:color w:val="auto"/>
              </w:rPr>
            </w:pPr>
            <w:r>
              <w:rPr>
                <w:rFonts w:ascii="Arial" w:cs="Arial" w:eastAsia="Arial" w:hAnsi="Arial"/>
                <w:sz w:val="14"/>
                <w:szCs w:val="14"/>
                <w:color w:val="auto"/>
              </w:rPr>
              <w:t>No</w:t>
            </w:r>
          </w:p>
        </w:tc>
        <w:tc>
          <w:tcPr>
            <w:tcW w:w="120" w:type="dxa"/>
            <w:vAlign w:val="bottom"/>
            <w:vMerge w:val="restart"/>
          </w:tcPr>
          <w:p>
            <w:pPr>
              <w:ind w:left="60"/>
              <w:spacing w:after="0"/>
              <w:rPr>
                <w:sz w:val="20"/>
                <w:szCs w:val="20"/>
                <w:color w:val="auto"/>
              </w:rPr>
            </w:pPr>
            <w:r>
              <w:rPr>
                <w:rFonts w:ascii="Arial" w:cs="Arial" w:eastAsia="Arial" w:hAnsi="Arial"/>
                <w:sz w:val="11"/>
                <w:szCs w:val="11"/>
                <w:color w:val="auto"/>
                <w:w w:val="71"/>
              </w:rPr>
              <w:t>c</w:t>
            </w: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2037715</wp:posOffset>
            </wp:positionH>
            <wp:positionV relativeFrom="paragraph">
              <wp:posOffset>85090</wp:posOffset>
            </wp:positionV>
            <wp:extent cx="32588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16" w:lineRule="exact"/>
        <w:rPr>
          <w:sz w:val="24"/>
          <w:szCs w:val="24"/>
          <w:color w:val="auto"/>
        </w:rPr>
      </w:pPr>
    </w:p>
    <w:p>
      <w:pPr>
        <w:ind w:right="20"/>
        <w:spacing w:after="0" w:line="273" w:lineRule="auto"/>
        <w:rPr>
          <w:sz w:val="20"/>
          <w:szCs w:val="20"/>
          <w:color w:val="auto"/>
        </w:rPr>
      </w:pPr>
      <w:r>
        <w:rPr>
          <w:rFonts w:ascii="Arial" w:cs="Arial" w:eastAsia="Arial" w:hAnsi="Arial"/>
          <w:sz w:val="14"/>
          <w:szCs w:val="14"/>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period that the registrant was required to submit and post such files).</w:t>
      </w:r>
    </w:p>
    <w:p>
      <w:pPr>
        <w:spacing w:after="0" w:line="120" w:lineRule="exact"/>
        <w:rPr>
          <w:sz w:val="24"/>
          <w:szCs w:val="24"/>
          <w:color w:val="auto"/>
        </w:rPr>
      </w:pPr>
    </w:p>
    <w:tbl>
      <w:tblPr>
        <w:tblLayout w:type="fixed"/>
        <w:tblInd w:w="3240" w:type="dxa"/>
        <w:tblCellMar>
          <w:top w:w="0" w:type="dxa"/>
          <w:left w:w="0" w:type="dxa"/>
          <w:bottom w:w="0" w:type="dxa"/>
          <w:right w:w="0" w:type="dxa"/>
        </w:tblCellMar>
      </w:tblPr>
      <w:tr>
        <w:trPr>
          <w:trHeight w:val="182"/>
        </w:trPr>
        <w:tc>
          <w:tcPr>
            <w:tcW w:w="2500" w:type="dxa"/>
            <w:vAlign w:val="bottom"/>
          </w:tcPr>
          <w:p>
            <w:pPr>
              <w:spacing w:after="0"/>
              <w:rPr>
                <w:sz w:val="20"/>
                <w:szCs w:val="20"/>
                <w:color w:val="auto"/>
              </w:rPr>
            </w:pPr>
            <w:r>
              <w:rPr>
                <w:rFonts w:ascii="Arial" w:cs="Arial" w:eastAsia="Arial" w:hAnsi="Arial"/>
                <w:sz w:val="14"/>
                <w:szCs w:val="14"/>
                <w:color w:val="auto"/>
              </w:rPr>
              <w:t>Comcast Corporation</w:t>
            </w:r>
          </w:p>
        </w:tc>
        <w:tc>
          <w:tcPr>
            <w:tcW w:w="1200" w:type="dxa"/>
            <w:vAlign w:val="bottom"/>
            <w:vMerge w:val="restart"/>
          </w:tcPr>
          <w:p>
            <w:pPr>
              <w:ind w:left="900"/>
              <w:spacing w:after="0"/>
              <w:rPr>
                <w:sz w:val="20"/>
                <w:szCs w:val="20"/>
                <w:color w:val="auto"/>
              </w:rPr>
            </w:pPr>
            <w:r>
              <w:rPr>
                <w:rFonts w:ascii="Arial" w:cs="Arial" w:eastAsia="Arial" w:hAnsi="Arial"/>
                <w:sz w:val="14"/>
                <w:szCs w:val="14"/>
                <w:color w:val="auto"/>
              </w:rPr>
              <w:t>Yes</w:t>
            </w:r>
          </w:p>
        </w:tc>
        <w:tc>
          <w:tcPr>
            <w:tcW w:w="560" w:type="dxa"/>
            <w:vAlign w:val="bottom"/>
            <w:vMerge w:val="restart"/>
          </w:tcPr>
          <w:p>
            <w:pPr>
              <w:ind w:left="80"/>
              <w:spacing w:after="0"/>
              <w:rPr>
                <w:sz w:val="20"/>
                <w:szCs w:val="20"/>
                <w:color w:val="auto"/>
              </w:rPr>
            </w:pPr>
            <w:r>
              <w:rPr>
                <w:rFonts w:ascii="Arial" w:cs="Arial" w:eastAsia="Arial" w:hAnsi="Arial"/>
                <w:sz w:val="14"/>
                <w:szCs w:val="14"/>
                <w:color w:val="auto"/>
              </w:rPr>
              <w:t>x</w:t>
            </w:r>
          </w:p>
        </w:tc>
        <w:tc>
          <w:tcPr>
            <w:tcW w:w="640" w:type="dxa"/>
            <w:vAlign w:val="bottom"/>
            <w:vMerge w:val="restart"/>
          </w:tcPr>
          <w:p>
            <w:pPr>
              <w:ind w:left="420"/>
              <w:spacing w:after="0"/>
              <w:rPr>
                <w:sz w:val="20"/>
                <w:szCs w:val="20"/>
                <w:color w:val="auto"/>
              </w:rPr>
            </w:pPr>
            <w:r>
              <w:rPr>
                <w:rFonts w:ascii="Arial" w:cs="Arial" w:eastAsia="Arial" w:hAnsi="Arial"/>
                <w:sz w:val="14"/>
                <w:szCs w:val="14"/>
                <w:color w:val="auto"/>
              </w:rPr>
              <w:t>No</w:t>
            </w:r>
          </w:p>
        </w:tc>
        <w:tc>
          <w:tcPr>
            <w:tcW w:w="120" w:type="dxa"/>
            <w:vAlign w:val="bottom"/>
            <w:vMerge w:val="restart"/>
          </w:tcPr>
          <w:p>
            <w:pPr>
              <w:ind w:left="60"/>
              <w:spacing w:after="0"/>
              <w:rPr>
                <w:sz w:val="20"/>
                <w:szCs w:val="20"/>
                <w:color w:val="auto"/>
              </w:rPr>
            </w:pPr>
            <w:r>
              <w:rPr>
                <w:rFonts w:ascii="Arial" w:cs="Arial" w:eastAsia="Arial" w:hAnsi="Arial"/>
                <w:sz w:val="11"/>
                <w:szCs w:val="11"/>
                <w:color w:val="auto"/>
                <w:w w:val="71"/>
              </w:rPr>
              <w:t>c</w:t>
            </w: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500" w:type="dxa"/>
            <w:vAlign w:val="bottom"/>
          </w:tcPr>
          <w:p>
            <w:pPr>
              <w:spacing w:after="0"/>
              <w:rPr>
                <w:sz w:val="20"/>
                <w:szCs w:val="20"/>
                <w:color w:val="auto"/>
              </w:rPr>
            </w:pPr>
            <w:r>
              <w:rPr>
                <w:rFonts w:ascii="Arial" w:cs="Arial" w:eastAsia="Arial" w:hAnsi="Arial"/>
                <w:sz w:val="14"/>
                <w:szCs w:val="14"/>
                <w:color w:val="auto"/>
              </w:rPr>
              <w:t>NBCUniversal Media, LLC</w:t>
            </w:r>
          </w:p>
        </w:tc>
        <w:tc>
          <w:tcPr>
            <w:tcW w:w="1200" w:type="dxa"/>
            <w:vAlign w:val="bottom"/>
            <w:vMerge w:val="restart"/>
          </w:tcPr>
          <w:p>
            <w:pPr>
              <w:ind w:left="900"/>
              <w:spacing w:after="0"/>
              <w:rPr>
                <w:sz w:val="20"/>
                <w:szCs w:val="20"/>
                <w:color w:val="auto"/>
              </w:rPr>
            </w:pPr>
            <w:r>
              <w:rPr>
                <w:rFonts w:ascii="Arial" w:cs="Arial" w:eastAsia="Arial" w:hAnsi="Arial"/>
                <w:sz w:val="14"/>
                <w:szCs w:val="14"/>
                <w:color w:val="auto"/>
              </w:rPr>
              <w:t>Yes</w:t>
            </w:r>
          </w:p>
        </w:tc>
        <w:tc>
          <w:tcPr>
            <w:tcW w:w="560" w:type="dxa"/>
            <w:vAlign w:val="bottom"/>
            <w:vMerge w:val="restart"/>
          </w:tcPr>
          <w:p>
            <w:pPr>
              <w:ind w:left="80"/>
              <w:spacing w:after="0"/>
              <w:rPr>
                <w:sz w:val="20"/>
                <w:szCs w:val="20"/>
                <w:color w:val="auto"/>
              </w:rPr>
            </w:pPr>
            <w:r>
              <w:rPr>
                <w:rFonts w:ascii="Arial" w:cs="Arial" w:eastAsia="Arial" w:hAnsi="Arial"/>
                <w:sz w:val="14"/>
                <w:szCs w:val="14"/>
                <w:color w:val="auto"/>
              </w:rPr>
              <w:t>x</w:t>
            </w:r>
          </w:p>
        </w:tc>
        <w:tc>
          <w:tcPr>
            <w:tcW w:w="640" w:type="dxa"/>
            <w:vAlign w:val="bottom"/>
            <w:vMerge w:val="restart"/>
          </w:tcPr>
          <w:p>
            <w:pPr>
              <w:ind w:left="420"/>
              <w:spacing w:after="0"/>
              <w:rPr>
                <w:sz w:val="20"/>
                <w:szCs w:val="20"/>
                <w:color w:val="auto"/>
              </w:rPr>
            </w:pPr>
            <w:r>
              <w:rPr>
                <w:rFonts w:ascii="Arial" w:cs="Arial" w:eastAsia="Arial" w:hAnsi="Arial"/>
                <w:sz w:val="14"/>
                <w:szCs w:val="14"/>
                <w:color w:val="auto"/>
              </w:rPr>
              <w:t>No</w:t>
            </w:r>
          </w:p>
        </w:tc>
        <w:tc>
          <w:tcPr>
            <w:tcW w:w="120" w:type="dxa"/>
            <w:vAlign w:val="bottom"/>
            <w:vMerge w:val="restart"/>
          </w:tcPr>
          <w:p>
            <w:pPr>
              <w:ind w:left="60"/>
              <w:spacing w:after="0"/>
              <w:rPr>
                <w:sz w:val="20"/>
                <w:szCs w:val="20"/>
                <w:color w:val="auto"/>
              </w:rPr>
            </w:pPr>
            <w:r>
              <w:rPr>
                <w:rFonts w:ascii="Arial" w:cs="Arial" w:eastAsia="Arial" w:hAnsi="Arial"/>
                <w:sz w:val="11"/>
                <w:szCs w:val="11"/>
                <w:color w:val="auto"/>
                <w:w w:val="71"/>
              </w:rPr>
              <w:t>c</w:t>
            </w: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01"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420"/>
          </w:cols>
          <w:pgMar w:left="240" w:top="756" w:right="239" w:bottom="1440" w:gutter="0" w:footer="0" w:header="0"/>
        </w:sectPr>
      </w:pPr>
    </w:p>
    <w:p>
      <w:pPr>
        <w:spacing w:after="0" w:line="120" w:lineRule="exact"/>
        <w:rPr>
          <w:sz w:val="24"/>
          <w:szCs w:val="24"/>
          <w:color w:val="auto"/>
        </w:rPr>
      </w:pPr>
    </w:p>
    <w:p>
      <w:pPr>
        <w:ind w:left="40"/>
        <w:spacing w:after="0"/>
        <w:rPr>
          <w:sz w:val="20"/>
          <w:szCs w:val="20"/>
          <w:color w:val="auto"/>
        </w:rPr>
      </w:pPr>
      <w:r>
        <w:rPr>
          <w:rFonts w:ascii="Arial" w:cs="Arial" w:eastAsia="Arial" w:hAnsi="Arial"/>
          <w:sz w:val="13"/>
          <w:szCs w:val="13"/>
          <w:color w:val="auto"/>
        </w:rPr>
        <w:t>Comcast Corporation</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x  Accelerated filer</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Arial" w:cs="Arial" w:eastAsia="Arial" w:hAnsi="Arial"/>
          <w:sz w:val="13"/>
          <w:szCs w:val="13"/>
          <w:color w:val="auto"/>
        </w:rPr>
        <w:t>c  Non-accelerated filer</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c  Smaller reporting company</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c  Emerging growth company</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Arial" w:cs="Arial" w:eastAsia="Arial" w:hAnsi="Arial"/>
          <w:sz w:val="12"/>
          <w:szCs w:val="12"/>
          <w:color w:val="auto"/>
        </w:rPr>
        <w:t>c</w:t>
      </w:r>
    </w:p>
    <w:p>
      <w:pPr>
        <w:spacing w:after="0" w:line="64" w:lineRule="exact"/>
        <w:rPr>
          <w:sz w:val="24"/>
          <w:szCs w:val="24"/>
          <w:color w:val="auto"/>
        </w:rPr>
      </w:pPr>
    </w:p>
    <w:p>
      <w:pPr>
        <w:sectPr>
          <w:pgSz w:w="11900" w:h="16838" w:orient="portrait"/>
          <w:cols w:equalWidth="0" w:num="7">
            <w:col w:w="1280" w:space="700"/>
            <w:col w:w="1300" w:space="360"/>
            <w:col w:w="1140" w:space="340"/>
            <w:col w:w="1400" w:space="440"/>
            <w:col w:w="1760" w:space="420"/>
            <w:col w:w="1740" w:space="400"/>
            <w:col w:w="140"/>
          </w:cols>
          <w:pgMar w:left="240" w:top="756" w:right="23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NBCUniversal Media, LLC</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3"/>
          <w:szCs w:val="13"/>
          <w:color w:val="auto"/>
        </w:rPr>
        <w:t>c  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c  Non-accelerated filer</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3"/>
          <w:szCs w:val="13"/>
          <w:color w:val="auto"/>
        </w:rPr>
        <w:t>x  Smaller reporting company</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3"/>
          <w:szCs w:val="13"/>
          <w:color w:val="auto"/>
        </w:rPr>
        <w:t>c  Emerging growth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c</w:t>
      </w:r>
    </w:p>
    <w:p>
      <w:pPr>
        <w:spacing w:after="0" w:line="145" w:lineRule="exact"/>
        <w:rPr>
          <w:sz w:val="24"/>
          <w:szCs w:val="24"/>
          <w:color w:val="auto"/>
        </w:rPr>
      </w:pPr>
    </w:p>
    <w:p>
      <w:pPr>
        <w:sectPr>
          <w:pgSz w:w="11900" w:h="16838" w:orient="portrait"/>
          <w:cols w:equalWidth="0" w:num="7">
            <w:col w:w="1640" w:space="340"/>
            <w:col w:w="1300" w:space="360"/>
            <w:col w:w="1140" w:space="340"/>
            <w:col w:w="1400" w:space="440"/>
            <w:col w:w="1760" w:space="420"/>
            <w:col w:w="1740" w:space="400"/>
            <w:col w:w="140"/>
          </w:cols>
          <w:pgMar w:left="240" w:top="756" w:right="239" w:bottom="1440" w:gutter="0" w:footer="0" w:header="0"/>
          <w:type w:val="continuous"/>
        </w:sectPr>
      </w:pPr>
    </w:p>
    <w:p>
      <w:pPr>
        <w:ind w:right="20"/>
        <w:spacing w:after="0" w:line="273" w:lineRule="auto"/>
        <w:rPr>
          <w:sz w:val="20"/>
          <w:szCs w:val="20"/>
          <w:color w:val="auto"/>
        </w:rPr>
      </w:pPr>
      <w:r>
        <w:rPr>
          <w:rFonts w:ascii="Arial" w:cs="Arial" w:eastAsia="Arial" w:hAnsi="Arial"/>
          <w:sz w:val="14"/>
          <w:szCs w:val="14"/>
          <w:color w:val="auto"/>
        </w:rPr>
        <w:t>If an emerging growth company, indicate by check mark whether the Registrant has elected not to use the extended transition period for complying with any new or revised financial accounting standards provided pursuant to Section 13(a) of the Exchange Act.</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6320" w:type="dxa"/>
            <w:vAlign w:val="bottom"/>
          </w:tcPr>
          <w:p>
            <w:pPr>
              <w:ind w:left="3600"/>
              <w:spacing w:after="0"/>
              <w:rPr>
                <w:sz w:val="20"/>
                <w:szCs w:val="20"/>
                <w:color w:val="auto"/>
              </w:rPr>
            </w:pPr>
            <w:r>
              <w:rPr>
                <w:rFonts w:ascii="Arial" w:cs="Arial" w:eastAsia="Arial" w:hAnsi="Arial"/>
                <w:sz w:val="14"/>
                <w:szCs w:val="14"/>
                <w:color w:val="auto"/>
              </w:rPr>
              <w:t>Comcast Corporation</w:t>
            </w: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ind w:left="320"/>
              <w:spacing w:after="0"/>
              <w:rPr>
                <w:sz w:val="20"/>
                <w:szCs w:val="20"/>
                <w:color w:val="auto"/>
              </w:rPr>
            </w:pPr>
            <w:r>
              <w:rPr>
                <w:rFonts w:ascii="Arial" w:cs="Arial" w:eastAsia="Arial" w:hAnsi="Arial"/>
                <w:sz w:val="14"/>
                <w:szCs w:val="14"/>
                <w:color w:val="auto"/>
              </w:rPr>
              <w:t>c</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320" w:type="dxa"/>
            <w:vAlign w:val="bottom"/>
          </w:tcPr>
          <w:p>
            <w:pPr>
              <w:ind w:left="3600"/>
              <w:spacing w:after="0"/>
              <w:rPr>
                <w:sz w:val="20"/>
                <w:szCs w:val="20"/>
                <w:color w:val="auto"/>
              </w:rPr>
            </w:pPr>
            <w:r>
              <w:rPr>
                <w:rFonts w:ascii="Arial" w:cs="Arial" w:eastAsia="Arial" w:hAnsi="Arial"/>
                <w:sz w:val="14"/>
                <w:szCs w:val="14"/>
                <w:color w:val="auto"/>
              </w:rPr>
              <w:t>NBCUniversal Media, LLC</w:t>
            </w: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ind w:left="320"/>
              <w:spacing w:after="0"/>
              <w:rPr>
                <w:sz w:val="20"/>
                <w:szCs w:val="20"/>
                <w:color w:val="auto"/>
              </w:rPr>
            </w:pPr>
            <w:r>
              <w:rPr>
                <w:rFonts w:ascii="Arial" w:cs="Arial" w:eastAsia="Arial" w:hAnsi="Arial"/>
                <w:sz w:val="14"/>
                <w:szCs w:val="14"/>
                <w:color w:val="auto"/>
              </w:rPr>
              <w:t>c</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6320" w:type="dxa"/>
            <w:vAlign w:val="bottom"/>
          </w:tcPr>
          <w:p>
            <w:pPr>
              <w:spacing w:after="0"/>
              <w:rPr>
                <w:sz w:val="20"/>
                <w:szCs w:val="20"/>
                <w:color w:val="auto"/>
              </w:rPr>
            </w:pPr>
            <w:r>
              <w:rPr>
                <w:rFonts w:ascii="Arial" w:cs="Arial" w:eastAsia="Arial" w:hAnsi="Arial"/>
                <w:sz w:val="14"/>
                <w:szCs w:val="14"/>
                <w:color w:val="auto"/>
                <w:w w:val="98"/>
              </w:rPr>
              <w:t>Indicate by check mark whether the Registrant is a shell company (as defined in Rule 12b-2 of the Act).</w:t>
            </w: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320" w:type="dxa"/>
            <w:vAlign w:val="bottom"/>
          </w:tcPr>
          <w:p>
            <w:pPr>
              <w:ind w:left="3240"/>
              <w:spacing w:after="0"/>
              <w:rPr>
                <w:sz w:val="20"/>
                <w:szCs w:val="20"/>
                <w:color w:val="auto"/>
              </w:rPr>
            </w:pPr>
            <w:r>
              <w:rPr>
                <w:rFonts w:ascii="Arial" w:cs="Arial" w:eastAsia="Arial" w:hAnsi="Arial"/>
                <w:sz w:val="14"/>
                <w:szCs w:val="14"/>
                <w:color w:val="auto"/>
              </w:rPr>
              <w:t>Comcast Corporation</w:t>
            </w:r>
          </w:p>
        </w:tc>
        <w:tc>
          <w:tcPr>
            <w:tcW w:w="580" w:type="dxa"/>
            <w:vAlign w:val="bottom"/>
            <w:vMerge w:val="restart"/>
          </w:tcPr>
          <w:p>
            <w:pPr>
              <w:ind w:left="320"/>
              <w:spacing w:after="0"/>
              <w:rPr>
                <w:sz w:val="20"/>
                <w:szCs w:val="20"/>
                <w:color w:val="auto"/>
              </w:rPr>
            </w:pPr>
            <w:r>
              <w:rPr>
                <w:rFonts w:ascii="Arial" w:cs="Arial" w:eastAsia="Arial" w:hAnsi="Arial"/>
                <w:sz w:val="14"/>
                <w:szCs w:val="14"/>
                <w:color w:val="auto"/>
                <w:w w:val="99"/>
              </w:rPr>
              <w:t>Yes</w:t>
            </w:r>
          </w:p>
        </w:tc>
        <w:tc>
          <w:tcPr>
            <w:tcW w:w="460" w:type="dxa"/>
            <w:vAlign w:val="bottom"/>
            <w:vMerge w:val="restart"/>
          </w:tcPr>
          <w:p>
            <w:pPr>
              <w:ind w:left="60"/>
              <w:spacing w:after="0"/>
              <w:rPr>
                <w:sz w:val="20"/>
                <w:szCs w:val="20"/>
                <w:color w:val="auto"/>
              </w:rPr>
            </w:pPr>
            <w:r>
              <w:rPr>
                <w:rFonts w:ascii="Arial" w:cs="Arial" w:eastAsia="Arial" w:hAnsi="Arial"/>
                <w:sz w:val="14"/>
                <w:szCs w:val="14"/>
                <w:color w:val="auto"/>
              </w:rPr>
              <w:t>c</w:t>
            </w:r>
          </w:p>
        </w:tc>
        <w:tc>
          <w:tcPr>
            <w:tcW w:w="700" w:type="dxa"/>
            <w:vAlign w:val="bottom"/>
            <w:vMerge w:val="restart"/>
          </w:tcPr>
          <w:p>
            <w:pPr>
              <w:ind w:left="440"/>
              <w:spacing w:after="0"/>
              <w:rPr>
                <w:sz w:val="20"/>
                <w:szCs w:val="20"/>
                <w:color w:val="auto"/>
              </w:rPr>
            </w:pPr>
            <w:r>
              <w:rPr>
                <w:rFonts w:ascii="Arial" w:cs="Arial" w:eastAsia="Arial" w:hAnsi="Arial"/>
                <w:sz w:val="14"/>
                <w:szCs w:val="14"/>
                <w:color w:val="auto"/>
              </w:rPr>
              <w:t>No</w:t>
            </w:r>
          </w:p>
        </w:tc>
        <w:tc>
          <w:tcPr>
            <w:tcW w:w="140" w:type="dxa"/>
            <w:vAlign w:val="bottom"/>
            <w:vMerge w:val="restart"/>
          </w:tcPr>
          <w:p>
            <w:pPr>
              <w:ind w:left="80"/>
              <w:spacing w:after="0"/>
              <w:rPr>
                <w:sz w:val="20"/>
                <w:szCs w:val="20"/>
                <w:color w:val="auto"/>
              </w:rPr>
            </w:pPr>
            <w:r>
              <w:rPr>
                <w:rFonts w:ascii="Arial" w:cs="Arial" w:eastAsia="Arial" w:hAnsi="Arial"/>
                <w:sz w:val="11"/>
                <w:szCs w:val="11"/>
                <w:color w:val="auto"/>
                <w:w w:val="71"/>
              </w:rPr>
              <w:t>x</w:t>
            </w:r>
          </w:p>
        </w:tc>
        <w:tc>
          <w:tcPr>
            <w:tcW w:w="0" w:type="dxa"/>
            <w:vAlign w:val="bottom"/>
          </w:tcPr>
          <w:p>
            <w:pPr>
              <w:spacing w:after="0"/>
              <w:rPr>
                <w:sz w:val="1"/>
                <w:szCs w:val="1"/>
                <w:color w:val="auto"/>
              </w:rPr>
            </w:pPr>
          </w:p>
        </w:tc>
      </w:tr>
      <w:tr>
        <w:trPr>
          <w:trHeight w:val="68"/>
        </w:trPr>
        <w:tc>
          <w:tcPr>
            <w:tcW w:w="63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6320" w:type="dxa"/>
            <w:vAlign w:val="bottom"/>
          </w:tcPr>
          <w:p>
            <w:pPr>
              <w:ind w:left="3240"/>
              <w:spacing w:after="0"/>
              <w:rPr>
                <w:sz w:val="20"/>
                <w:szCs w:val="20"/>
                <w:color w:val="auto"/>
              </w:rPr>
            </w:pPr>
            <w:r>
              <w:rPr>
                <w:rFonts w:ascii="Arial" w:cs="Arial" w:eastAsia="Arial" w:hAnsi="Arial"/>
                <w:sz w:val="14"/>
                <w:szCs w:val="14"/>
                <w:color w:val="auto"/>
              </w:rPr>
              <w:t>NBCUniversal Media, LLC</w:t>
            </w:r>
          </w:p>
        </w:tc>
        <w:tc>
          <w:tcPr>
            <w:tcW w:w="580" w:type="dxa"/>
            <w:vAlign w:val="bottom"/>
            <w:vMerge w:val="restart"/>
          </w:tcPr>
          <w:p>
            <w:pPr>
              <w:ind w:left="320"/>
              <w:spacing w:after="0"/>
              <w:rPr>
                <w:sz w:val="20"/>
                <w:szCs w:val="20"/>
                <w:color w:val="auto"/>
              </w:rPr>
            </w:pPr>
            <w:r>
              <w:rPr>
                <w:rFonts w:ascii="Arial" w:cs="Arial" w:eastAsia="Arial" w:hAnsi="Arial"/>
                <w:sz w:val="14"/>
                <w:szCs w:val="14"/>
                <w:color w:val="auto"/>
                <w:w w:val="99"/>
              </w:rPr>
              <w:t>Yes</w:t>
            </w:r>
          </w:p>
        </w:tc>
        <w:tc>
          <w:tcPr>
            <w:tcW w:w="460" w:type="dxa"/>
            <w:vAlign w:val="bottom"/>
            <w:vMerge w:val="restart"/>
          </w:tcPr>
          <w:p>
            <w:pPr>
              <w:ind w:left="60"/>
              <w:spacing w:after="0"/>
              <w:rPr>
                <w:sz w:val="20"/>
                <w:szCs w:val="20"/>
                <w:color w:val="auto"/>
              </w:rPr>
            </w:pPr>
            <w:r>
              <w:rPr>
                <w:rFonts w:ascii="Arial" w:cs="Arial" w:eastAsia="Arial" w:hAnsi="Arial"/>
                <w:sz w:val="14"/>
                <w:szCs w:val="14"/>
                <w:color w:val="auto"/>
              </w:rPr>
              <w:t>c</w:t>
            </w:r>
          </w:p>
        </w:tc>
        <w:tc>
          <w:tcPr>
            <w:tcW w:w="700" w:type="dxa"/>
            <w:vAlign w:val="bottom"/>
            <w:vMerge w:val="restart"/>
          </w:tcPr>
          <w:p>
            <w:pPr>
              <w:ind w:left="440"/>
              <w:spacing w:after="0"/>
              <w:rPr>
                <w:sz w:val="20"/>
                <w:szCs w:val="20"/>
                <w:color w:val="auto"/>
              </w:rPr>
            </w:pPr>
            <w:r>
              <w:rPr>
                <w:rFonts w:ascii="Arial" w:cs="Arial" w:eastAsia="Arial" w:hAnsi="Arial"/>
                <w:sz w:val="14"/>
                <w:szCs w:val="14"/>
                <w:color w:val="auto"/>
              </w:rPr>
              <w:t>No</w:t>
            </w:r>
          </w:p>
        </w:tc>
        <w:tc>
          <w:tcPr>
            <w:tcW w:w="140" w:type="dxa"/>
            <w:vAlign w:val="bottom"/>
            <w:vMerge w:val="restart"/>
          </w:tcPr>
          <w:p>
            <w:pPr>
              <w:ind w:left="80"/>
              <w:spacing w:after="0"/>
              <w:rPr>
                <w:sz w:val="20"/>
                <w:szCs w:val="20"/>
                <w:color w:val="auto"/>
              </w:rPr>
            </w:pPr>
            <w:r>
              <w:rPr>
                <w:rFonts w:ascii="Arial" w:cs="Arial" w:eastAsia="Arial" w:hAnsi="Arial"/>
                <w:sz w:val="11"/>
                <w:szCs w:val="11"/>
                <w:color w:val="auto"/>
                <w:w w:val="71"/>
              </w:rPr>
              <w:t>x</w:t>
            </w:r>
          </w:p>
        </w:tc>
        <w:tc>
          <w:tcPr>
            <w:tcW w:w="0" w:type="dxa"/>
            <w:vAlign w:val="bottom"/>
          </w:tcPr>
          <w:p>
            <w:pPr>
              <w:spacing w:after="0"/>
              <w:rPr>
                <w:sz w:val="1"/>
                <w:szCs w:val="1"/>
                <w:color w:val="auto"/>
              </w:rPr>
            </w:pPr>
          </w:p>
        </w:tc>
      </w:tr>
      <w:tr>
        <w:trPr>
          <w:trHeight w:val="68"/>
        </w:trPr>
        <w:tc>
          <w:tcPr>
            <w:tcW w:w="63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55" w:lineRule="exact"/>
        <w:rPr>
          <w:sz w:val="24"/>
          <w:szCs w:val="24"/>
          <w:color w:val="auto"/>
        </w:rPr>
      </w:pPr>
    </w:p>
    <w:p>
      <w:pPr>
        <w:spacing w:after="0"/>
        <w:rPr>
          <w:sz w:val="20"/>
          <w:szCs w:val="20"/>
          <w:color w:val="auto"/>
        </w:rPr>
      </w:pPr>
      <w:r>
        <w:rPr>
          <w:rFonts w:ascii="Arial" w:cs="Arial" w:eastAsia="Arial" w:hAnsi="Arial"/>
          <w:sz w:val="14"/>
          <w:szCs w:val="14"/>
          <w:color w:val="auto"/>
        </w:rPr>
        <w:t>Indicate the number of shares outstanding of each of the registrant’s classes of stock, as of the latest practical date:</w:t>
      </w:r>
    </w:p>
    <w:p>
      <w:pPr>
        <w:spacing w:after="0" w:line="55" w:lineRule="exact"/>
        <w:rPr>
          <w:sz w:val="24"/>
          <w:szCs w:val="24"/>
          <w:color w:val="auto"/>
        </w:rPr>
      </w:pPr>
    </w:p>
    <w:p>
      <w:pPr>
        <w:spacing w:after="0"/>
        <w:rPr>
          <w:sz w:val="20"/>
          <w:szCs w:val="20"/>
          <w:color w:val="auto"/>
        </w:rPr>
      </w:pPr>
      <w:r>
        <w:rPr>
          <w:rFonts w:ascii="Arial" w:cs="Arial" w:eastAsia="Arial" w:hAnsi="Arial"/>
          <w:sz w:val="13"/>
          <w:szCs w:val="13"/>
          <w:color w:val="auto"/>
        </w:rPr>
        <w:t>As of March 31, 2017, there were 4,733,512,494 shares of Comcast Corporation Class A common stock and 9,444,375 shares of Comcast Corporation Class B common stock outstanding.</w:t>
      </w:r>
    </w:p>
    <w:p>
      <w:pPr>
        <w:spacing w:after="0" w:line="67" w:lineRule="exact"/>
        <w:rPr>
          <w:sz w:val="24"/>
          <w:szCs w:val="24"/>
          <w:color w:val="auto"/>
        </w:rPr>
      </w:pPr>
    </w:p>
    <w:p>
      <w:pPr>
        <w:spacing w:after="0"/>
        <w:rPr>
          <w:sz w:val="20"/>
          <w:szCs w:val="20"/>
          <w:color w:val="auto"/>
        </w:rPr>
      </w:pPr>
      <w:r>
        <w:rPr>
          <w:rFonts w:ascii="Arial" w:cs="Arial" w:eastAsia="Arial" w:hAnsi="Arial"/>
          <w:sz w:val="14"/>
          <w:szCs w:val="14"/>
          <w:color w:val="auto"/>
        </w:rPr>
        <w:t>Not applicable for NBCUniversal Media, LLC.</w:t>
      </w:r>
    </w:p>
    <w:p>
      <w:pPr>
        <w:spacing w:after="0" w:line="51"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NBCUniversal Media, LLC meets the conditions set forth in General Instruction H(1)(a) and (b) of Form 10-Q and is therefore filing this form with the reduced disclosure format.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172"/>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88"/>
        </w:trPr>
        <w:tc>
          <w:tcPr>
            <w:tcW w:w="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Number</w:t>
            </w: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10620" w:type="dxa"/>
            <w:vAlign w:val="bottom"/>
            <w:gridSpan w:val="22"/>
          </w:tcPr>
          <w:p>
            <w:pPr>
              <w:spacing w:after="0" w:line="202"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Item 1.</w:t>
            </w:r>
          </w:p>
        </w:tc>
        <w:tc>
          <w:tcPr>
            <w:tcW w:w="310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Comcast Corporation Financial Statements</w:t>
              </w:r>
            </w:hyperlink>
          </w:p>
        </w:tc>
        <w:tc>
          <w:tcPr>
            <w:tcW w:w="6040" w:type="dxa"/>
            <w:vAlign w:val="bottom"/>
            <w:gridSpan w:val="10"/>
          </w:tcPr>
          <w:p>
            <w:pPr>
              <w:spacing w:after="0"/>
              <w:rPr>
                <w:sz w:val="21"/>
                <w:szCs w:val="21"/>
                <w:color w:val="auto"/>
              </w:rPr>
            </w:pPr>
          </w:p>
        </w:tc>
        <w:tc>
          <w:tcPr>
            <w:tcW w:w="76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1</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14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 as of March 31, 2017 and December 31, 2016 (Unaudited)</w:t>
              </w:r>
            </w:hyperlink>
          </w:p>
        </w:tc>
        <w:tc>
          <w:tcPr>
            <w:tcW w:w="76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1</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4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 of Income for the Three Months Ended March 31, 2017 and 2016 (Unaudited)</w:t>
              </w:r>
            </w:hyperlink>
          </w:p>
        </w:tc>
        <w:tc>
          <w:tcPr>
            <w:tcW w:w="900" w:type="dxa"/>
            <w:vAlign w:val="bottom"/>
            <w:gridSpan w:val="4"/>
          </w:tcPr>
          <w:p>
            <w:pPr>
              <w:spacing w:after="0"/>
              <w:rPr>
                <w:sz w:val="21"/>
                <w:szCs w:val="21"/>
                <w:color w:val="auto"/>
              </w:rPr>
            </w:pPr>
          </w:p>
        </w:tc>
        <w:tc>
          <w:tcPr>
            <w:tcW w:w="76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2</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50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 of Comprehensive Income for the Three Months Ended March 31, 2017 and 2016</w:t>
              </w:r>
            </w:hyperlink>
          </w:p>
        </w:tc>
        <w:tc>
          <w:tcPr>
            <w:tcW w:w="640" w:type="dxa"/>
            <w:vAlign w:val="bottom"/>
            <w:gridSpan w:val="3"/>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w:anchor="page6">
              <w:r>
                <w:rPr>
                  <w:rFonts w:ascii="Arial" w:cs="Arial" w:eastAsia="Arial" w:hAnsi="Arial"/>
                  <w:sz w:val="18"/>
                  <w:szCs w:val="18"/>
                  <w:color w:val="0000EE"/>
                  <w:w w:val="91"/>
                </w:rPr>
                <w:t>(Unaudited)</w:t>
              </w:r>
            </w:hyperlink>
          </w:p>
        </w:tc>
        <w:tc>
          <w:tcPr>
            <w:tcW w:w="8260" w:type="dxa"/>
            <w:vAlign w:val="bottom"/>
            <w:gridSpan w:val="18"/>
          </w:tcPr>
          <w:p>
            <w:pPr>
              <w:spacing w:after="0"/>
              <w:rPr>
                <w:sz w:val="17"/>
                <w:szCs w:val="17"/>
                <w:color w:val="auto"/>
              </w:rPr>
            </w:pPr>
          </w:p>
        </w:tc>
        <w:tc>
          <w:tcPr>
            <w:tcW w:w="760" w:type="dxa"/>
            <w:vAlign w:val="bottom"/>
          </w:tcPr>
          <w:p>
            <w:pPr>
              <w:jc w:val="right"/>
              <w:spacing w:after="0" w:line="196" w:lineRule="exact"/>
              <w:rPr>
                <w:rFonts w:ascii="Arial" w:cs="Arial" w:eastAsia="Arial" w:hAnsi="Arial"/>
                <w:sz w:val="18"/>
                <w:szCs w:val="18"/>
                <w:color w:val="auto"/>
              </w:rPr>
            </w:pPr>
            <w:hyperlink w:anchor="page6">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140" w:type="dxa"/>
            <w:vAlign w:val="bottom"/>
            <w:gridSpan w:val="20"/>
          </w:tcPr>
          <w:p>
            <w:pPr>
              <w:spacing w:after="0"/>
              <w:rPr>
                <w:rFonts w:ascii="Arial" w:cs="Arial" w:eastAsia="Arial" w:hAnsi="Arial"/>
                <w:sz w:val="18"/>
                <w:szCs w:val="18"/>
                <w:color w:val="0000EE"/>
                <w:w w:val="96"/>
              </w:rPr>
            </w:pPr>
            <w:hyperlink w:anchor="page7">
              <w:r>
                <w:rPr>
                  <w:rFonts w:ascii="Arial" w:cs="Arial" w:eastAsia="Arial" w:hAnsi="Arial"/>
                  <w:sz w:val="18"/>
                  <w:szCs w:val="18"/>
                  <w:color w:val="0000EE"/>
                  <w:w w:val="96"/>
                </w:rPr>
                <w:t>Condensed Consolidated Statement of Cash Flows for the Three Months Ended March 31, 2017 and 2016 (Unaudited)</w:t>
              </w:r>
            </w:hyperlink>
          </w:p>
        </w:tc>
        <w:tc>
          <w:tcPr>
            <w:tcW w:w="76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4</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080" w:type="dxa"/>
            <w:vAlign w:val="bottom"/>
            <w:gridSpan w:val="4"/>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140" w:type="dxa"/>
            <w:vAlign w:val="bottom"/>
            <w:gridSpan w:val="20"/>
          </w:tcPr>
          <w:p>
            <w:pPr>
              <w:spacing w:after="0"/>
              <w:rPr>
                <w:rFonts w:ascii="Arial" w:cs="Arial" w:eastAsia="Arial" w:hAnsi="Arial"/>
                <w:sz w:val="18"/>
                <w:szCs w:val="18"/>
                <w:color w:val="0000EE"/>
                <w:w w:val="91"/>
              </w:rPr>
            </w:pPr>
            <w:hyperlink w:anchor="page8">
              <w:r>
                <w:rPr>
                  <w:rFonts w:ascii="Arial" w:cs="Arial" w:eastAsia="Arial" w:hAnsi="Arial"/>
                  <w:sz w:val="18"/>
                  <w:szCs w:val="18"/>
                  <w:color w:val="0000EE"/>
                  <w:w w:val="91"/>
                </w:rPr>
                <w:t>Condensed Consolidated Statement of Changes in Equity for the Three Months Ended March 31, 2017 and 2016 (Unaudited)</w:t>
              </w:r>
            </w:hyperlink>
          </w:p>
        </w:tc>
        <w:tc>
          <w:tcPr>
            <w:tcW w:w="76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5</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20" w:type="dxa"/>
            <w:vAlign w:val="bottom"/>
            <w:tcBorders>
              <w:top w:val="single" w:sz="8" w:color="0000EE"/>
            </w:tcBorders>
            <w:gridSpan w:val="19"/>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Condensed Consolidated Financial Statements (Unaudited)</w:t>
              </w:r>
            </w:hyperlink>
          </w:p>
        </w:tc>
        <w:tc>
          <w:tcPr>
            <w:tcW w:w="120" w:type="dxa"/>
            <w:vAlign w:val="bottom"/>
          </w:tcPr>
          <w:p>
            <w:pPr>
              <w:spacing w:after="0"/>
              <w:rPr>
                <w:sz w:val="21"/>
                <w:szCs w:val="21"/>
                <w:color w:val="auto"/>
              </w:rPr>
            </w:pPr>
          </w:p>
        </w:tc>
        <w:tc>
          <w:tcPr>
            <w:tcW w:w="760" w:type="dxa"/>
            <w:vAlign w:val="bottom"/>
          </w:tcPr>
          <w:p>
            <w:pPr>
              <w:jc w:val="right"/>
              <w:spacing w:after="0"/>
              <w:rPr>
                <w:rFonts w:ascii="Arial" w:cs="Arial" w:eastAsia="Arial" w:hAnsi="Arial"/>
                <w:sz w:val="18"/>
                <w:szCs w:val="18"/>
                <w:color w:val="auto"/>
              </w:rPr>
            </w:pPr>
            <w:hyperlink w:anchor="page9">
              <w:r>
                <w:rPr>
                  <w:rFonts w:ascii="Arial" w:cs="Arial" w:eastAsia="Arial" w:hAnsi="Arial"/>
                  <w:sz w:val="18"/>
                  <w:szCs w:val="18"/>
                  <w:color w:val="auto"/>
                </w:rPr>
                <w:t>6</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8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Item 2.</w:t>
            </w: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80" w:type="dxa"/>
            <w:vAlign w:val="bottom"/>
            <w:gridSpan w:val="6"/>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2"/>
            <w:vMerge w:val="continue"/>
          </w:tcPr>
          <w:p>
            <w:pPr>
              <w:spacing w:after="0"/>
              <w:rPr>
                <w:sz w:val="21"/>
                <w:szCs w:val="21"/>
                <w:color w:val="auto"/>
              </w:rPr>
            </w:pPr>
          </w:p>
        </w:tc>
        <w:tc>
          <w:tcPr>
            <w:tcW w:w="646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Management’s Discussion and Analysis of Financial Condition and Results of Operations</w:t>
              </w:r>
            </w:hyperlink>
          </w:p>
        </w:tc>
        <w:tc>
          <w:tcPr>
            <w:tcW w:w="2680" w:type="dxa"/>
            <w:vAlign w:val="bottom"/>
            <w:gridSpan w:val="6"/>
          </w:tcPr>
          <w:p>
            <w:pPr>
              <w:spacing w:after="0"/>
              <w:rPr>
                <w:sz w:val="21"/>
                <w:szCs w:val="21"/>
                <w:color w:val="auto"/>
              </w:rPr>
            </w:pPr>
          </w:p>
        </w:tc>
        <w:tc>
          <w:tcPr>
            <w:tcW w:w="760" w:type="dxa"/>
            <w:vAlign w:val="bottom"/>
          </w:tcPr>
          <w:p>
            <w:pPr>
              <w:jc w:val="right"/>
              <w:spacing w:after="0"/>
              <w:rPr>
                <w:rFonts w:ascii="Arial" w:cs="Arial" w:eastAsia="Arial" w:hAnsi="Arial"/>
                <w:sz w:val="18"/>
                <w:szCs w:val="18"/>
                <w:color w:val="auto"/>
              </w:rPr>
            </w:pPr>
            <w:hyperlink w:anchor="page25">
              <w:r>
                <w:rPr>
                  <w:rFonts w:ascii="Arial" w:cs="Arial" w:eastAsia="Arial" w:hAnsi="Arial"/>
                  <w:sz w:val="18"/>
                  <w:szCs w:val="18"/>
                  <w:color w:val="auto"/>
                </w:rPr>
                <w:t>22</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Item 3.</w:t>
            </w:r>
          </w:p>
        </w:tc>
        <w:tc>
          <w:tcPr>
            <w:tcW w:w="4360" w:type="dxa"/>
            <w:vAlign w:val="bottom"/>
            <w:tcBorders>
              <w:bottom w:val="single" w:sz="8" w:color="0000EE"/>
            </w:tcBorders>
            <w:gridSpan w:val="12"/>
          </w:tcPr>
          <w:p>
            <w:pPr>
              <w:spacing w:after="0"/>
              <w:rPr>
                <w:rFonts w:ascii="Arial" w:cs="Arial" w:eastAsia="Arial" w:hAnsi="Arial"/>
                <w:sz w:val="18"/>
                <w:szCs w:val="18"/>
                <w:color w:val="0000EE"/>
                <w:w w:val="92"/>
              </w:rPr>
            </w:pPr>
            <w:hyperlink w:anchor="page36">
              <w:r>
                <w:rPr>
                  <w:rFonts w:ascii="Arial" w:cs="Arial" w:eastAsia="Arial" w:hAnsi="Arial"/>
                  <w:sz w:val="18"/>
                  <w:szCs w:val="18"/>
                  <w:color w:val="0000EE"/>
                  <w:w w:val="92"/>
                </w:rPr>
                <w:t>Quantitative and Qualitative Disclosures About Market Risk</w:t>
              </w:r>
            </w:hyperlink>
          </w:p>
        </w:tc>
        <w:tc>
          <w:tcPr>
            <w:tcW w:w="4780" w:type="dxa"/>
            <w:vAlign w:val="bottom"/>
            <w:gridSpan w:val="8"/>
          </w:tcPr>
          <w:p>
            <w:pPr>
              <w:spacing w:after="0"/>
              <w:rPr>
                <w:sz w:val="21"/>
                <w:szCs w:val="21"/>
                <w:color w:val="auto"/>
              </w:rPr>
            </w:pPr>
          </w:p>
        </w:tc>
        <w:tc>
          <w:tcPr>
            <w:tcW w:w="760" w:type="dxa"/>
            <w:vAlign w:val="bottom"/>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33</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Item 4.</w:t>
            </w:r>
          </w:p>
        </w:tc>
        <w:tc>
          <w:tcPr>
            <w:tcW w:w="178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37">
              <w:r>
                <w:rPr>
                  <w:rFonts w:ascii="Arial" w:cs="Arial" w:eastAsia="Arial" w:hAnsi="Arial"/>
                  <w:sz w:val="18"/>
                  <w:szCs w:val="18"/>
                  <w:color w:val="0000EE"/>
                  <w:w w:val="88"/>
                </w:rPr>
                <w:t>Controls and Procedures</w:t>
              </w:r>
            </w:hyperlink>
          </w:p>
        </w:tc>
        <w:tc>
          <w:tcPr>
            <w:tcW w:w="7360" w:type="dxa"/>
            <w:vAlign w:val="bottom"/>
            <w:gridSpan w:val="12"/>
          </w:tcPr>
          <w:p>
            <w:pPr>
              <w:spacing w:after="0"/>
              <w:rPr>
                <w:sz w:val="21"/>
                <w:szCs w:val="21"/>
                <w:color w:val="auto"/>
              </w:rPr>
            </w:pPr>
          </w:p>
        </w:tc>
        <w:tc>
          <w:tcPr>
            <w:tcW w:w="760" w:type="dxa"/>
            <w:vAlign w:val="bottom"/>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34</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0620" w:type="dxa"/>
            <w:vAlign w:val="bottom"/>
            <w:gridSpan w:val="22"/>
          </w:tcPr>
          <w:p>
            <w:pPr>
              <w:spacing w:after="0"/>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PART II. OTHER INFORMATION</w:t>
              </w:r>
            </w:hyperlink>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4800" w:type="dxa"/>
            <w:vAlign w:val="bottom"/>
            <w:gridSpan w:val="9"/>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Item 1.</w:t>
            </w:r>
          </w:p>
        </w:tc>
        <w:tc>
          <w:tcPr>
            <w:tcW w:w="134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37">
              <w:r>
                <w:rPr>
                  <w:rFonts w:ascii="Arial" w:cs="Arial" w:eastAsia="Arial" w:hAnsi="Arial"/>
                  <w:sz w:val="18"/>
                  <w:szCs w:val="18"/>
                  <w:color w:val="0000EE"/>
                  <w:w w:val="88"/>
                </w:rPr>
                <w:t>Legal Proceedings</w:t>
              </w:r>
            </w:hyperlink>
          </w:p>
        </w:tc>
        <w:tc>
          <w:tcPr>
            <w:tcW w:w="7800" w:type="dxa"/>
            <w:vAlign w:val="bottom"/>
            <w:gridSpan w:val="14"/>
          </w:tcPr>
          <w:p>
            <w:pPr>
              <w:spacing w:after="0"/>
              <w:rPr>
                <w:sz w:val="21"/>
                <w:szCs w:val="21"/>
                <w:color w:val="auto"/>
              </w:rPr>
            </w:pPr>
          </w:p>
        </w:tc>
        <w:tc>
          <w:tcPr>
            <w:tcW w:w="760" w:type="dxa"/>
            <w:vAlign w:val="bottom"/>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34</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Item 1A.</w:t>
            </w:r>
          </w:p>
        </w:tc>
        <w:tc>
          <w:tcPr>
            <w:tcW w:w="9140" w:type="dxa"/>
            <w:vAlign w:val="bottom"/>
            <w:gridSpan w:val="20"/>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Risk Factors</w:t>
              </w:r>
            </w:hyperlink>
          </w:p>
        </w:tc>
        <w:tc>
          <w:tcPr>
            <w:tcW w:w="760" w:type="dxa"/>
            <w:vAlign w:val="bottom"/>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34</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8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Item 2.</w:t>
            </w: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4800" w:type="dxa"/>
            <w:vAlign w:val="bottom"/>
            <w:gridSpan w:val="9"/>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2"/>
            <w:vMerge w:val="continue"/>
          </w:tcPr>
          <w:p>
            <w:pPr>
              <w:spacing w:after="0"/>
              <w:rPr>
                <w:sz w:val="21"/>
                <w:szCs w:val="21"/>
                <w:color w:val="auto"/>
              </w:rPr>
            </w:pPr>
          </w:p>
        </w:tc>
        <w:tc>
          <w:tcPr>
            <w:tcW w:w="9140" w:type="dxa"/>
            <w:vAlign w:val="bottom"/>
            <w:gridSpan w:val="20"/>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Unregistered Sales of Equity Securities and Use of Proceeds</w:t>
              </w:r>
            </w:hyperlink>
          </w:p>
        </w:tc>
        <w:tc>
          <w:tcPr>
            <w:tcW w:w="760" w:type="dxa"/>
            <w:vAlign w:val="bottom"/>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34</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Item 5.</w:t>
            </w:r>
          </w:p>
        </w:tc>
        <w:tc>
          <w:tcPr>
            <w:tcW w:w="13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2"/>
              </w:rPr>
            </w:pPr>
            <w:hyperlink w:anchor="page38">
              <w:r>
                <w:rPr>
                  <w:rFonts w:ascii="Arial" w:cs="Arial" w:eastAsia="Arial" w:hAnsi="Arial"/>
                  <w:sz w:val="18"/>
                  <w:szCs w:val="18"/>
                  <w:color w:val="0000EE"/>
                  <w:w w:val="92"/>
                </w:rPr>
                <w:t>Other Information</w:t>
              </w:r>
            </w:hyperlink>
          </w:p>
        </w:tc>
        <w:tc>
          <w:tcPr>
            <w:tcW w:w="3020" w:type="dxa"/>
            <w:vAlign w:val="bottom"/>
            <w:tcBorders>
              <w:top w:val="single" w:sz="8" w:color="0000EE"/>
            </w:tcBorders>
            <w:gridSpan w:val="6"/>
          </w:tcPr>
          <w:p>
            <w:pPr>
              <w:spacing w:after="0"/>
              <w:rPr>
                <w:sz w:val="21"/>
                <w:szCs w:val="21"/>
                <w:color w:val="auto"/>
              </w:rPr>
            </w:pPr>
          </w:p>
        </w:tc>
        <w:tc>
          <w:tcPr>
            <w:tcW w:w="4800" w:type="dxa"/>
            <w:vAlign w:val="bottom"/>
            <w:gridSpan w:val="9"/>
          </w:tcPr>
          <w:p>
            <w:pPr>
              <w:spacing w:after="0"/>
              <w:rPr>
                <w:sz w:val="21"/>
                <w:szCs w:val="21"/>
                <w:color w:val="auto"/>
              </w:rPr>
            </w:pPr>
          </w:p>
        </w:tc>
        <w:tc>
          <w:tcPr>
            <w:tcW w:w="760" w:type="dxa"/>
            <w:vAlign w:val="bottom"/>
          </w:tcPr>
          <w:p>
            <w:pPr>
              <w:jc w:val="right"/>
              <w:spacing w:after="0"/>
              <w:rPr>
                <w:rFonts w:ascii="Arial" w:cs="Arial" w:eastAsia="Arial" w:hAnsi="Arial"/>
                <w:sz w:val="18"/>
                <w:szCs w:val="18"/>
                <w:color w:val="auto"/>
              </w:rPr>
            </w:pPr>
            <w:hyperlink w:anchor="page38">
              <w:r>
                <w:rPr>
                  <w:rFonts w:ascii="Arial" w:cs="Arial" w:eastAsia="Arial" w:hAnsi="Arial"/>
                  <w:sz w:val="18"/>
                  <w:szCs w:val="18"/>
                  <w:color w:val="auto"/>
                </w:rPr>
                <w:t>35</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Item 6.</w:t>
            </w:r>
          </w:p>
        </w:tc>
        <w:tc>
          <w:tcPr>
            <w:tcW w:w="9140" w:type="dxa"/>
            <w:vAlign w:val="bottom"/>
            <w:gridSpan w:val="20"/>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Exhibits</w:t>
              </w:r>
            </w:hyperlink>
          </w:p>
        </w:tc>
        <w:tc>
          <w:tcPr>
            <w:tcW w:w="760" w:type="dxa"/>
            <w:vAlign w:val="bottom"/>
          </w:tcPr>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36</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160" w:type="dxa"/>
            <w:vAlign w:val="bottom"/>
            <w:tcBorders>
              <w:bottom w:val="single" w:sz="8" w:color="0000EE"/>
            </w:tcBorders>
          </w:tcPr>
          <w:p>
            <w:pPr>
              <w:spacing w:after="0"/>
              <w:rPr>
                <w:rFonts w:ascii="Arial" w:cs="Arial" w:eastAsia="Arial" w:hAnsi="Arial"/>
                <w:sz w:val="18"/>
                <w:szCs w:val="18"/>
                <w:b w:val="1"/>
                <w:bCs w:val="1"/>
                <w:color w:val="0000EE"/>
                <w:w w:val="96"/>
              </w:rPr>
            </w:pPr>
            <w:hyperlink w:anchor="page40">
              <w:r>
                <w:rPr>
                  <w:rFonts w:ascii="Arial" w:cs="Arial" w:eastAsia="Arial" w:hAnsi="Arial"/>
                  <w:sz w:val="18"/>
                  <w:szCs w:val="18"/>
                  <w:b w:val="1"/>
                  <w:bCs w:val="1"/>
                  <w:color w:val="0000EE"/>
                  <w:w w:val="96"/>
                </w:rPr>
                <w:t>SIGNATURES</w:t>
              </w:r>
            </w:hyperlink>
          </w:p>
        </w:tc>
        <w:tc>
          <w:tcPr>
            <w:tcW w:w="320" w:type="dxa"/>
            <w:vAlign w:val="bottom"/>
          </w:tcPr>
          <w:p>
            <w:pPr>
              <w:spacing w:after="0"/>
              <w:rPr>
                <w:sz w:val="21"/>
                <w:szCs w:val="21"/>
                <w:color w:val="auto"/>
              </w:rPr>
            </w:pPr>
          </w:p>
        </w:tc>
        <w:tc>
          <w:tcPr>
            <w:tcW w:w="600" w:type="dxa"/>
            <w:vAlign w:val="bottom"/>
            <w:tcBorders>
              <w:top w:val="single" w:sz="8" w:color="0000EE"/>
            </w:tcBorders>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rFonts w:ascii="Arial" w:cs="Arial" w:eastAsia="Arial" w:hAnsi="Arial"/>
                <w:sz w:val="18"/>
                <w:szCs w:val="18"/>
                <w:color w:val="auto"/>
              </w:rPr>
            </w:pPr>
            <w:hyperlink w:anchor="page40">
              <w:r>
                <w:rPr>
                  <w:rFonts w:ascii="Arial" w:cs="Arial" w:eastAsia="Arial" w:hAnsi="Arial"/>
                  <w:sz w:val="18"/>
                  <w:szCs w:val="18"/>
                  <w:color w:val="auto"/>
                </w:rPr>
                <w:t>37</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0620" w:type="dxa"/>
            <w:vAlign w:val="bottom"/>
            <w:gridSpan w:val="22"/>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NBCUniversal Media, LLC Financial Statements</w:t>
              </w:r>
            </w:hyperlink>
          </w:p>
        </w:tc>
        <w:tc>
          <w:tcPr>
            <w:tcW w:w="760" w:type="dxa"/>
            <w:vAlign w:val="bottom"/>
          </w:tcPr>
          <w:p>
            <w:pPr>
              <w:jc w:val="right"/>
              <w:spacing w:after="0"/>
              <w:rPr>
                <w:rFonts w:ascii="Arial" w:cs="Arial" w:eastAsia="Arial" w:hAnsi="Arial"/>
                <w:sz w:val="18"/>
                <w:szCs w:val="18"/>
                <w:color w:val="auto"/>
              </w:rPr>
            </w:pPr>
            <w:hyperlink w:anchor="page41">
              <w:r>
                <w:rPr>
                  <w:rFonts w:ascii="Arial" w:cs="Arial" w:eastAsia="Arial" w:hAnsi="Arial"/>
                  <w:sz w:val="18"/>
                  <w:szCs w:val="18"/>
                  <w:color w:val="auto"/>
                </w:rPr>
                <w:t>38</w:t>
              </w:r>
            </w:hyperlink>
          </w:p>
        </w:tc>
        <w:tc>
          <w:tcPr>
            <w:tcW w:w="0" w:type="dxa"/>
            <w:vAlign w:val="bottom"/>
          </w:tcPr>
          <w:p>
            <w:pPr>
              <w:spacing w:after="0"/>
              <w:rPr>
                <w:sz w:val="1"/>
                <w:szCs w:val="1"/>
                <w:color w:val="auto"/>
              </w:rPr>
            </w:pPr>
          </w:p>
        </w:tc>
      </w:tr>
      <w:tr>
        <w:trPr>
          <w:trHeight w:val="48"/>
        </w:trPr>
        <w:tc>
          <w:tcPr>
            <w:tcW w:w="40" w:type="dxa"/>
            <w:vAlign w:val="bottom"/>
            <w:tcBorders>
              <w:bottom w:val="single" w:sz="8" w:color="auto"/>
            </w:tcBorders>
          </w:tcPr>
          <w:p>
            <w:pPr>
              <w:spacing w:after="0"/>
              <w:rPr>
                <w:sz w:val="4"/>
                <w:szCs w:val="4"/>
                <w:color w:val="auto"/>
              </w:rPr>
            </w:pPr>
          </w:p>
        </w:tc>
        <w:tc>
          <w:tcPr>
            <w:tcW w:w="1160" w:type="dxa"/>
            <w:vAlign w:val="bottom"/>
            <w:tcBorders>
              <w:top w:val="single" w:sz="8" w:color="0000EE"/>
              <w:bottom w:val="single" w:sz="8" w:color="auto"/>
            </w:tcBorders>
          </w:tcPr>
          <w:p>
            <w:pPr>
              <w:spacing w:after="0"/>
              <w:rPr>
                <w:sz w:val="4"/>
                <w:szCs w:val="4"/>
                <w:color w:val="auto"/>
              </w:rPr>
            </w:pPr>
          </w:p>
        </w:tc>
        <w:tc>
          <w:tcPr>
            <w:tcW w:w="320" w:type="dxa"/>
            <w:vAlign w:val="bottom"/>
            <w:tcBorders>
              <w:top w:val="single" w:sz="8" w:color="0000EE"/>
              <w:bottom w:val="single" w:sz="8" w:color="auto"/>
            </w:tcBorders>
          </w:tcPr>
          <w:p>
            <w:pPr>
              <w:spacing w:after="0"/>
              <w:rPr>
                <w:sz w:val="4"/>
                <w:szCs w:val="4"/>
                <w:color w:val="auto"/>
              </w:rPr>
            </w:pPr>
          </w:p>
        </w:tc>
        <w:tc>
          <w:tcPr>
            <w:tcW w:w="600" w:type="dxa"/>
            <w:vAlign w:val="bottom"/>
            <w:tcBorders>
              <w:top w:val="single" w:sz="8" w:color="0000EE"/>
              <w:bottom w:val="single" w:sz="8" w:color="auto"/>
            </w:tcBorders>
          </w:tcPr>
          <w:p>
            <w:pPr>
              <w:spacing w:after="0"/>
              <w:rPr>
                <w:sz w:val="4"/>
                <w:szCs w:val="4"/>
                <w:color w:val="auto"/>
              </w:rPr>
            </w:pPr>
          </w:p>
        </w:tc>
        <w:tc>
          <w:tcPr>
            <w:tcW w:w="28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380" w:type="dxa"/>
            <w:vAlign w:val="bottom"/>
            <w:tcBorders>
              <w:top w:val="single" w:sz="8" w:color="0000EE"/>
              <w:bottom w:val="single" w:sz="8" w:color="auto"/>
            </w:tcBorders>
          </w:tcPr>
          <w:p>
            <w:pPr>
              <w:spacing w:after="0"/>
              <w:rPr>
                <w:sz w:val="4"/>
                <w:szCs w:val="4"/>
                <w:color w:val="auto"/>
              </w:rPr>
            </w:pPr>
          </w:p>
        </w:tc>
        <w:tc>
          <w:tcPr>
            <w:tcW w:w="4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240" w:type="dxa"/>
            <w:vAlign w:val="bottom"/>
            <w:tcBorders>
              <w:top w:val="single" w:sz="8" w:color="0000EE"/>
              <w:bottom w:val="single" w:sz="8" w:color="auto"/>
            </w:tcBorders>
          </w:tcPr>
          <w:p>
            <w:pPr>
              <w:spacing w:after="0"/>
              <w:rPr>
                <w:sz w:val="4"/>
                <w:szCs w:val="4"/>
                <w:color w:val="auto"/>
              </w:rPr>
            </w:pPr>
          </w:p>
        </w:tc>
        <w:tc>
          <w:tcPr>
            <w:tcW w:w="200" w:type="dxa"/>
            <w:vAlign w:val="bottom"/>
            <w:tcBorders>
              <w:top w:val="single" w:sz="8" w:color="0000EE"/>
              <w:bottom w:val="single" w:sz="8" w:color="auto"/>
            </w:tcBorders>
          </w:tcPr>
          <w:p>
            <w:pPr>
              <w:spacing w:after="0"/>
              <w:rPr>
                <w:sz w:val="4"/>
                <w:szCs w:val="4"/>
                <w:color w:val="auto"/>
              </w:rPr>
            </w:pPr>
          </w:p>
        </w:tc>
        <w:tc>
          <w:tcPr>
            <w:tcW w:w="280" w:type="dxa"/>
            <w:vAlign w:val="bottom"/>
            <w:tcBorders>
              <w:top w:val="single" w:sz="8" w:color="0000EE"/>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4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Quarterly Report on Form 10-Q is a combined report being filed separately by Comcast Corporation (“Comcast”) and NBCUniversal Media, LLC (“NBCUniversal”). Comcast owns all of the common equity interests in NBCUniversal, and NBCUniversal meets the conditions set forth in General Instruction H(1)(a) and (b) of Form 10-Q and is therefore filing its information within this Form 10-Q with the reduced disclosure format. Each of Comcast and NBCUniversal is filing on its own behalf the information contained in this report that relates to itself, and neither company makes any representation as to information relating to the other company. Where information or an explanation is provided that is substantially the same for each company, such information or explanation has been combined in this report. Where information or an explanation is not substantially the same for each company, separate information and explanation has been provided. In addition, separate condensed consolidated financial statements for each company, along with notes to the condensed consolidated financial statements, are included in this report. Unless indicated otherwise, throughout this Quarterly Report on Form 10-Q, we refer to Comcast and its consolidated subsidiaries, including NBCUniversal and its consolidated subsidiaries, as “we,” “us” and “our;” Comcast Cable Communications, LLC and its consolidated subsidiaries as “Comcast Cable;” Comcast Holdings Corporation as “Comcast Holdings;” and NBCUniversal, LLC as “NBCUniversal Holdings.”</w:t>
      </w:r>
    </w:p>
    <w:p>
      <w:pPr>
        <w:spacing w:after="0" w:line="1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Quarterly Report on Form 10-Q is for the three months ended March 31, 2017. This Quarterly Report modifies and supersedes documents filed before it. The Securities and Exchange Commission (“SEC”) allows us to “incorporate by reference” information that we file with it, which means that we can disclose important information to you by referring you directly to those documents. Information incorporated by reference is considered to be part of this Quarterly Report. In addition, information that we file with the SEC in the future will automatically update and supersede information contained in this Quarterly Report.</w:t>
      </w:r>
    </w:p>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You should carefully review the information contained in this Quarterly Report and particularly consider any risk factors set forth in this Quarterly Report and in other reports or documents that we file from time to time with the SEC. In this Quarterly Report, we state our beliefs of future events and of our future financial performance. In some cases, you can identify these so-called</w:t>
      </w:r>
    </w:p>
    <w:p>
      <w:pPr>
        <w:sectPr>
          <w:pgSz w:w="11900" w:h="16838" w:orient="portrait"/>
          <w:cols w:equalWidth="0" w:num="1">
            <w:col w:w="11420"/>
          </w:cols>
          <w:pgMar w:left="240" w:top="418" w:right="239" w:bottom="1440" w:gutter="0" w:footer="0" w:header="0"/>
        </w:sectPr>
      </w:pPr>
    </w:p>
    <w:bookmarkStart w:id="2" w:name="page3"/>
    <w:bookmarkEnd w:id="2"/>
    <w:p>
      <w:pPr>
        <w:jc w:val="both"/>
        <w:spacing w:after="0" w:line="279" w:lineRule="auto"/>
        <w:rPr>
          <w:sz w:val="20"/>
          <w:szCs w:val="20"/>
          <w:color w:val="auto"/>
        </w:rPr>
      </w:pPr>
      <w:r>
        <w:rPr>
          <w:rFonts w:ascii="Arial" w:cs="Arial" w:eastAsia="Arial" w:hAnsi="Arial"/>
          <w:sz w:val="17"/>
          <w:szCs w:val="17"/>
          <w:color w:val="auto"/>
        </w:rPr>
        <w:t>“forward-looking statements” by words such as “may,” “will,” “should,” “expects,” “believes,” “estimates,” “potential,” or “continue,” or the negative of those words, and other comparable words. You should be aware that these statements are only our predictions. In evaluating these statements, you should specifically consider various factors, including the risks outlined below and in other reports we file with the SEC. Actual events or our actual results may differ materially from any of our forward-looking statements. We undertake no obligation to update any forward-looking statements.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Our businesses may be affected by, among other things, the following:</w:t>
      </w:r>
    </w:p>
    <w:p>
      <w:pPr>
        <w:spacing w:after="0" w:line="117" w:lineRule="exact"/>
        <w:rPr>
          <w:sz w:val="20"/>
          <w:szCs w:val="20"/>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businesses currently face a wide range of competition, and our businesses and results of operations could be adversely affected if we do not compete effectively</w:t>
      </w:r>
    </w:p>
    <w:p>
      <w:pPr>
        <w:spacing w:after="0" w:line="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consumer behavior driven by new technologies and distribution platforms for viewing content may adversely affect our businesses and challenge existing business models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decline in advertisers’ expenditures or changes in advertising markets could negatively impact our businesses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businesses depend on keeping pace with technological developments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are subject to regulation by federal, state, local and foreign authorities, which may impose additional costs and restrictions on our businesses</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to existing statutes, rules, regulations, or interpretations thereof, or adoption of new ones, could have an adverse effect on our businesses</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programming expenses for our video services are increasing, which could adversely affect our Cable Communications segment’s video business</w:t>
      </w:r>
    </w:p>
    <w:p>
      <w:pPr>
        <w:spacing w:after="0" w:line="86"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NBCUniversal’s success depends on consumer acceptance of its content, and its businesses may be adversely affected if its content fails to achieve sufficient consumer acceptance or the costs to create or acquire content increase</w:t>
      </w:r>
    </w:p>
    <w:p>
      <w:pPr>
        <w:spacing w:after="0" w:line="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NBCUniversal’s programming distribution agreements, or the renewal of these agreements on less favorable terms, could adversely affect its businesses</w:t>
      </w:r>
    </w:p>
    <w:p>
      <w:pPr>
        <w:spacing w:after="0" w:line="8"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rely on network and information systems and other technologies, as well as key properties, and a disruption, cyber attack, failure or destruction of such networks, systems, technologies or properties may disrupt our businesses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obtain necessary hardware, software and operational support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weak economic conditions may have a negative impact on our businesses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businesses depend on using and protecting certain intellectual property rights and on not infringing the intellectual property rights of others</w:t>
      </w:r>
    </w:p>
    <w:p>
      <w:pPr>
        <w:spacing w:after="0" w:line="74"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acquisitions and other strategic initiatives, including the launch of our wireless phone service, present many risks, and we may not realize the financial and strategic goals that we had contemplated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labor disputes, whether involving employees or sports organizations, may disrupt our operations and adversely affect our businesses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key management personnel or popular on-air and creative talent could have an adverse effect on our businesses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risks relating to doing business internationally that could adversely affect our businesses</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ectPr>
          <w:pgSz w:w="11900" w:h="16838" w:orient="portrait"/>
          <w:cols w:equalWidth="0" w:num="1">
            <w:col w:w="11420"/>
          </w:cols>
          <w:pgMar w:left="240" w:top="436"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 FINANCIAL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tcPr>
          <w:p>
            <w:pPr>
              <w:jc w:val="right"/>
              <w:ind w:right="371"/>
              <w:spacing w:after="0"/>
              <w:rPr>
                <w:sz w:val="20"/>
                <w:szCs w:val="20"/>
                <w:color w:val="auto"/>
              </w:rPr>
            </w:pPr>
            <w:r>
              <w:rPr>
                <w:rFonts w:ascii="Arial" w:cs="Arial" w:eastAsia="Arial" w:hAnsi="Arial"/>
                <w:sz w:val="14"/>
                <w:szCs w:val="14"/>
                <w:color w:val="auto"/>
              </w:rPr>
              <w:t>March 31,</w:t>
            </w:r>
          </w:p>
        </w:tc>
        <w:tc>
          <w:tcPr>
            <w:tcW w:w="220" w:type="dxa"/>
            <w:vAlign w:val="bottom"/>
          </w:tcPr>
          <w:p>
            <w:pPr>
              <w:spacing w:after="0"/>
              <w:rPr>
                <w:sz w:val="14"/>
                <w:szCs w:val="14"/>
                <w:color w:val="auto"/>
              </w:rPr>
            </w:pPr>
          </w:p>
        </w:tc>
        <w:tc>
          <w:tcPr>
            <w:tcW w:w="1260" w:type="dxa"/>
            <w:vAlign w:val="bottom"/>
          </w:tcPr>
          <w:p>
            <w:pPr>
              <w:jc w:val="right"/>
              <w:ind w:right="271"/>
              <w:spacing w:after="0"/>
              <w:rPr>
                <w:sz w:val="20"/>
                <w:szCs w:val="20"/>
                <w:color w:val="auto"/>
              </w:rPr>
            </w:pPr>
            <w:r>
              <w:rPr>
                <w:rFonts w:ascii="Arial" w:cs="Arial" w:eastAsia="Arial" w:hAnsi="Arial"/>
                <w:sz w:val="14"/>
                <w:szCs w:val="14"/>
                <w:color w:val="auto"/>
              </w:rPr>
              <w:t>December 31,</w:t>
            </w:r>
          </w:p>
        </w:tc>
      </w:tr>
      <w:tr>
        <w:trPr>
          <w:trHeight w:val="188"/>
        </w:trPr>
        <w:tc>
          <w:tcPr>
            <w:tcW w:w="8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 except share data)</w:t>
            </w:r>
          </w:p>
        </w:tc>
        <w:tc>
          <w:tcPr>
            <w:tcW w:w="4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2017</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2016</w:t>
            </w:r>
          </w:p>
        </w:tc>
      </w:tr>
      <w:tr>
        <w:trPr>
          <w:trHeight w:val="243"/>
        </w:trPr>
        <w:tc>
          <w:tcPr>
            <w:tcW w:w="830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4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0"/>
        </w:trPr>
        <w:tc>
          <w:tcPr>
            <w:tcW w:w="83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4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830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4,022</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3,301</w:t>
            </w:r>
          </w:p>
        </w:tc>
      </w:tr>
      <w:tr>
        <w:trPr>
          <w:trHeight w:val="270"/>
        </w:trPr>
        <w:tc>
          <w:tcPr>
            <w:tcW w:w="8300" w:type="dxa"/>
            <w:vAlign w:val="bottom"/>
          </w:tcPr>
          <w:p>
            <w:pPr>
              <w:ind w:left="380"/>
              <w:spacing w:after="0"/>
              <w:rPr>
                <w:sz w:val="20"/>
                <w:szCs w:val="20"/>
                <w:color w:val="auto"/>
              </w:rPr>
            </w:pPr>
            <w:r>
              <w:rPr>
                <w:rFonts w:ascii="Arial" w:cs="Arial" w:eastAsia="Arial" w:hAnsi="Arial"/>
                <w:sz w:val="18"/>
                <w:szCs w:val="18"/>
                <w:color w:val="auto"/>
              </w:rPr>
              <w:t>Receivables, net</w:t>
            </w:r>
          </w:p>
        </w:tc>
        <w:tc>
          <w:tcPr>
            <w:tcW w:w="44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7,525</w:t>
            </w:r>
          </w:p>
        </w:tc>
        <w:tc>
          <w:tcPr>
            <w:tcW w:w="22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7,955</w:t>
            </w:r>
          </w:p>
        </w:tc>
      </w:tr>
      <w:tr>
        <w:trPr>
          <w:trHeight w:val="270"/>
        </w:trPr>
        <w:tc>
          <w:tcPr>
            <w:tcW w:w="8300" w:type="dxa"/>
            <w:vAlign w:val="bottom"/>
          </w:tcPr>
          <w:p>
            <w:pPr>
              <w:ind w:left="380"/>
              <w:spacing w:after="0"/>
              <w:rPr>
                <w:sz w:val="20"/>
                <w:szCs w:val="20"/>
                <w:color w:val="auto"/>
              </w:rPr>
            </w:pPr>
            <w:r>
              <w:rPr>
                <w:rFonts w:ascii="Arial" w:cs="Arial" w:eastAsia="Arial" w:hAnsi="Arial"/>
                <w:sz w:val="18"/>
                <w:szCs w:val="18"/>
                <w:color w:val="auto"/>
              </w:rPr>
              <w:t>Programming rights</w:t>
            </w:r>
          </w:p>
        </w:tc>
        <w:tc>
          <w:tcPr>
            <w:tcW w:w="44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1,479</w:t>
            </w:r>
          </w:p>
        </w:tc>
        <w:tc>
          <w:tcPr>
            <w:tcW w:w="22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1,250</w:t>
            </w:r>
          </w:p>
        </w:tc>
      </w:tr>
      <w:tr>
        <w:trPr>
          <w:trHeight w:val="270"/>
        </w:trPr>
        <w:tc>
          <w:tcPr>
            <w:tcW w:w="8300" w:type="dxa"/>
            <w:vAlign w:val="bottom"/>
          </w:tcPr>
          <w:p>
            <w:pPr>
              <w:ind w:left="380"/>
              <w:spacing w:after="0"/>
              <w:rPr>
                <w:sz w:val="20"/>
                <w:szCs w:val="20"/>
                <w:color w:val="auto"/>
              </w:rPr>
            </w:pPr>
            <w:r>
              <w:rPr>
                <w:rFonts w:ascii="Arial" w:cs="Arial" w:eastAsia="Arial" w:hAnsi="Arial"/>
                <w:sz w:val="18"/>
                <w:szCs w:val="18"/>
                <w:color w:val="auto"/>
              </w:rPr>
              <w:t>Other current assets</w:t>
            </w:r>
          </w:p>
        </w:tc>
        <w:tc>
          <w:tcPr>
            <w:tcW w:w="44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2,219</w:t>
            </w:r>
          </w:p>
        </w:tc>
        <w:tc>
          <w:tcPr>
            <w:tcW w:w="22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3,855</w:t>
            </w:r>
          </w:p>
        </w:tc>
      </w:tr>
      <w:tr>
        <w:trPr>
          <w:trHeight w:val="27"/>
        </w:trPr>
        <w:tc>
          <w:tcPr>
            <w:tcW w:w="8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30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44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15,245</w:t>
            </w:r>
          </w:p>
        </w:tc>
        <w:tc>
          <w:tcPr>
            <w:tcW w:w="22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16,361</w:t>
            </w:r>
          </w:p>
        </w:tc>
      </w:tr>
      <w:tr>
        <w:trPr>
          <w:trHeight w:val="270"/>
        </w:trPr>
        <w:tc>
          <w:tcPr>
            <w:tcW w:w="8300" w:type="dxa"/>
            <w:vAlign w:val="bottom"/>
          </w:tcPr>
          <w:p>
            <w:pPr>
              <w:ind w:left="40"/>
              <w:spacing w:after="0"/>
              <w:rPr>
                <w:sz w:val="20"/>
                <w:szCs w:val="20"/>
                <w:color w:val="auto"/>
              </w:rPr>
            </w:pPr>
            <w:r>
              <w:rPr>
                <w:rFonts w:ascii="Arial" w:cs="Arial" w:eastAsia="Arial" w:hAnsi="Arial"/>
                <w:sz w:val="18"/>
                <w:szCs w:val="18"/>
                <w:color w:val="auto"/>
              </w:rPr>
              <w:t>Film and television costs</w:t>
            </w:r>
          </w:p>
        </w:tc>
        <w:tc>
          <w:tcPr>
            <w:tcW w:w="44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6,968</w:t>
            </w:r>
          </w:p>
        </w:tc>
        <w:tc>
          <w:tcPr>
            <w:tcW w:w="22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7,252</w:t>
            </w:r>
          </w:p>
        </w:tc>
      </w:tr>
      <w:tr>
        <w:trPr>
          <w:trHeight w:val="270"/>
        </w:trPr>
        <w:tc>
          <w:tcPr>
            <w:tcW w:w="830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44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5,938</w:t>
            </w:r>
          </w:p>
        </w:tc>
        <w:tc>
          <w:tcPr>
            <w:tcW w:w="22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5,247</w:t>
            </w:r>
          </w:p>
        </w:tc>
      </w:tr>
      <w:tr>
        <w:trPr>
          <w:trHeight w:val="270"/>
        </w:trPr>
        <w:tc>
          <w:tcPr>
            <w:tcW w:w="8300" w:type="dxa"/>
            <w:vAlign w:val="bottom"/>
          </w:tcPr>
          <w:p>
            <w:pPr>
              <w:ind w:left="40"/>
              <w:spacing w:after="0"/>
              <w:rPr>
                <w:sz w:val="20"/>
                <w:szCs w:val="20"/>
                <w:color w:val="auto"/>
              </w:rPr>
            </w:pPr>
            <w:r>
              <w:rPr>
                <w:rFonts w:ascii="Arial" w:cs="Arial" w:eastAsia="Arial" w:hAnsi="Arial"/>
                <w:sz w:val="18"/>
                <w:szCs w:val="18"/>
                <w:color w:val="auto"/>
              </w:rPr>
              <w:t>Property and equipment, net of accumulated depreciation of $49,991 and $49,694</w:t>
            </w:r>
          </w:p>
        </w:tc>
        <w:tc>
          <w:tcPr>
            <w:tcW w:w="44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36,626</w:t>
            </w:r>
          </w:p>
        </w:tc>
        <w:tc>
          <w:tcPr>
            <w:tcW w:w="22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36,253</w:t>
            </w:r>
          </w:p>
        </w:tc>
      </w:tr>
      <w:tr>
        <w:trPr>
          <w:trHeight w:val="270"/>
        </w:trPr>
        <w:tc>
          <w:tcPr>
            <w:tcW w:w="8300" w:type="dxa"/>
            <w:vAlign w:val="bottom"/>
          </w:tcPr>
          <w:p>
            <w:pPr>
              <w:ind w:left="40"/>
              <w:spacing w:after="0"/>
              <w:rPr>
                <w:sz w:val="20"/>
                <w:szCs w:val="20"/>
                <w:color w:val="auto"/>
              </w:rPr>
            </w:pPr>
            <w:r>
              <w:rPr>
                <w:rFonts w:ascii="Arial" w:cs="Arial" w:eastAsia="Arial" w:hAnsi="Arial"/>
                <w:sz w:val="18"/>
                <w:szCs w:val="18"/>
                <w:color w:val="auto"/>
              </w:rPr>
              <w:t>Franchise rights</w:t>
            </w:r>
          </w:p>
        </w:tc>
        <w:tc>
          <w:tcPr>
            <w:tcW w:w="44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59,364</w:t>
            </w:r>
          </w:p>
        </w:tc>
        <w:tc>
          <w:tcPr>
            <w:tcW w:w="22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59,364</w:t>
            </w:r>
          </w:p>
        </w:tc>
      </w:tr>
      <w:tr>
        <w:trPr>
          <w:trHeight w:val="270"/>
        </w:trPr>
        <w:tc>
          <w:tcPr>
            <w:tcW w:w="8300" w:type="dxa"/>
            <w:vAlign w:val="bottom"/>
          </w:tcPr>
          <w:p>
            <w:pPr>
              <w:ind w:left="40"/>
              <w:spacing w:after="0"/>
              <w:rPr>
                <w:sz w:val="20"/>
                <w:szCs w:val="20"/>
                <w:color w:val="auto"/>
              </w:rPr>
            </w:pPr>
            <w:r>
              <w:rPr>
                <w:rFonts w:ascii="Arial" w:cs="Arial" w:eastAsia="Arial" w:hAnsi="Arial"/>
                <w:sz w:val="18"/>
                <w:szCs w:val="18"/>
                <w:color w:val="auto"/>
              </w:rPr>
              <w:t>Goodwill</w:t>
            </w:r>
          </w:p>
        </w:tc>
        <w:tc>
          <w:tcPr>
            <w:tcW w:w="44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36,592</w:t>
            </w:r>
          </w:p>
        </w:tc>
        <w:tc>
          <w:tcPr>
            <w:tcW w:w="22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35,980</w:t>
            </w:r>
          </w:p>
        </w:tc>
      </w:tr>
      <w:tr>
        <w:trPr>
          <w:trHeight w:val="270"/>
        </w:trPr>
        <w:tc>
          <w:tcPr>
            <w:tcW w:w="8300" w:type="dxa"/>
            <w:vAlign w:val="bottom"/>
          </w:tcPr>
          <w:p>
            <w:pPr>
              <w:ind w:left="40"/>
              <w:spacing w:after="0"/>
              <w:rPr>
                <w:sz w:val="20"/>
                <w:szCs w:val="20"/>
                <w:color w:val="auto"/>
              </w:rPr>
            </w:pPr>
            <w:r>
              <w:rPr>
                <w:rFonts w:ascii="Arial" w:cs="Arial" w:eastAsia="Arial" w:hAnsi="Arial"/>
                <w:sz w:val="18"/>
                <w:szCs w:val="18"/>
                <w:color w:val="auto"/>
              </w:rPr>
              <w:t>Other intangible assets, net of accumulated amortization of $11,442 and $11,013</w:t>
            </w:r>
          </w:p>
        </w:tc>
        <w:tc>
          <w:tcPr>
            <w:tcW w:w="44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19,014</w:t>
            </w:r>
          </w:p>
        </w:tc>
        <w:tc>
          <w:tcPr>
            <w:tcW w:w="22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17,274</w:t>
            </w:r>
          </w:p>
        </w:tc>
      </w:tr>
      <w:tr>
        <w:trPr>
          <w:trHeight w:val="270"/>
        </w:trPr>
        <w:tc>
          <w:tcPr>
            <w:tcW w:w="8300" w:type="dxa"/>
            <w:vAlign w:val="bottom"/>
          </w:tcPr>
          <w:p>
            <w:pPr>
              <w:ind w:left="40"/>
              <w:spacing w:after="0"/>
              <w:rPr>
                <w:sz w:val="20"/>
                <w:szCs w:val="20"/>
                <w:color w:val="auto"/>
              </w:rPr>
            </w:pPr>
            <w:r>
              <w:rPr>
                <w:rFonts w:ascii="Arial" w:cs="Arial" w:eastAsia="Arial" w:hAnsi="Arial"/>
                <w:sz w:val="18"/>
                <w:szCs w:val="18"/>
                <w:color w:val="auto"/>
              </w:rPr>
              <w:t>Other noncurrent assets, net</w:t>
            </w:r>
          </w:p>
        </w:tc>
        <w:tc>
          <w:tcPr>
            <w:tcW w:w="44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2,732</w:t>
            </w:r>
          </w:p>
        </w:tc>
        <w:tc>
          <w:tcPr>
            <w:tcW w:w="22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2,769</w:t>
            </w:r>
          </w:p>
        </w:tc>
      </w:tr>
      <w:tr>
        <w:trPr>
          <w:trHeight w:val="27"/>
        </w:trPr>
        <w:tc>
          <w:tcPr>
            <w:tcW w:w="8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30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4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1"/>
              <w:spacing w:after="0"/>
              <w:rPr>
                <w:sz w:val="20"/>
                <w:szCs w:val="20"/>
                <w:color w:val="auto"/>
              </w:rPr>
            </w:pPr>
            <w:r>
              <w:rPr>
                <w:rFonts w:ascii="Arial" w:cs="Arial" w:eastAsia="Arial" w:hAnsi="Arial"/>
                <w:sz w:val="18"/>
                <w:szCs w:val="18"/>
                <w:b w:val="1"/>
                <w:bCs w:val="1"/>
                <w:color w:val="auto"/>
              </w:rPr>
              <w:t>182,479</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b w:val="1"/>
                <w:bCs w:val="1"/>
                <w:color w:val="auto"/>
              </w:rPr>
              <w:t>180,500</w:t>
            </w:r>
          </w:p>
        </w:tc>
      </w:tr>
      <w:tr>
        <w:trPr>
          <w:trHeight w:val="34"/>
        </w:trPr>
        <w:tc>
          <w:tcPr>
            <w:tcW w:w="8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8300" w:type="dxa"/>
            <w:vAlign w:val="bottom"/>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4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0"/>
        </w:trPr>
        <w:tc>
          <w:tcPr>
            <w:tcW w:w="83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4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8300" w:type="dxa"/>
            <w:vAlign w:val="bottom"/>
          </w:tcPr>
          <w:p>
            <w:pPr>
              <w:ind w:left="380"/>
              <w:spacing w:after="0"/>
              <w:rPr>
                <w:sz w:val="20"/>
                <w:szCs w:val="20"/>
                <w:color w:val="auto"/>
              </w:rPr>
            </w:pPr>
            <w:r>
              <w:rPr>
                <w:rFonts w:ascii="Arial" w:cs="Arial" w:eastAsia="Arial" w:hAnsi="Arial"/>
                <w:sz w:val="18"/>
                <w:szCs w:val="18"/>
                <w:color w:val="auto"/>
              </w:rPr>
              <w:t>Accounts payable and accrued expenses related to trade creditors</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6,658</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6,915</w:t>
            </w:r>
          </w:p>
        </w:tc>
      </w:tr>
      <w:tr>
        <w:trPr>
          <w:trHeight w:val="270"/>
        </w:trPr>
        <w:tc>
          <w:tcPr>
            <w:tcW w:w="8300" w:type="dxa"/>
            <w:vAlign w:val="bottom"/>
          </w:tcPr>
          <w:p>
            <w:pPr>
              <w:ind w:left="380"/>
              <w:spacing w:after="0"/>
              <w:rPr>
                <w:sz w:val="20"/>
                <w:szCs w:val="20"/>
                <w:color w:val="auto"/>
              </w:rPr>
            </w:pPr>
            <w:r>
              <w:rPr>
                <w:rFonts w:ascii="Arial" w:cs="Arial" w:eastAsia="Arial" w:hAnsi="Arial"/>
                <w:sz w:val="18"/>
                <w:szCs w:val="18"/>
                <w:color w:val="auto"/>
              </w:rPr>
              <w:t>Accrued participations and residuals</w:t>
            </w:r>
          </w:p>
        </w:tc>
        <w:tc>
          <w:tcPr>
            <w:tcW w:w="44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1,811</w:t>
            </w:r>
          </w:p>
        </w:tc>
        <w:tc>
          <w:tcPr>
            <w:tcW w:w="22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1,726</w:t>
            </w:r>
          </w:p>
        </w:tc>
      </w:tr>
      <w:tr>
        <w:trPr>
          <w:trHeight w:val="270"/>
        </w:trPr>
        <w:tc>
          <w:tcPr>
            <w:tcW w:w="830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44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1,234</w:t>
            </w:r>
          </w:p>
        </w:tc>
        <w:tc>
          <w:tcPr>
            <w:tcW w:w="22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1,132</w:t>
            </w:r>
          </w:p>
        </w:tc>
      </w:tr>
      <w:tr>
        <w:trPr>
          <w:trHeight w:val="270"/>
        </w:trPr>
        <w:tc>
          <w:tcPr>
            <w:tcW w:w="830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44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5,862</w:t>
            </w:r>
          </w:p>
        </w:tc>
        <w:tc>
          <w:tcPr>
            <w:tcW w:w="22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6,282</w:t>
            </w:r>
          </w:p>
        </w:tc>
      </w:tr>
      <w:tr>
        <w:trPr>
          <w:trHeight w:val="270"/>
        </w:trPr>
        <w:tc>
          <w:tcPr>
            <w:tcW w:w="8300" w:type="dxa"/>
            <w:vAlign w:val="bottom"/>
          </w:tcPr>
          <w:p>
            <w:pPr>
              <w:ind w:left="380"/>
              <w:spacing w:after="0"/>
              <w:rPr>
                <w:sz w:val="20"/>
                <w:szCs w:val="20"/>
                <w:color w:val="auto"/>
              </w:rPr>
            </w:pPr>
            <w:r>
              <w:rPr>
                <w:rFonts w:ascii="Arial" w:cs="Arial" w:eastAsia="Arial" w:hAnsi="Arial"/>
                <w:sz w:val="18"/>
                <w:szCs w:val="18"/>
                <w:color w:val="auto"/>
              </w:rPr>
              <w:t>Current portion of long-term debt</w:t>
            </w:r>
          </w:p>
        </w:tc>
        <w:tc>
          <w:tcPr>
            <w:tcW w:w="44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3,509</w:t>
            </w:r>
          </w:p>
        </w:tc>
        <w:tc>
          <w:tcPr>
            <w:tcW w:w="22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5,480</w:t>
            </w:r>
          </w:p>
        </w:tc>
      </w:tr>
      <w:tr>
        <w:trPr>
          <w:trHeight w:val="27"/>
        </w:trPr>
        <w:tc>
          <w:tcPr>
            <w:tcW w:w="8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30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44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19,074</w:t>
            </w:r>
          </w:p>
        </w:tc>
        <w:tc>
          <w:tcPr>
            <w:tcW w:w="22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21,535</w:t>
            </w:r>
          </w:p>
        </w:tc>
      </w:tr>
      <w:tr>
        <w:trPr>
          <w:trHeight w:val="270"/>
        </w:trPr>
        <w:tc>
          <w:tcPr>
            <w:tcW w:w="8300" w:type="dxa"/>
            <w:vAlign w:val="bottom"/>
          </w:tcPr>
          <w:p>
            <w:pPr>
              <w:ind w:left="40"/>
              <w:spacing w:after="0"/>
              <w:rPr>
                <w:sz w:val="20"/>
                <w:szCs w:val="20"/>
                <w:color w:val="auto"/>
              </w:rPr>
            </w:pPr>
            <w:r>
              <w:rPr>
                <w:rFonts w:ascii="Arial" w:cs="Arial" w:eastAsia="Arial" w:hAnsi="Arial"/>
                <w:sz w:val="18"/>
                <w:szCs w:val="18"/>
                <w:color w:val="auto"/>
              </w:rPr>
              <w:t>Long-term debt, less current portion</w:t>
            </w:r>
          </w:p>
        </w:tc>
        <w:tc>
          <w:tcPr>
            <w:tcW w:w="44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58,276</w:t>
            </w:r>
          </w:p>
        </w:tc>
        <w:tc>
          <w:tcPr>
            <w:tcW w:w="22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55,566</w:t>
            </w:r>
          </w:p>
        </w:tc>
      </w:tr>
      <w:tr>
        <w:trPr>
          <w:trHeight w:val="270"/>
        </w:trPr>
        <w:tc>
          <w:tcPr>
            <w:tcW w:w="830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44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35,348</w:t>
            </w:r>
          </w:p>
        </w:tc>
        <w:tc>
          <w:tcPr>
            <w:tcW w:w="22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34,854</w:t>
            </w:r>
          </w:p>
        </w:tc>
      </w:tr>
      <w:tr>
        <w:trPr>
          <w:trHeight w:val="270"/>
        </w:trPr>
        <w:tc>
          <w:tcPr>
            <w:tcW w:w="830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44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10,677</w:t>
            </w:r>
          </w:p>
        </w:tc>
        <w:tc>
          <w:tcPr>
            <w:tcW w:w="22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10,925</w:t>
            </w:r>
          </w:p>
        </w:tc>
      </w:tr>
      <w:tr>
        <w:trPr>
          <w:trHeight w:val="270"/>
        </w:trPr>
        <w:tc>
          <w:tcPr>
            <w:tcW w:w="8300" w:type="dxa"/>
            <w:vAlign w:val="bottom"/>
          </w:tcPr>
          <w:p>
            <w:pPr>
              <w:ind w:left="40"/>
              <w:spacing w:after="0"/>
              <w:rPr>
                <w:sz w:val="20"/>
                <w:szCs w:val="20"/>
                <w:color w:val="auto"/>
              </w:rPr>
            </w:pPr>
            <w:r>
              <w:rPr>
                <w:rFonts w:ascii="Arial" w:cs="Arial" w:eastAsia="Arial" w:hAnsi="Arial"/>
                <w:sz w:val="18"/>
                <w:szCs w:val="18"/>
                <w:color w:val="auto"/>
              </w:rPr>
              <w:t>Commitments and contingencies (Note 10)</w:t>
            </w:r>
          </w:p>
        </w:tc>
        <w:tc>
          <w:tcPr>
            <w:tcW w:w="4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8300" w:type="dxa"/>
            <w:vAlign w:val="bottom"/>
          </w:tcPr>
          <w:p>
            <w:pPr>
              <w:ind w:left="40"/>
              <w:spacing w:after="0"/>
              <w:rPr>
                <w:sz w:val="20"/>
                <w:szCs w:val="20"/>
                <w:color w:val="auto"/>
              </w:rPr>
            </w:pPr>
            <w:r>
              <w:rPr>
                <w:rFonts w:ascii="Arial" w:cs="Arial" w:eastAsia="Arial" w:hAnsi="Arial"/>
                <w:sz w:val="18"/>
                <w:szCs w:val="18"/>
                <w:color w:val="auto"/>
              </w:rPr>
              <w:t>Redeemable noncontrolling interests and redeemable subsidiary preferred stock</w:t>
            </w:r>
          </w:p>
        </w:tc>
        <w:tc>
          <w:tcPr>
            <w:tcW w:w="44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1,456</w:t>
            </w:r>
          </w:p>
        </w:tc>
        <w:tc>
          <w:tcPr>
            <w:tcW w:w="22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1,446</w:t>
            </w:r>
          </w:p>
        </w:tc>
      </w:tr>
      <w:tr>
        <w:trPr>
          <w:trHeight w:val="270"/>
        </w:trPr>
        <w:tc>
          <w:tcPr>
            <w:tcW w:w="8300" w:type="dxa"/>
            <w:vAlign w:val="bottom"/>
          </w:tcPr>
          <w:p>
            <w:pPr>
              <w:ind w:left="40"/>
              <w:spacing w:after="0"/>
              <w:rPr>
                <w:sz w:val="20"/>
                <w:szCs w:val="20"/>
                <w:color w:val="auto"/>
              </w:rPr>
            </w:pPr>
            <w:r>
              <w:rPr>
                <w:rFonts w:ascii="Arial" w:cs="Arial" w:eastAsia="Arial" w:hAnsi="Arial"/>
                <w:sz w:val="18"/>
                <w:szCs w:val="18"/>
                <w:color w:val="auto"/>
              </w:rPr>
              <w:t>Equity:</w:t>
            </w:r>
          </w:p>
        </w:tc>
        <w:tc>
          <w:tcPr>
            <w:tcW w:w="4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8300" w:type="dxa"/>
            <w:vAlign w:val="bottom"/>
          </w:tcPr>
          <w:p>
            <w:pPr>
              <w:ind w:left="380"/>
              <w:spacing w:after="0"/>
              <w:rPr>
                <w:sz w:val="20"/>
                <w:szCs w:val="20"/>
                <w:color w:val="auto"/>
              </w:rPr>
            </w:pPr>
            <w:r>
              <w:rPr>
                <w:rFonts w:ascii="Arial" w:cs="Arial" w:eastAsia="Arial" w:hAnsi="Arial"/>
                <w:sz w:val="18"/>
                <w:szCs w:val="18"/>
                <w:color w:val="auto"/>
              </w:rPr>
              <w:t>Preferred stock—authorized, 20,000,000 shares; issued, zero</w:t>
            </w:r>
          </w:p>
        </w:tc>
        <w:tc>
          <w:tcPr>
            <w:tcW w:w="44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56"/>
        </w:trPr>
        <w:tc>
          <w:tcPr>
            <w:tcW w:w="8300" w:type="dxa"/>
            <w:vAlign w:val="bottom"/>
          </w:tcPr>
          <w:p>
            <w:pPr>
              <w:ind w:left="380"/>
              <w:spacing w:after="0"/>
              <w:rPr>
                <w:sz w:val="20"/>
                <w:szCs w:val="20"/>
                <w:color w:val="auto"/>
              </w:rPr>
            </w:pPr>
            <w:r>
              <w:rPr>
                <w:rFonts w:ascii="Arial" w:cs="Arial" w:eastAsia="Arial" w:hAnsi="Arial"/>
                <w:sz w:val="18"/>
                <w:szCs w:val="18"/>
                <w:color w:val="auto"/>
                <w:w w:val="95"/>
              </w:rPr>
              <w:t>Class A common stock, $0.01 par value—authorized, 7,500,000,000 shares; issued, 5,606,303,522 and</w:t>
            </w:r>
          </w:p>
        </w:tc>
        <w:tc>
          <w:tcPr>
            <w:tcW w:w="4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30"/>
        </w:trPr>
        <w:tc>
          <w:tcPr>
            <w:tcW w:w="8300" w:type="dxa"/>
            <w:vAlign w:val="bottom"/>
          </w:tcPr>
          <w:p>
            <w:pPr>
              <w:ind w:left="540"/>
              <w:spacing w:after="0"/>
              <w:rPr>
                <w:sz w:val="20"/>
                <w:szCs w:val="20"/>
                <w:color w:val="auto"/>
              </w:rPr>
            </w:pPr>
            <w:r>
              <w:rPr>
                <w:rFonts w:ascii="Arial" w:cs="Arial" w:eastAsia="Arial" w:hAnsi="Arial"/>
                <w:sz w:val="18"/>
                <w:szCs w:val="18"/>
                <w:color w:val="auto"/>
              </w:rPr>
              <w:t>5,614,950,039; outstanding, 4,733,512,494 and 4,742,159,011</w:t>
            </w:r>
          </w:p>
        </w:tc>
        <w:tc>
          <w:tcPr>
            <w:tcW w:w="44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56</w:t>
            </w:r>
          </w:p>
        </w:tc>
      </w:tr>
      <w:tr>
        <w:trPr>
          <w:trHeight w:val="270"/>
        </w:trPr>
        <w:tc>
          <w:tcPr>
            <w:tcW w:w="8300" w:type="dxa"/>
            <w:vAlign w:val="bottom"/>
          </w:tcPr>
          <w:p>
            <w:pPr>
              <w:ind w:left="380"/>
              <w:spacing w:after="0"/>
              <w:rPr>
                <w:sz w:val="20"/>
                <w:szCs w:val="20"/>
                <w:color w:val="auto"/>
              </w:rPr>
            </w:pPr>
            <w:r>
              <w:rPr>
                <w:rFonts w:ascii="Arial" w:cs="Arial" w:eastAsia="Arial" w:hAnsi="Arial"/>
                <w:sz w:val="18"/>
                <w:szCs w:val="18"/>
                <w:color w:val="auto"/>
                <w:w w:val="91"/>
              </w:rPr>
              <w:t>Class B common stock, $0.01 par value—authorized, 75,000,000 shares; issued and outstanding, 9,444,375</w:t>
            </w:r>
          </w:p>
        </w:tc>
        <w:tc>
          <w:tcPr>
            <w:tcW w:w="44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830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44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38,115</w:t>
            </w:r>
          </w:p>
        </w:tc>
        <w:tc>
          <w:tcPr>
            <w:tcW w:w="22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38,230</w:t>
            </w:r>
          </w:p>
        </w:tc>
      </w:tr>
      <w:tr>
        <w:trPr>
          <w:trHeight w:val="270"/>
        </w:trPr>
        <w:tc>
          <w:tcPr>
            <w:tcW w:w="830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44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24,063</w:t>
            </w:r>
          </w:p>
        </w:tc>
        <w:tc>
          <w:tcPr>
            <w:tcW w:w="22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23,076</w:t>
            </w:r>
          </w:p>
        </w:tc>
      </w:tr>
      <w:tr>
        <w:trPr>
          <w:trHeight w:val="270"/>
        </w:trPr>
        <w:tc>
          <w:tcPr>
            <w:tcW w:w="8300" w:type="dxa"/>
            <w:vAlign w:val="bottom"/>
          </w:tcPr>
          <w:p>
            <w:pPr>
              <w:ind w:left="380"/>
              <w:spacing w:after="0"/>
              <w:rPr>
                <w:sz w:val="20"/>
                <w:szCs w:val="20"/>
                <w:color w:val="auto"/>
              </w:rPr>
            </w:pPr>
            <w:r>
              <w:rPr>
                <w:rFonts w:ascii="Arial" w:cs="Arial" w:eastAsia="Arial" w:hAnsi="Arial"/>
                <w:sz w:val="18"/>
                <w:szCs w:val="18"/>
                <w:color w:val="auto"/>
              </w:rPr>
              <w:t>Treasury stock, 872,791,028 Class A common shares</w:t>
            </w:r>
          </w:p>
        </w:tc>
        <w:tc>
          <w:tcPr>
            <w:tcW w:w="4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(7,517)</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(7,517)</w:t>
            </w:r>
          </w:p>
        </w:tc>
      </w:tr>
      <w:tr>
        <w:trPr>
          <w:trHeight w:val="270"/>
        </w:trPr>
        <w:tc>
          <w:tcPr>
            <w:tcW w:w="8300" w:type="dxa"/>
            <w:vAlign w:val="bottom"/>
          </w:tcPr>
          <w:p>
            <w:pPr>
              <w:ind w:left="380"/>
              <w:spacing w:after="0"/>
              <w:rPr>
                <w:sz w:val="20"/>
                <w:szCs w:val="20"/>
                <w:color w:val="auto"/>
              </w:rPr>
            </w:pPr>
            <w:r>
              <w:rPr>
                <w:rFonts w:ascii="Arial" w:cs="Arial" w:eastAsia="Arial" w:hAnsi="Arial"/>
                <w:sz w:val="18"/>
                <w:szCs w:val="18"/>
                <w:color w:val="auto"/>
              </w:rPr>
              <w:t>Accumulated other comprehensive income (loss)</w:t>
            </w:r>
          </w:p>
        </w:tc>
        <w:tc>
          <w:tcPr>
            <w:tcW w:w="44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342</w:t>
            </w:r>
          </w:p>
        </w:tc>
        <w:tc>
          <w:tcPr>
            <w:tcW w:w="22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98</w:t>
            </w:r>
          </w:p>
        </w:tc>
      </w:tr>
      <w:tr>
        <w:trPr>
          <w:trHeight w:val="27"/>
        </w:trPr>
        <w:tc>
          <w:tcPr>
            <w:tcW w:w="8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300" w:type="dxa"/>
            <w:vAlign w:val="bottom"/>
          </w:tcPr>
          <w:p>
            <w:pPr>
              <w:ind w:left="40"/>
              <w:spacing w:after="0"/>
              <w:rPr>
                <w:sz w:val="20"/>
                <w:szCs w:val="20"/>
                <w:color w:val="auto"/>
              </w:rPr>
            </w:pPr>
            <w:r>
              <w:rPr>
                <w:rFonts w:ascii="Arial" w:cs="Arial" w:eastAsia="Arial" w:hAnsi="Arial"/>
                <w:sz w:val="18"/>
                <w:szCs w:val="18"/>
                <w:color w:val="auto"/>
              </w:rPr>
              <w:t>Total Comcast Corporation shareholders’ equity</w:t>
            </w:r>
          </w:p>
        </w:tc>
        <w:tc>
          <w:tcPr>
            <w:tcW w:w="44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55,059</w:t>
            </w:r>
          </w:p>
        </w:tc>
        <w:tc>
          <w:tcPr>
            <w:tcW w:w="22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53,943</w:t>
            </w:r>
          </w:p>
        </w:tc>
      </w:tr>
      <w:tr>
        <w:trPr>
          <w:trHeight w:val="270"/>
        </w:trPr>
        <w:tc>
          <w:tcPr>
            <w:tcW w:w="830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44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2,589</w:t>
            </w:r>
          </w:p>
        </w:tc>
        <w:tc>
          <w:tcPr>
            <w:tcW w:w="22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2,231</w:t>
            </w:r>
          </w:p>
        </w:tc>
      </w:tr>
      <w:tr>
        <w:trPr>
          <w:trHeight w:val="27"/>
        </w:trPr>
        <w:tc>
          <w:tcPr>
            <w:tcW w:w="8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30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44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57,648</w:t>
            </w:r>
          </w:p>
        </w:tc>
        <w:tc>
          <w:tcPr>
            <w:tcW w:w="22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56,174</w:t>
            </w:r>
          </w:p>
        </w:tc>
      </w:tr>
      <w:tr>
        <w:trPr>
          <w:trHeight w:val="27"/>
        </w:trPr>
        <w:tc>
          <w:tcPr>
            <w:tcW w:w="8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30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4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1"/>
              <w:spacing w:after="0"/>
              <w:rPr>
                <w:sz w:val="20"/>
                <w:szCs w:val="20"/>
                <w:color w:val="auto"/>
              </w:rPr>
            </w:pPr>
            <w:r>
              <w:rPr>
                <w:rFonts w:ascii="Arial" w:cs="Arial" w:eastAsia="Arial" w:hAnsi="Arial"/>
                <w:sz w:val="18"/>
                <w:szCs w:val="18"/>
                <w:b w:val="1"/>
                <w:bCs w:val="1"/>
                <w:color w:val="auto"/>
              </w:rPr>
              <w:t>182,479</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b w:val="1"/>
                <w:bCs w:val="1"/>
                <w:color w:val="auto"/>
              </w:rPr>
              <w:t>180,500</w:t>
            </w:r>
          </w:p>
        </w:tc>
      </w:tr>
      <w:tr>
        <w:trPr>
          <w:trHeight w:val="34"/>
        </w:trPr>
        <w:tc>
          <w:tcPr>
            <w:tcW w:w="8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1"/>
        </w:trPr>
        <w:tc>
          <w:tcPr>
            <w:tcW w:w="8300" w:type="dxa"/>
            <w:vAlign w:val="bottom"/>
          </w:tcPr>
          <w:p>
            <w:pPr>
              <w:spacing w:after="0"/>
              <w:rPr>
                <w:sz w:val="20"/>
                <w:szCs w:val="20"/>
                <w:color w:val="auto"/>
              </w:rPr>
            </w:pPr>
            <w:r>
              <w:rPr>
                <w:rFonts w:ascii="Arial" w:cs="Arial" w:eastAsia="Arial" w:hAnsi="Arial"/>
                <w:sz w:val="14"/>
                <w:szCs w:val="14"/>
                <w:color w:val="auto"/>
              </w:rPr>
              <w:t>See accompanying notes to condensed consolidated financial statements.</w:t>
            </w:r>
          </w:p>
        </w:tc>
        <w:tc>
          <w:tcPr>
            <w:tcW w:w="4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bl>
    <w:p>
      <w:pPr>
        <w:spacing w:after="0" w:line="200" w:lineRule="exact"/>
        <w:rPr>
          <w:sz w:val="20"/>
          <w:szCs w:val="20"/>
          <w:color w:val="auto"/>
        </w:rPr>
      </w:pPr>
    </w:p>
    <w:p>
      <w:pPr>
        <w:sectPr>
          <w:pgSz w:w="11900" w:h="16838" w:orient="portrait"/>
          <w:cols w:equalWidth="0" w:num="1">
            <w:col w:w="11420"/>
          </w:cols>
          <w:pgMar w:left="240" w:top="175" w:right="239" w:bottom="1440" w:gutter="0" w:footer="0" w:header="0"/>
        </w:sectPr>
      </w:pP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75"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0" w:type="dxa"/>
            <w:vAlign w:val="bottom"/>
            <w:gridSpan w:val="3"/>
          </w:tcPr>
          <w:p>
            <w:pPr>
              <w:jc w:val="right"/>
              <w:ind w:right="771"/>
              <w:spacing w:after="0"/>
              <w:rPr>
                <w:sz w:val="20"/>
                <w:szCs w:val="20"/>
                <w:color w:val="auto"/>
              </w:rPr>
            </w:pPr>
            <w:r>
              <w:rPr>
                <w:rFonts w:ascii="Arial" w:cs="Arial" w:eastAsia="Arial" w:hAnsi="Arial"/>
                <w:sz w:val="14"/>
                <w:szCs w:val="14"/>
                <w:color w:val="auto"/>
              </w:rPr>
              <w:t>Three Months Ended</w:t>
            </w:r>
          </w:p>
        </w:tc>
      </w:tr>
      <w:tr>
        <w:trPr>
          <w:trHeight w:val="188"/>
        </w:trPr>
        <w:tc>
          <w:tcPr>
            <w:tcW w:w="84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color w:val="auto"/>
              </w:rPr>
              <w:t>March 31</w:t>
            </w:r>
          </w:p>
        </w:tc>
        <w:tc>
          <w:tcPr>
            <w:tcW w:w="1040" w:type="dxa"/>
            <w:vAlign w:val="bottom"/>
            <w:tcBorders>
              <w:bottom w:val="single" w:sz="8" w:color="auto"/>
            </w:tcBorders>
          </w:tcPr>
          <w:p>
            <w:pPr>
              <w:spacing w:after="0"/>
              <w:rPr>
                <w:sz w:val="16"/>
                <w:szCs w:val="16"/>
                <w:color w:val="auto"/>
              </w:rPr>
            </w:pPr>
          </w:p>
        </w:tc>
      </w:tr>
      <w:tr>
        <w:trPr>
          <w:trHeight w:val="196"/>
        </w:trPr>
        <w:tc>
          <w:tcPr>
            <w:tcW w:w="84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 except per share data)</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color w:val="auto"/>
              </w:rPr>
              <w:t>2017</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2016</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20,463</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18,790</w:t>
            </w:r>
          </w:p>
        </w:tc>
      </w:tr>
      <w:tr>
        <w:trPr>
          <w:trHeight w:val="270"/>
        </w:trPr>
        <w:tc>
          <w:tcPr>
            <w:tcW w:w="846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8460" w:type="dxa"/>
            <w:vAlign w:val="bottom"/>
          </w:tcPr>
          <w:p>
            <w:pPr>
              <w:ind w:left="380"/>
              <w:spacing w:after="0"/>
              <w:rPr>
                <w:sz w:val="20"/>
                <w:szCs w:val="20"/>
                <w:color w:val="auto"/>
              </w:rPr>
            </w:pPr>
            <w:r>
              <w:rPr>
                <w:rFonts w:ascii="Arial" w:cs="Arial" w:eastAsia="Arial" w:hAnsi="Arial"/>
                <w:sz w:val="18"/>
                <w:szCs w:val="18"/>
                <w:color w:val="auto"/>
              </w:rPr>
              <w:t>Programming and production</w:t>
            </w:r>
          </w:p>
        </w:tc>
        <w:tc>
          <w:tcPr>
            <w:tcW w:w="36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6,074</w:t>
            </w:r>
          </w:p>
        </w:tc>
        <w:tc>
          <w:tcPr>
            <w:tcW w:w="4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5,431</w:t>
            </w:r>
          </w:p>
        </w:tc>
      </w:tr>
      <w:tr>
        <w:trPr>
          <w:trHeight w:val="270"/>
        </w:trPr>
        <w:tc>
          <w:tcPr>
            <w:tcW w:w="8460" w:type="dxa"/>
            <w:vAlign w:val="bottom"/>
          </w:tcPr>
          <w:p>
            <w:pPr>
              <w:ind w:left="380"/>
              <w:spacing w:after="0"/>
              <w:rPr>
                <w:sz w:val="20"/>
                <w:szCs w:val="20"/>
                <w:color w:val="auto"/>
              </w:rPr>
            </w:pPr>
            <w:r>
              <w:rPr>
                <w:rFonts w:ascii="Arial" w:cs="Arial" w:eastAsia="Arial" w:hAnsi="Arial"/>
                <w:sz w:val="18"/>
                <w:szCs w:val="18"/>
                <w:color w:val="auto"/>
              </w:rPr>
              <w:t>Other operating and administrative</w:t>
            </w:r>
          </w:p>
        </w:tc>
        <w:tc>
          <w:tcPr>
            <w:tcW w:w="36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5,827</w:t>
            </w:r>
          </w:p>
        </w:tc>
        <w:tc>
          <w:tcPr>
            <w:tcW w:w="4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5,526</w:t>
            </w:r>
          </w:p>
        </w:tc>
      </w:tr>
      <w:tr>
        <w:trPr>
          <w:trHeight w:val="270"/>
        </w:trPr>
        <w:tc>
          <w:tcPr>
            <w:tcW w:w="846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36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1,530</w:t>
            </w:r>
          </w:p>
        </w:tc>
        <w:tc>
          <w:tcPr>
            <w:tcW w:w="4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1,466</w:t>
            </w:r>
          </w:p>
        </w:tc>
      </w:tr>
      <w:tr>
        <w:trPr>
          <w:trHeight w:val="270"/>
        </w:trPr>
        <w:tc>
          <w:tcPr>
            <w:tcW w:w="846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1,915</w:t>
            </w:r>
          </w:p>
        </w:tc>
        <w:tc>
          <w:tcPr>
            <w:tcW w:w="4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1,785</w:t>
            </w:r>
          </w:p>
        </w:tc>
      </w:tr>
      <w:tr>
        <w:trPr>
          <w:trHeight w:val="270"/>
        </w:trPr>
        <w:tc>
          <w:tcPr>
            <w:tcW w:w="8460" w:type="dxa"/>
            <w:vAlign w:val="bottom"/>
          </w:tcPr>
          <w:p>
            <w:pPr>
              <w:ind w:left="380"/>
              <w:spacing w:after="0"/>
              <w:rPr>
                <w:sz w:val="20"/>
                <w:szCs w:val="20"/>
                <w:color w:val="auto"/>
              </w:rPr>
            </w:pPr>
            <w:r>
              <w:rPr>
                <w:rFonts w:ascii="Arial" w:cs="Arial" w:eastAsia="Arial" w:hAnsi="Arial"/>
                <w:sz w:val="18"/>
                <w:szCs w:val="18"/>
                <w:color w:val="auto"/>
              </w:rPr>
              <w:t>Amortization</w:t>
            </w:r>
          </w:p>
        </w:tc>
        <w:tc>
          <w:tcPr>
            <w:tcW w:w="36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587</w:t>
            </w:r>
          </w:p>
        </w:tc>
        <w:tc>
          <w:tcPr>
            <w:tcW w:w="4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493</w:t>
            </w:r>
          </w:p>
        </w:tc>
      </w:tr>
      <w:tr>
        <w:trPr>
          <w:trHeight w:val="27"/>
        </w:trPr>
        <w:tc>
          <w:tcPr>
            <w:tcW w:w="8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8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15,933</w:t>
            </w:r>
          </w:p>
        </w:tc>
        <w:tc>
          <w:tcPr>
            <w:tcW w:w="44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14,701</w:t>
            </w:r>
          </w:p>
        </w:tc>
      </w:tr>
      <w:tr>
        <w:trPr>
          <w:trHeight w:val="27"/>
        </w:trPr>
        <w:tc>
          <w:tcPr>
            <w:tcW w:w="8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846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36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4,530</w:t>
            </w:r>
          </w:p>
        </w:tc>
        <w:tc>
          <w:tcPr>
            <w:tcW w:w="44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4,089</w:t>
            </w:r>
          </w:p>
        </w:tc>
      </w:tr>
      <w:tr>
        <w:trPr>
          <w:trHeight w:val="270"/>
        </w:trPr>
        <w:tc>
          <w:tcPr>
            <w:tcW w:w="846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846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(755)</w:t>
            </w:r>
          </w:p>
        </w:tc>
        <w:tc>
          <w:tcPr>
            <w:tcW w:w="4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(703)</w:t>
            </w:r>
          </w:p>
        </w:tc>
      </w:tr>
      <w:tr>
        <w:trPr>
          <w:trHeight w:val="270"/>
        </w:trPr>
        <w:tc>
          <w:tcPr>
            <w:tcW w:w="8460" w:type="dxa"/>
            <w:vAlign w:val="bottom"/>
          </w:tcPr>
          <w:p>
            <w:pPr>
              <w:ind w:left="380"/>
              <w:spacing w:after="0"/>
              <w:rPr>
                <w:sz w:val="20"/>
                <w:szCs w:val="20"/>
                <w:color w:val="auto"/>
              </w:rPr>
            </w:pPr>
            <w:r>
              <w:rPr>
                <w:rFonts w:ascii="Arial" w:cs="Arial" w:eastAsia="Arial" w:hAnsi="Arial"/>
                <w:sz w:val="18"/>
                <w:szCs w:val="18"/>
                <w:color w:val="auto"/>
              </w:rPr>
              <w:t>Investment income (loss), net</w:t>
            </w:r>
          </w:p>
        </w:tc>
        <w:tc>
          <w:tcPr>
            <w:tcW w:w="36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59</w:t>
            </w:r>
          </w:p>
        </w:tc>
        <w:tc>
          <w:tcPr>
            <w:tcW w:w="4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30</w:t>
            </w:r>
          </w:p>
        </w:tc>
      </w:tr>
      <w:tr>
        <w:trPr>
          <w:trHeight w:val="270"/>
        </w:trPr>
        <w:tc>
          <w:tcPr>
            <w:tcW w:w="8460" w:type="dxa"/>
            <w:vAlign w:val="bottom"/>
          </w:tcPr>
          <w:p>
            <w:pPr>
              <w:ind w:left="380"/>
              <w:spacing w:after="0"/>
              <w:rPr>
                <w:sz w:val="20"/>
                <w:szCs w:val="20"/>
                <w:color w:val="auto"/>
              </w:rPr>
            </w:pPr>
            <w:r>
              <w:rPr>
                <w:rFonts w:ascii="Arial" w:cs="Arial" w:eastAsia="Arial" w:hAnsi="Arial"/>
                <w:sz w:val="18"/>
                <w:szCs w:val="18"/>
                <w:color w:val="auto"/>
              </w:rPr>
              <w:t>Equity in net income (losses) of investees, net</w:t>
            </w:r>
          </w:p>
        </w:tc>
        <w:tc>
          <w:tcPr>
            <w:tcW w:w="36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36</w:t>
            </w:r>
          </w:p>
        </w:tc>
        <w:tc>
          <w:tcPr>
            <w:tcW w:w="4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8460" w:type="dxa"/>
            <w:vAlign w:val="bottom"/>
          </w:tcPr>
          <w:p>
            <w:pPr>
              <w:ind w:left="380"/>
              <w:spacing w:after="0"/>
              <w:rPr>
                <w:sz w:val="20"/>
                <w:szCs w:val="20"/>
                <w:color w:val="auto"/>
              </w:rPr>
            </w:pPr>
            <w:r>
              <w:rPr>
                <w:rFonts w:ascii="Arial" w:cs="Arial" w:eastAsia="Arial" w:hAnsi="Arial"/>
                <w:sz w:val="18"/>
                <w:szCs w:val="18"/>
                <w:color w:val="auto"/>
              </w:rPr>
              <w:t>Other income (expense), net</w:t>
            </w:r>
          </w:p>
        </w:tc>
        <w:tc>
          <w:tcPr>
            <w:tcW w:w="36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35</w:t>
            </w:r>
          </w:p>
        </w:tc>
        <w:tc>
          <w:tcPr>
            <w:tcW w:w="4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130</w:t>
            </w:r>
          </w:p>
        </w:tc>
      </w:tr>
      <w:tr>
        <w:trPr>
          <w:trHeight w:val="27"/>
        </w:trPr>
        <w:tc>
          <w:tcPr>
            <w:tcW w:w="8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8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(625)</w:t>
            </w: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(554)</w:t>
            </w:r>
          </w:p>
        </w:tc>
      </w:tr>
      <w:tr>
        <w:trPr>
          <w:trHeight w:val="27"/>
        </w:trPr>
        <w:tc>
          <w:tcPr>
            <w:tcW w:w="8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84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3,905</w:t>
            </w:r>
          </w:p>
        </w:tc>
        <w:tc>
          <w:tcPr>
            <w:tcW w:w="44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3,535</w:t>
            </w:r>
          </w:p>
        </w:tc>
      </w:tr>
      <w:tr>
        <w:trPr>
          <w:trHeight w:val="270"/>
        </w:trPr>
        <w:tc>
          <w:tcPr>
            <w:tcW w:w="846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(1,258)</w:t>
            </w:r>
          </w:p>
        </w:tc>
        <w:tc>
          <w:tcPr>
            <w:tcW w:w="4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(1,311)</w:t>
            </w:r>
          </w:p>
        </w:tc>
      </w:tr>
      <w:tr>
        <w:trPr>
          <w:trHeight w:val="27"/>
        </w:trPr>
        <w:tc>
          <w:tcPr>
            <w:tcW w:w="8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84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2,647</w:t>
            </w:r>
          </w:p>
        </w:tc>
        <w:tc>
          <w:tcPr>
            <w:tcW w:w="44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2,224</w:t>
            </w:r>
          </w:p>
        </w:tc>
      </w:tr>
      <w:tr>
        <w:trPr>
          <w:trHeight w:val="270"/>
        </w:trPr>
        <w:tc>
          <w:tcPr>
            <w:tcW w:w="8460" w:type="dxa"/>
            <w:vAlign w:val="bottom"/>
          </w:tcPr>
          <w:p>
            <w:pPr>
              <w:ind w:left="40"/>
              <w:spacing w:after="0"/>
              <w:rPr>
                <w:sz w:val="20"/>
                <w:szCs w:val="20"/>
                <w:color w:val="auto"/>
              </w:rPr>
            </w:pPr>
            <w:r>
              <w:rPr>
                <w:rFonts w:ascii="Arial" w:cs="Arial" w:eastAsia="Arial" w:hAnsi="Arial"/>
                <w:sz w:val="18"/>
                <w:szCs w:val="18"/>
                <w:color w:val="auto"/>
              </w:rPr>
              <w:t>Net (income) loss attributable to noncontrolling interests and redeemable subsidiary preferred stock</w:t>
            </w: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w:t>
            </w:r>
          </w:p>
        </w:tc>
        <w:tc>
          <w:tcPr>
            <w:tcW w:w="4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7"/>
        </w:trPr>
        <w:tc>
          <w:tcPr>
            <w:tcW w:w="8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846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b w:val="1"/>
                <w:bCs w:val="1"/>
                <w:color w:val="auto"/>
              </w:rPr>
              <w:t>2,566</w:t>
            </w: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2,134</w:t>
            </w:r>
          </w:p>
        </w:tc>
      </w:tr>
      <w:tr>
        <w:trPr>
          <w:trHeight w:val="34"/>
        </w:trPr>
        <w:tc>
          <w:tcPr>
            <w:tcW w:w="8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b w:val="1"/>
                <w:bCs w:val="1"/>
                <w:color w:val="auto"/>
              </w:rPr>
              <w:t>Basic earnings per common share attributable to Comcast Corporation shareholders</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b w:val="1"/>
                <w:bCs w:val="1"/>
                <w:color w:val="auto"/>
              </w:rPr>
              <w:t>0.54</w:t>
            </w: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0.44</w:t>
            </w:r>
          </w:p>
        </w:tc>
      </w:tr>
      <w:tr>
        <w:trPr>
          <w:trHeight w:val="270"/>
        </w:trPr>
        <w:tc>
          <w:tcPr>
            <w:tcW w:w="8460" w:type="dxa"/>
            <w:vAlign w:val="bottom"/>
          </w:tcPr>
          <w:p>
            <w:pPr>
              <w:ind w:left="40"/>
              <w:spacing w:after="0"/>
              <w:rPr>
                <w:sz w:val="20"/>
                <w:szCs w:val="20"/>
                <w:color w:val="auto"/>
              </w:rPr>
            </w:pPr>
            <w:r>
              <w:rPr>
                <w:rFonts w:ascii="Arial" w:cs="Arial" w:eastAsia="Arial" w:hAnsi="Arial"/>
                <w:sz w:val="18"/>
                <w:szCs w:val="18"/>
                <w:b w:val="1"/>
                <w:bCs w:val="1"/>
                <w:color w:val="auto"/>
              </w:rPr>
              <w:t>Diluted earnings per common share attributable to Comcast Corporation shareholders</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b w:val="1"/>
                <w:bCs w:val="1"/>
                <w:color w:val="auto"/>
              </w:rPr>
              <w:t>0.53</w:t>
            </w: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0.43</w:t>
            </w:r>
          </w:p>
        </w:tc>
      </w:tr>
      <w:tr>
        <w:trPr>
          <w:trHeight w:val="270"/>
        </w:trPr>
        <w:tc>
          <w:tcPr>
            <w:tcW w:w="8460" w:type="dxa"/>
            <w:vAlign w:val="bottom"/>
          </w:tcPr>
          <w:p>
            <w:pPr>
              <w:ind w:left="40"/>
              <w:spacing w:after="0"/>
              <w:rPr>
                <w:sz w:val="20"/>
                <w:szCs w:val="20"/>
                <w:color w:val="auto"/>
              </w:rPr>
            </w:pPr>
            <w:r>
              <w:rPr>
                <w:rFonts w:ascii="Arial" w:cs="Arial" w:eastAsia="Arial" w:hAnsi="Arial"/>
                <w:sz w:val="18"/>
                <w:szCs w:val="18"/>
                <w:b w:val="1"/>
                <w:bCs w:val="1"/>
                <w:color w:val="auto"/>
              </w:rPr>
              <w:t>Dividends declared per common share</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b w:val="1"/>
                <w:bCs w:val="1"/>
                <w:color w:val="auto"/>
              </w:rPr>
              <w:t>0.1575</w:t>
            </w: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0.1375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Comprehensive Income</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0" w:type="dxa"/>
            <w:vAlign w:val="bottom"/>
            <w:gridSpan w:val="3"/>
          </w:tcPr>
          <w:p>
            <w:pPr>
              <w:jc w:val="right"/>
              <w:ind w:right="771"/>
              <w:spacing w:after="0"/>
              <w:rPr>
                <w:sz w:val="20"/>
                <w:szCs w:val="20"/>
                <w:color w:val="auto"/>
              </w:rPr>
            </w:pPr>
            <w:r>
              <w:rPr>
                <w:rFonts w:ascii="Arial" w:cs="Arial" w:eastAsia="Arial" w:hAnsi="Arial"/>
                <w:sz w:val="14"/>
                <w:szCs w:val="14"/>
                <w:color w:val="auto"/>
              </w:rPr>
              <w:t>Three Months Ended</w:t>
            </w:r>
          </w:p>
        </w:tc>
      </w:tr>
      <w:tr>
        <w:trPr>
          <w:trHeight w:val="188"/>
        </w:trPr>
        <w:tc>
          <w:tcPr>
            <w:tcW w:w="84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color w:val="auto"/>
              </w:rPr>
              <w:t>March 31</w:t>
            </w:r>
          </w:p>
        </w:tc>
        <w:tc>
          <w:tcPr>
            <w:tcW w:w="1040" w:type="dxa"/>
            <w:vAlign w:val="bottom"/>
            <w:tcBorders>
              <w:bottom w:val="single" w:sz="8" w:color="auto"/>
            </w:tcBorders>
          </w:tcPr>
          <w:p>
            <w:pPr>
              <w:spacing w:after="0"/>
              <w:rPr>
                <w:sz w:val="16"/>
                <w:szCs w:val="16"/>
                <w:color w:val="auto"/>
              </w:rPr>
            </w:pPr>
          </w:p>
        </w:tc>
      </w:tr>
      <w:tr>
        <w:trPr>
          <w:trHeight w:val="196"/>
        </w:trPr>
        <w:tc>
          <w:tcPr>
            <w:tcW w:w="84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color w:val="auto"/>
              </w:rPr>
              <w:t>2017</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2016</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2,647</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2,224</w:t>
            </w:r>
          </w:p>
        </w:tc>
      </w:tr>
      <w:tr>
        <w:trPr>
          <w:trHeight w:val="270"/>
        </w:trPr>
        <w:tc>
          <w:tcPr>
            <w:tcW w:w="8460" w:type="dxa"/>
            <w:vAlign w:val="bottom"/>
          </w:tcPr>
          <w:p>
            <w:pPr>
              <w:ind w:left="40"/>
              <w:spacing w:after="0"/>
              <w:rPr>
                <w:sz w:val="20"/>
                <w:szCs w:val="20"/>
                <w:color w:val="auto"/>
              </w:rPr>
            </w:pPr>
            <w:r>
              <w:rPr>
                <w:rFonts w:ascii="Arial" w:cs="Arial" w:eastAsia="Arial" w:hAnsi="Arial"/>
                <w:sz w:val="18"/>
                <w:szCs w:val="18"/>
                <w:color w:val="auto"/>
              </w:rPr>
              <w:t>Unrealized gains (losses) on marketable securities, net of deferred taxes of $(61) and $(1)</w:t>
            </w:r>
          </w:p>
        </w:tc>
        <w:tc>
          <w:tcPr>
            <w:tcW w:w="36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104</w:t>
            </w:r>
          </w:p>
        </w:tc>
        <w:tc>
          <w:tcPr>
            <w:tcW w:w="4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w:t>
            </w:r>
          </w:p>
        </w:tc>
      </w:tr>
      <w:tr>
        <w:trPr>
          <w:trHeight w:val="270"/>
        </w:trPr>
        <w:tc>
          <w:tcPr>
            <w:tcW w:w="8460" w:type="dxa"/>
            <w:vAlign w:val="bottom"/>
          </w:tcPr>
          <w:p>
            <w:pPr>
              <w:ind w:left="40"/>
              <w:spacing w:after="0"/>
              <w:rPr>
                <w:sz w:val="20"/>
                <w:szCs w:val="20"/>
                <w:color w:val="auto"/>
              </w:rPr>
            </w:pPr>
            <w:r>
              <w:rPr>
                <w:rFonts w:ascii="Arial" w:cs="Arial" w:eastAsia="Arial" w:hAnsi="Arial"/>
                <w:sz w:val="18"/>
                <w:szCs w:val="18"/>
                <w:color w:val="auto"/>
              </w:rPr>
              <w:t>Deferred gains (losses) on cash flow hedges, net of deferred taxes of $(4) and $18</w:t>
            </w:r>
          </w:p>
        </w:tc>
        <w:tc>
          <w:tcPr>
            <w:tcW w:w="36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7</w:t>
            </w:r>
          </w:p>
        </w:tc>
        <w:tc>
          <w:tcPr>
            <w:tcW w:w="4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0"/>
        </w:trPr>
        <w:tc>
          <w:tcPr>
            <w:tcW w:w="8460" w:type="dxa"/>
            <w:vAlign w:val="bottom"/>
          </w:tcPr>
          <w:p>
            <w:pPr>
              <w:ind w:left="40"/>
              <w:spacing w:after="0"/>
              <w:rPr>
                <w:sz w:val="20"/>
                <w:szCs w:val="20"/>
                <w:color w:val="auto"/>
              </w:rPr>
            </w:pPr>
            <w:r>
              <w:rPr>
                <w:rFonts w:ascii="Arial" w:cs="Arial" w:eastAsia="Arial" w:hAnsi="Arial"/>
                <w:sz w:val="18"/>
                <w:szCs w:val="18"/>
                <w:color w:val="auto"/>
              </w:rPr>
              <w:t>Amounts reclassified to net income:</w:t>
            </w: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8460" w:type="dxa"/>
            <w:vAlign w:val="bottom"/>
          </w:tcPr>
          <w:p>
            <w:pPr>
              <w:ind w:left="380"/>
              <w:spacing w:after="0"/>
              <w:rPr>
                <w:sz w:val="20"/>
                <w:szCs w:val="20"/>
                <w:color w:val="auto"/>
              </w:rPr>
            </w:pPr>
            <w:r>
              <w:rPr>
                <w:rFonts w:ascii="Arial" w:cs="Arial" w:eastAsia="Arial" w:hAnsi="Arial"/>
                <w:sz w:val="18"/>
                <w:szCs w:val="18"/>
                <w:color w:val="auto"/>
              </w:rPr>
              <w:t>Realized (gains) losses on marketable securities, net of deferred taxes of $— and $1</w:t>
            </w:r>
          </w:p>
        </w:tc>
        <w:tc>
          <w:tcPr>
            <w:tcW w:w="36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8460" w:type="dxa"/>
            <w:vAlign w:val="bottom"/>
          </w:tcPr>
          <w:p>
            <w:pPr>
              <w:ind w:left="380"/>
              <w:spacing w:after="0"/>
              <w:rPr>
                <w:sz w:val="20"/>
                <w:szCs w:val="20"/>
                <w:color w:val="auto"/>
              </w:rPr>
            </w:pPr>
            <w:r>
              <w:rPr>
                <w:rFonts w:ascii="Arial" w:cs="Arial" w:eastAsia="Arial" w:hAnsi="Arial"/>
                <w:sz w:val="18"/>
                <w:szCs w:val="18"/>
                <w:color w:val="auto"/>
              </w:rPr>
              <w:t>Realized (gains) losses on cash flow hedges, net of deferred taxes of $— and $(10)</w:t>
            </w:r>
          </w:p>
        </w:tc>
        <w:tc>
          <w:tcPr>
            <w:tcW w:w="36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w:t>
            </w:r>
          </w:p>
        </w:tc>
      </w:tr>
      <w:tr>
        <w:trPr>
          <w:trHeight w:val="270"/>
        </w:trPr>
        <w:tc>
          <w:tcPr>
            <w:tcW w:w="8460" w:type="dxa"/>
            <w:vAlign w:val="bottom"/>
          </w:tcPr>
          <w:p>
            <w:pPr>
              <w:ind w:left="40"/>
              <w:spacing w:after="0"/>
              <w:rPr>
                <w:sz w:val="20"/>
                <w:szCs w:val="20"/>
                <w:color w:val="auto"/>
              </w:rPr>
            </w:pPr>
            <w:r>
              <w:rPr>
                <w:rFonts w:ascii="Arial" w:cs="Arial" w:eastAsia="Arial" w:hAnsi="Arial"/>
                <w:sz w:val="18"/>
                <w:szCs w:val="18"/>
                <w:color w:val="auto"/>
              </w:rPr>
              <w:t>Employee benefit obligations, net of deferred taxes of $(37) and $(2)</w:t>
            </w:r>
          </w:p>
        </w:tc>
        <w:tc>
          <w:tcPr>
            <w:tcW w:w="36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63</w:t>
            </w:r>
          </w:p>
        </w:tc>
        <w:tc>
          <w:tcPr>
            <w:tcW w:w="4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w:t>
            </w:r>
          </w:p>
        </w:tc>
      </w:tr>
      <w:tr>
        <w:trPr>
          <w:trHeight w:val="270"/>
        </w:trPr>
        <w:tc>
          <w:tcPr>
            <w:tcW w:w="8460" w:type="dxa"/>
            <w:vAlign w:val="bottom"/>
          </w:tcPr>
          <w:p>
            <w:pPr>
              <w:ind w:left="40"/>
              <w:spacing w:after="0"/>
              <w:rPr>
                <w:sz w:val="20"/>
                <w:szCs w:val="20"/>
                <w:color w:val="auto"/>
              </w:rPr>
            </w:pPr>
            <w:r>
              <w:rPr>
                <w:rFonts w:ascii="Arial" w:cs="Arial" w:eastAsia="Arial" w:hAnsi="Arial"/>
                <w:sz w:val="18"/>
                <w:szCs w:val="18"/>
                <w:color w:val="auto"/>
              </w:rPr>
              <w:t>Currency translation adjustments, net of deferred taxes of $(41) and $(58)</w:t>
            </w:r>
          </w:p>
        </w:tc>
        <w:tc>
          <w:tcPr>
            <w:tcW w:w="36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157</w:t>
            </w:r>
          </w:p>
        </w:tc>
        <w:tc>
          <w:tcPr>
            <w:tcW w:w="4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238</w:t>
            </w:r>
          </w:p>
        </w:tc>
      </w:tr>
      <w:tr>
        <w:trPr>
          <w:trHeight w:val="27"/>
        </w:trPr>
        <w:tc>
          <w:tcPr>
            <w:tcW w:w="8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846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360" w:type="dxa"/>
            <w:vAlign w:val="bottom"/>
          </w:tcPr>
          <w:p>
            <w:pPr>
              <w:spacing w:after="0"/>
              <w:rPr>
                <w:sz w:val="20"/>
                <w:szCs w:val="20"/>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2,978</w:t>
            </w:r>
          </w:p>
        </w:tc>
        <w:tc>
          <w:tcPr>
            <w:tcW w:w="44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2,451</w:t>
            </w:r>
          </w:p>
        </w:tc>
      </w:tr>
      <w:tr>
        <w:trPr>
          <w:trHeight w:val="270"/>
        </w:trPr>
        <w:tc>
          <w:tcPr>
            <w:tcW w:w="8460" w:type="dxa"/>
            <w:vAlign w:val="bottom"/>
          </w:tcPr>
          <w:p>
            <w:pPr>
              <w:ind w:left="40"/>
              <w:spacing w:after="0"/>
              <w:rPr>
                <w:sz w:val="20"/>
                <w:szCs w:val="20"/>
                <w:color w:val="auto"/>
              </w:rPr>
            </w:pPr>
            <w:r>
              <w:rPr>
                <w:rFonts w:ascii="Arial" w:cs="Arial" w:eastAsia="Arial" w:hAnsi="Arial"/>
                <w:sz w:val="18"/>
                <w:szCs w:val="18"/>
                <w:color w:val="auto"/>
              </w:rPr>
              <w:t>Net (income) loss attributable to noncontrolling interests and redeemable subsidiary preferred stock</w:t>
            </w: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w:t>
            </w:r>
          </w:p>
        </w:tc>
        <w:tc>
          <w:tcPr>
            <w:tcW w:w="4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70"/>
        </w:trPr>
        <w:tc>
          <w:tcPr>
            <w:tcW w:w="8460" w:type="dxa"/>
            <w:vAlign w:val="bottom"/>
          </w:tcPr>
          <w:p>
            <w:pPr>
              <w:ind w:left="40"/>
              <w:spacing w:after="0"/>
              <w:rPr>
                <w:sz w:val="20"/>
                <w:szCs w:val="20"/>
                <w:color w:val="auto"/>
              </w:rPr>
            </w:pPr>
            <w:r>
              <w:rPr>
                <w:rFonts w:ascii="Arial" w:cs="Arial" w:eastAsia="Arial" w:hAnsi="Arial"/>
                <w:sz w:val="18"/>
                <w:szCs w:val="18"/>
                <w:color w:val="auto"/>
              </w:rPr>
              <w:t>Other comprehensive (income) loss attributable to noncontrolling interests</w:t>
            </w: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w:t>
            </w:r>
          </w:p>
        </w:tc>
        <w:tc>
          <w:tcPr>
            <w:tcW w:w="4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7"/>
        </w:trPr>
        <w:tc>
          <w:tcPr>
            <w:tcW w:w="8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846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attributable to Comcast Corporation</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b w:val="1"/>
                <w:bCs w:val="1"/>
                <w:color w:val="auto"/>
              </w:rPr>
              <w:t>2,810</w:t>
            </w: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2,224</w:t>
            </w:r>
          </w:p>
        </w:tc>
      </w:tr>
      <w:tr>
        <w:trPr>
          <w:trHeight w:val="34"/>
        </w:trPr>
        <w:tc>
          <w:tcPr>
            <w:tcW w:w="8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1"/>
        </w:trPr>
        <w:tc>
          <w:tcPr>
            <w:tcW w:w="8460" w:type="dxa"/>
            <w:vAlign w:val="bottom"/>
          </w:tcPr>
          <w:p>
            <w:pPr>
              <w:spacing w:after="0"/>
              <w:rPr>
                <w:sz w:val="20"/>
                <w:szCs w:val="20"/>
                <w:color w:val="auto"/>
              </w:rPr>
            </w:pPr>
            <w:r>
              <w:rPr>
                <w:rFonts w:ascii="Arial" w:cs="Arial" w:eastAsia="Arial" w:hAnsi="Arial"/>
                <w:sz w:val="14"/>
                <w:szCs w:val="14"/>
                <w:color w:val="auto"/>
              </w:rPr>
              <w:t>See accompanying notes to condensed consolidated financial statements.</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539"/>
        </w:trPr>
        <w:tc>
          <w:tcPr>
            <w:tcW w:w="8460" w:type="dxa"/>
            <w:vAlign w:val="bottom"/>
          </w:tcPr>
          <w:p>
            <w:pPr>
              <w:ind w:left="5660"/>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0" w:type="dxa"/>
            <w:vAlign w:val="bottom"/>
            <w:gridSpan w:val="3"/>
          </w:tcPr>
          <w:p>
            <w:pPr>
              <w:jc w:val="right"/>
              <w:ind w:right="771"/>
              <w:spacing w:after="0"/>
              <w:rPr>
                <w:sz w:val="20"/>
                <w:szCs w:val="20"/>
                <w:color w:val="auto"/>
              </w:rPr>
            </w:pPr>
            <w:r>
              <w:rPr>
                <w:rFonts w:ascii="Arial" w:cs="Arial" w:eastAsia="Arial" w:hAnsi="Arial"/>
                <w:sz w:val="14"/>
                <w:szCs w:val="14"/>
                <w:color w:val="auto"/>
              </w:rPr>
              <w:t>Three Months Ended</w:t>
            </w:r>
          </w:p>
        </w:tc>
      </w:tr>
      <w:tr>
        <w:trPr>
          <w:trHeight w:val="188"/>
        </w:trPr>
        <w:tc>
          <w:tcPr>
            <w:tcW w:w="84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color w:val="auto"/>
              </w:rPr>
              <w:t>March 31</w:t>
            </w:r>
          </w:p>
        </w:tc>
        <w:tc>
          <w:tcPr>
            <w:tcW w:w="1040" w:type="dxa"/>
            <w:vAlign w:val="bottom"/>
            <w:tcBorders>
              <w:bottom w:val="single" w:sz="8" w:color="auto"/>
            </w:tcBorders>
          </w:tcPr>
          <w:p>
            <w:pPr>
              <w:spacing w:after="0"/>
              <w:rPr>
                <w:sz w:val="16"/>
                <w:szCs w:val="16"/>
                <w:color w:val="auto"/>
              </w:rPr>
            </w:pPr>
          </w:p>
        </w:tc>
      </w:tr>
      <w:tr>
        <w:trPr>
          <w:trHeight w:val="196"/>
        </w:trPr>
        <w:tc>
          <w:tcPr>
            <w:tcW w:w="84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color w:val="auto"/>
              </w:rPr>
              <w:t>2017</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2016</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b w:val="1"/>
                <w:bCs w:val="1"/>
                <w:color w:val="auto"/>
              </w:rPr>
              <w:t>5,656</w:t>
            </w: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5,399</w:t>
            </w:r>
          </w:p>
        </w:tc>
      </w:tr>
      <w:tr>
        <w:trPr>
          <w:trHeight w:val="27"/>
        </w:trPr>
        <w:tc>
          <w:tcPr>
            <w:tcW w:w="8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846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0"/>
        </w:trPr>
        <w:tc>
          <w:tcPr>
            <w:tcW w:w="8460" w:type="dxa"/>
            <w:vAlign w:val="bottom"/>
          </w:tcPr>
          <w:p>
            <w:pPr>
              <w:ind w:left="380"/>
              <w:spacing w:after="0"/>
              <w:rPr>
                <w:sz w:val="20"/>
                <w:szCs w:val="20"/>
                <w:color w:val="auto"/>
              </w:rPr>
            </w:pPr>
            <w:r>
              <w:rPr>
                <w:rFonts w:ascii="Arial" w:cs="Arial" w:eastAsia="Arial" w:hAnsi="Arial"/>
                <w:sz w:val="18"/>
                <w:szCs w:val="18"/>
                <w:color w:val="auto"/>
              </w:rPr>
              <w:t>Capital expenditures</w:t>
            </w: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(2,078)</w:t>
            </w:r>
          </w:p>
        </w:tc>
        <w:tc>
          <w:tcPr>
            <w:tcW w:w="4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(1,885)</w:t>
            </w:r>
          </w:p>
        </w:tc>
      </w:tr>
      <w:tr>
        <w:trPr>
          <w:trHeight w:val="270"/>
        </w:trPr>
        <w:tc>
          <w:tcPr>
            <w:tcW w:w="8460" w:type="dxa"/>
            <w:vAlign w:val="bottom"/>
          </w:tcPr>
          <w:p>
            <w:pPr>
              <w:ind w:left="380"/>
              <w:spacing w:after="0"/>
              <w:rPr>
                <w:sz w:val="20"/>
                <w:szCs w:val="20"/>
                <w:color w:val="auto"/>
              </w:rPr>
            </w:pPr>
            <w:r>
              <w:rPr>
                <w:rFonts w:ascii="Arial" w:cs="Arial" w:eastAsia="Arial" w:hAnsi="Arial"/>
                <w:sz w:val="18"/>
                <w:szCs w:val="18"/>
                <w:color w:val="auto"/>
              </w:rPr>
              <w:t>Cash paid for intangible assets</w:t>
            </w: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(416)</w:t>
            </w:r>
          </w:p>
        </w:tc>
        <w:tc>
          <w:tcPr>
            <w:tcW w:w="4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(378)</w:t>
            </w:r>
          </w:p>
        </w:tc>
      </w:tr>
      <w:tr>
        <w:trPr>
          <w:trHeight w:val="270"/>
        </w:trPr>
        <w:tc>
          <w:tcPr>
            <w:tcW w:w="8460" w:type="dxa"/>
            <w:vAlign w:val="bottom"/>
          </w:tcPr>
          <w:p>
            <w:pPr>
              <w:ind w:left="380"/>
              <w:spacing w:after="0"/>
              <w:rPr>
                <w:sz w:val="20"/>
                <w:szCs w:val="20"/>
                <w:color w:val="auto"/>
              </w:rPr>
            </w:pPr>
            <w:r>
              <w:rPr>
                <w:rFonts w:ascii="Arial" w:cs="Arial" w:eastAsia="Arial" w:hAnsi="Arial"/>
                <w:sz w:val="18"/>
                <w:szCs w:val="18"/>
                <w:color w:val="auto"/>
              </w:rPr>
              <w:t>Acquisitions and construction of real estate properties</w:t>
            </w: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(130)</w:t>
            </w:r>
          </w:p>
        </w:tc>
        <w:tc>
          <w:tcPr>
            <w:tcW w:w="4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70"/>
        </w:trPr>
        <w:tc>
          <w:tcPr>
            <w:tcW w:w="8460" w:type="dxa"/>
            <w:vAlign w:val="bottom"/>
          </w:tcPr>
          <w:p>
            <w:pPr>
              <w:ind w:left="380"/>
              <w:spacing w:after="0"/>
              <w:rPr>
                <w:sz w:val="20"/>
                <w:szCs w:val="20"/>
                <w:color w:val="auto"/>
              </w:rPr>
            </w:pPr>
            <w:r>
              <w:rPr>
                <w:rFonts w:ascii="Arial" w:cs="Arial" w:eastAsia="Arial" w:hAnsi="Arial"/>
                <w:sz w:val="18"/>
                <w:szCs w:val="18"/>
                <w:color w:val="auto"/>
              </w:rPr>
              <w:t>Acquisitions, net of cash acquired</w:t>
            </w: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(216)</w:t>
            </w:r>
          </w:p>
        </w:tc>
        <w:tc>
          <w:tcPr>
            <w:tcW w:w="4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0"/>
        </w:trPr>
        <w:tc>
          <w:tcPr>
            <w:tcW w:w="8460" w:type="dxa"/>
            <w:vAlign w:val="bottom"/>
          </w:tcPr>
          <w:p>
            <w:pPr>
              <w:ind w:left="380"/>
              <w:spacing w:after="0"/>
              <w:rPr>
                <w:sz w:val="20"/>
                <w:szCs w:val="20"/>
                <w:color w:val="auto"/>
              </w:rPr>
            </w:pPr>
            <w:r>
              <w:rPr>
                <w:rFonts w:ascii="Arial" w:cs="Arial" w:eastAsia="Arial" w:hAnsi="Arial"/>
                <w:sz w:val="18"/>
                <w:szCs w:val="18"/>
                <w:color w:val="auto"/>
              </w:rPr>
              <w:t>Proceeds from sales of investments</w:t>
            </w:r>
          </w:p>
        </w:tc>
        <w:tc>
          <w:tcPr>
            <w:tcW w:w="36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51</w:t>
            </w:r>
          </w:p>
        </w:tc>
        <w:tc>
          <w:tcPr>
            <w:tcW w:w="4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110</w:t>
            </w:r>
          </w:p>
        </w:tc>
      </w:tr>
      <w:tr>
        <w:trPr>
          <w:trHeight w:val="270"/>
        </w:trPr>
        <w:tc>
          <w:tcPr>
            <w:tcW w:w="8460" w:type="dxa"/>
            <w:vAlign w:val="bottom"/>
          </w:tcPr>
          <w:p>
            <w:pPr>
              <w:ind w:left="380"/>
              <w:spacing w:after="0"/>
              <w:rPr>
                <w:sz w:val="20"/>
                <w:szCs w:val="20"/>
                <w:color w:val="auto"/>
              </w:rPr>
            </w:pPr>
            <w:r>
              <w:rPr>
                <w:rFonts w:ascii="Arial" w:cs="Arial" w:eastAsia="Arial" w:hAnsi="Arial"/>
                <w:sz w:val="18"/>
                <w:szCs w:val="18"/>
                <w:color w:val="auto"/>
              </w:rPr>
              <w:t>Purchases of investments</w:t>
            </w: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(1,062)</w:t>
            </w:r>
          </w:p>
        </w:tc>
        <w:tc>
          <w:tcPr>
            <w:tcW w:w="4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(448)</w:t>
            </w:r>
          </w:p>
        </w:tc>
      </w:tr>
      <w:tr>
        <w:trPr>
          <w:trHeight w:val="270"/>
        </w:trPr>
        <w:tc>
          <w:tcPr>
            <w:tcW w:w="8460" w:type="dxa"/>
            <w:vAlign w:val="bottom"/>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57</w:t>
            </w:r>
          </w:p>
        </w:tc>
        <w:tc>
          <w:tcPr>
            <w:tcW w:w="4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56</w:t>
            </w:r>
          </w:p>
        </w:tc>
      </w:tr>
      <w:tr>
        <w:trPr>
          <w:trHeight w:val="27"/>
        </w:trPr>
        <w:tc>
          <w:tcPr>
            <w:tcW w:w="8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846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(3,794)</w:t>
            </w: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(2,709)</w:t>
            </w:r>
          </w:p>
        </w:tc>
      </w:tr>
      <w:tr>
        <w:trPr>
          <w:trHeight w:val="27"/>
        </w:trPr>
        <w:tc>
          <w:tcPr>
            <w:tcW w:w="8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846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0"/>
        </w:trPr>
        <w:tc>
          <w:tcPr>
            <w:tcW w:w="8460" w:type="dxa"/>
            <w:vAlign w:val="bottom"/>
          </w:tcPr>
          <w:p>
            <w:pPr>
              <w:ind w:left="380"/>
              <w:spacing w:after="0"/>
              <w:rPr>
                <w:sz w:val="20"/>
                <w:szCs w:val="20"/>
                <w:color w:val="auto"/>
              </w:rPr>
            </w:pPr>
            <w:r>
              <w:rPr>
                <w:rFonts w:ascii="Arial" w:cs="Arial" w:eastAsia="Arial" w:hAnsi="Arial"/>
                <w:sz w:val="18"/>
                <w:szCs w:val="18"/>
                <w:color w:val="auto"/>
              </w:rPr>
              <w:t>Proceeds from (repayments of) short-term borrowings, net</w:t>
            </w: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(1,893)</w:t>
            </w:r>
          </w:p>
        </w:tc>
        <w:tc>
          <w:tcPr>
            <w:tcW w:w="4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(538)</w:t>
            </w:r>
          </w:p>
        </w:tc>
      </w:tr>
      <w:tr>
        <w:trPr>
          <w:trHeight w:val="270"/>
        </w:trPr>
        <w:tc>
          <w:tcPr>
            <w:tcW w:w="8460" w:type="dxa"/>
            <w:vAlign w:val="bottom"/>
          </w:tcPr>
          <w:p>
            <w:pPr>
              <w:ind w:left="380"/>
              <w:spacing w:after="0"/>
              <w:rPr>
                <w:sz w:val="20"/>
                <w:szCs w:val="20"/>
                <w:color w:val="auto"/>
              </w:rPr>
            </w:pPr>
            <w:r>
              <w:rPr>
                <w:rFonts w:ascii="Arial" w:cs="Arial" w:eastAsia="Arial" w:hAnsi="Arial"/>
                <w:sz w:val="18"/>
                <w:szCs w:val="18"/>
                <w:color w:val="auto"/>
              </w:rPr>
              <w:t>Proceeds from borrowings</w:t>
            </w:r>
          </w:p>
        </w:tc>
        <w:tc>
          <w:tcPr>
            <w:tcW w:w="36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3,500</w:t>
            </w:r>
          </w:p>
        </w:tc>
        <w:tc>
          <w:tcPr>
            <w:tcW w:w="4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3,323</w:t>
            </w:r>
          </w:p>
        </w:tc>
      </w:tr>
      <w:tr>
        <w:trPr>
          <w:trHeight w:val="270"/>
        </w:trPr>
        <w:tc>
          <w:tcPr>
            <w:tcW w:w="8460" w:type="dxa"/>
            <w:vAlign w:val="bottom"/>
          </w:tcPr>
          <w:p>
            <w:pPr>
              <w:ind w:left="380"/>
              <w:spacing w:after="0"/>
              <w:rPr>
                <w:sz w:val="20"/>
                <w:szCs w:val="20"/>
                <w:color w:val="auto"/>
              </w:rPr>
            </w:pPr>
            <w:r>
              <w:rPr>
                <w:rFonts w:ascii="Arial" w:cs="Arial" w:eastAsia="Arial" w:hAnsi="Arial"/>
                <w:sz w:val="18"/>
                <w:szCs w:val="18"/>
                <w:color w:val="auto"/>
              </w:rPr>
              <w:t>Repurchases and repayments of debt</w:t>
            </w: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(1,059)</w:t>
            </w:r>
          </w:p>
        </w:tc>
        <w:tc>
          <w:tcPr>
            <w:tcW w:w="4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0"/>
        </w:trPr>
        <w:tc>
          <w:tcPr>
            <w:tcW w:w="8460" w:type="dxa"/>
            <w:vAlign w:val="bottom"/>
          </w:tcPr>
          <w:p>
            <w:pPr>
              <w:ind w:left="380"/>
              <w:spacing w:after="0"/>
              <w:rPr>
                <w:sz w:val="20"/>
                <w:szCs w:val="20"/>
                <w:color w:val="auto"/>
              </w:rPr>
            </w:pPr>
            <w:r>
              <w:rPr>
                <w:rFonts w:ascii="Arial" w:cs="Arial" w:eastAsia="Arial" w:hAnsi="Arial"/>
                <w:sz w:val="18"/>
                <w:szCs w:val="18"/>
                <w:color w:val="auto"/>
              </w:rPr>
              <w:t>Repurchases of common stock under repurchase program and employee plans</w:t>
            </w: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(996)</w:t>
            </w:r>
          </w:p>
        </w:tc>
        <w:tc>
          <w:tcPr>
            <w:tcW w:w="4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(1,427)</w:t>
            </w:r>
          </w:p>
        </w:tc>
      </w:tr>
      <w:tr>
        <w:trPr>
          <w:trHeight w:val="270"/>
        </w:trPr>
        <w:tc>
          <w:tcPr>
            <w:tcW w:w="8460" w:type="dxa"/>
            <w:vAlign w:val="bottom"/>
          </w:tcPr>
          <w:p>
            <w:pPr>
              <w:ind w:left="380"/>
              <w:spacing w:after="0"/>
              <w:rPr>
                <w:sz w:val="20"/>
                <w:szCs w:val="20"/>
                <w:color w:val="auto"/>
              </w:rPr>
            </w:pPr>
            <w:r>
              <w:rPr>
                <w:rFonts w:ascii="Arial" w:cs="Arial" w:eastAsia="Arial" w:hAnsi="Arial"/>
                <w:sz w:val="18"/>
                <w:szCs w:val="18"/>
                <w:color w:val="auto"/>
              </w:rPr>
              <w:t>Dividends paid</w:t>
            </w: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(657)</w:t>
            </w:r>
          </w:p>
        </w:tc>
        <w:tc>
          <w:tcPr>
            <w:tcW w:w="4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(611)</w:t>
            </w:r>
          </w:p>
        </w:tc>
      </w:tr>
      <w:tr>
        <w:trPr>
          <w:trHeight w:val="270"/>
        </w:trPr>
        <w:tc>
          <w:tcPr>
            <w:tcW w:w="8460" w:type="dxa"/>
            <w:vAlign w:val="bottom"/>
          </w:tcPr>
          <w:p>
            <w:pPr>
              <w:ind w:left="380"/>
              <w:spacing w:after="0"/>
              <w:rPr>
                <w:sz w:val="20"/>
                <w:szCs w:val="20"/>
                <w:color w:val="auto"/>
              </w:rPr>
            </w:pPr>
            <w:r>
              <w:rPr>
                <w:rFonts w:ascii="Arial" w:cs="Arial" w:eastAsia="Arial" w:hAnsi="Arial"/>
                <w:sz w:val="18"/>
                <w:szCs w:val="18"/>
                <w:color w:val="auto"/>
              </w:rPr>
              <w:t>Issuances of common stock</w:t>
            </w:r>
          </w:p>
        </w:tc>
        <w:tc>
          <w:tcPr>
            <w:tcW w:w="36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w:t>
            </w:r>
          </w:p>
        </w:tc>
      </w:tr>
      <w:tr>
        <w:trPr>
          <w:trHeight w:val="270"/>
        </w:trPr>
        <w:tc>
          <w:tcPr>
            <w:tcW w:w="8460" w:type="dxa"/>
            <w:vAlign w:val="bottom"/>
          </w:tcPr>
          <w:p>
            <w:pPr>
              <w:ind w:left="380"/>
              <w:spacing w:after="0"/>
              <w:rPr>
                <w:sz w:val="20"/>
                <w:szCs w:val="20"/>
                <w:color w:val="auto"/>
              </w:rPr>
            </w:pPr>
            <w:r>
              <w:rPr>
                <w:rFonts w:ascii="Arial" w:cs="Arial" w:eastAsia="Arial" w:hAnsi="Arial"/>
                <w:sz w:val="18"/>
                <w:szCs w:val="18"/>
                <w:color w:val="auto"/>
              </w:rPr>
              <w:t>Distributions to noncontrolling interests and dividends for redeemable subsidiary preferred stock</w:t>
            </w: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w:t>
            </w:r>
          </w:p>
        </w:tc>
        <w:tc>
          <w:tcPr>
            <w:tcW w:w="4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70"/>
        </w:trPr>
        <w:tc>
          <w:tcPr>
            <w:tcW w:w="8460" w:type="dxa"/>
            <w:vAlign w:val="bottom"/>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36</w:t>
            </w:r>
          </w:p>
        </w:tc>
        <w:tc>
          <w:tcPr>
            <w:tcW w:w="4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w:t>
            </w:r>
          </w:p>
        </w:tc>
      </w:tr>
      <w:tr>
        <w:trPr>
          <w:trHeight w:val="27"/>
        </w:trPr>
        <w:tc>
          <w:tcPr>
            <w:tcW w:w="8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846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(1,141)</w:t>
            </w:r>
          </w:p>
        </w:tc>
        <w:tc>
          <w:tcPr>
            <w:tcW w:w="44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643</w:t>
            </w:r>
          </w:p>
        </w:tc>
      </w:tr>
      <w:tr>
        <w:trPr>
          <w:trHeight w:val="27"/>
        </w:trPr>
        <w:tc>
          <w:tcPr>
            <w:tcW w:w="8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8460" w:type="dxa"/>
            <w:vAlign w:val="bottom"/>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36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721</w:t>
            </w:r>
          </w:p>
        </w:tc>
        <w:tc>
          <w:tcPr>
            <w:tcW w:w="44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3,333</w:t>
            </w:r>
          </w:p>
        </w:tc>
      </w:tr>
      <w:tr>
        <w:trPr>
          <w:trHeight w:val="270"/>
        </w:trPr>
        <w:tc>
          <w:tcPr>
            <w:tcW w:w="846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36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3,301</w:t>
            </w:r>
          </w:p>
        </w:tc>
        <w:tc>
          <w:tcPr>
            <w:tcW w:w="4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2,295</w:t>
            </w:r>
          </w:p>
        </w:tc>
      </w:tr>
      <w:tr>
        <w:trPr>
          <w:trHeight w:val="27"/>
        </w:trPr>
        <w:tc>
          <w:tcPr>
            <w:tcW w:w="8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846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b w:val="1"/>
                <w:bCs w:val="1"/>
                <w:color w:val="auto"/>
              </w:rPr>
              <w:t>4,022</w:t>
            </w: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5,628</w:t>
            </w:r>
          </w:p>
        </w:tc>
      </w:tr>
      <w:tr>
        <w:trPr>
          <w:trHeight w:val="34"/>
        </w:trPr>
        <w:tc>
          <w:tcPr>
            <w:tcW w:w="8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1"/>
        </w:trPr>
        <w:tc>
          <w:tcPr>
            <w:tcW w:w="8460" w:type="dxa"/>
            <w:vAlign w:val="bottom"/>
          </w:tcPr>
          <w:p>
            <w:pPr>
              <w:spacing w:after="0"/>
              <w:rPr>
                <w:sz w:val="20"/>
                <w:szCs w:val="20"/>
                <w:color w:val="auto"/>
              </w:rPr>
            </w:pPr>
            <w:r>
              <w:rPr>
                <w:rFonts w:ascii="Arial" w:cs="Arial" w:eastAsia="Arial" w:hAnsi="Arial"/>
                <w:sz w:val="14"/>
                <w:szCs w:val="14"/>
                <w:color w:val="auto"/>
              </w:rPr>
              <w:t>See accompanying notes to condensed consolidated financial statements.</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539"/>
        </w:trPr>
        <w:tc>
          <w:tcPr>
            <w:tcW w:w="8460" w:type="dxa"/>
            <w:vAlign w:val="bottom"/>
          </w:tcPr>
          <w:p>
            <w:pPr>
              <w:ind w:left="5660"/>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Borders>
              <w:right w:val="single" w:sz="8" w:color="auto"/>
            </w:tcBorders>
          </w:tcPr>
          <w:p>
            <w:pPr>
              <w:jc w:val="center"/>
              <w:ind w:right="97"/>
              <w:spacing w:after="0"/>
              <w:rPr>
                <w:sz w:val="20"/>
                <w:szCs w:val="20"/>
                <w:color w:val="auto"/>
              </w:rPr>
            </w:pPr>
            <w:r>
              <w:rPr>
                <w:rFonts w:ascii="Arial" w:cs="Arial" w:eastAsia="Arial" w:hAnsi="Arial"/>
                <w:sz w:val="14"/>
                <w:szCs w:val="14"/>
                <w:color w:val="auto"/>
                <w:w w:val="88"/>
              </w:rPr>
              <w:t>Redeemable</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Borders>
              <w:right w:val="single" w:sz="8" w:color="auto"/>
            </w:tcBorders>
          </w:tcPr>
          <w:p>
            <w:pPr>
              <w:jc w:val="center"/>
              <w:ind w:right="117"/>
              <w:spacing w:after="0" w:line="149" w:lineRule="exact"/>
              <w:rPr>
                <w:sz w:val="20"/>
                <w:szCs w:val="20"/>
                <w:color w:val="auto"/>
              </w:rPr>
            </w:pPr>
            <w:r>
              <w:rPr>
                <w:rFonts w:ascii="Arial" w:cs="Arial" w:eastAsia="Arial" w:hAnsi="Arial"/>
                <w:sz w:val="14"/>
                <w:szCs w:val="14"/>
                <w:color w:val="auto"/>
                <w:w w:val="98"/>
              </w:rPr>
              <w:t>Noncontrolling</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Borders>
              <w:right w:val="single" w:sz="8" w:color="auto"/>
            </w:tcBorders>
          </w:tcPr>
          <w:p>
            <w:pPr>
              <w:jc w:val="center"/>
              <w:ind w:right="97"/>
              <w:spacing w:after="0" w:line="149" w:lineRule="exact"/>
              <w:rPr>
                <w:sz w:val="20"/>
                <w:szCs w:val="20"/>
                <w:color w:val="auto"/>
              </w:rPr>
            </w:pPr>
            <w:r>
              <w:rPr>
                <w:rFonts w:ascii="Arial" w:cs="Arial" w:eastAsia="Arial" w:hAnsi="Arial"/>
                <w:sz w:val="14"/>
                <w:szCs w:val="14"/>
                <w:color w:val="auto"/>
                <w:w w:val="91"/>
              </w:rPr>
              <w:t>Interests and</w:t>
            </w:r>
          </w:p>
        </w:tc>
        <w:tc>
          <w:tcPr>
            <w:tcW w:w="160" w:type="dxa"/>
            <w:vAlign w:val="bottom"/>
          </w:tcPr>
          <w:p>
            <w:pPr>
              <w:spacing w:after="0"/>
              <w:rPr>
                <w:sz w:val="12"/>
                <w:szCs w:val="12"/>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4"/>
                <w:szCs w:val="14"/>
                <w:color w:val="auto"/>
              </w:rPr>
              <w:t>Common Stock</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58"/>
              <w:spacing w:after="0" w:line="149" w:lineRule="exact"/>
              <w:rPr>
                <w:sz w:val="20"/>
                <w:szCs w:val="20"/>
                <w:color w:val="auto"/>
              </w:rPr>
            </w:pPr>
            <w:r>
              <w:rPr>
                <w:rFonts w:ascii="Arial" w:cs="Arial" w:eastAsia="Arial" w:hAnsi="Arial"/>
                <w:sz w:val="14"/>
                <w:szCs w:val="14"/>
                <w:color w:val="auto"/>
                <w:w w:val="93"/>
              </w:rPr>
              <w:t>Accumulated</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8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tcBorders>
              <w:right w:val="single" w:sz="8" w:color="auto"/>
            </w:tcBorders>
          </w:tcPr>
          <w:p>
            <w:pPr>
              <w:jc w:val="center"/>
              <w:ind w:right="97"/>
              <w:spacing w:after="0" w:line="121" w:lineRule="exact"/>
              <w:rPr>
                <w:sz w:val="20"/>
                <w:szCs w:val="20"/>
                <w:color w:val="auto"/>
              </w:rPr>
            </w:pPr>
            <w:r>
              <w:rPr>
                <w:rFonts w:ascii="Arial" w:cs="Arial" w:eastAsia="Arial" w:hAnsi="Arial"/>
                <w:sz w:val="13"/>
                <w:szCs w:val="13"/>
                <w:color w:val="auto"/>
                <w:w w:val="94"/>
              </w:rPr>
              <w:t>Redeemable</w:t>
            </w:r>
          </w:p>
        </w:tc>
        <w:tc>
          <w:tcPr>
            <w:tcW w:w="16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right"/>
              <w:ind w:right="54"/>
              <w:spacing w:after="0" w:line="121" w:lineRule="exact"/>
              <w:rPr>
                <w:sz w:val="20"/>
                <w:szCs w:val="20"/>
                <w:color w:val="auto"/>
              </w:rPr>
            </w:pPr>
            <w:r>
              <w:rPr>
                <w:rFonts w:ascii="Arial" w:cs="Arial" w:eastAsia="Arial" w:hAnsi="Arial"/>
                <w:sz w:val="13"/>
                <w:szCs w:val="13"/>
                <w:color w:val="auto"/>
              </w:rPr>
              <w:t>Additional</w:t>
            </w: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ind w:left="40"/>
              <w:spacing w:after="0" w:line="121" w:lineRule="exact"/>
              <w:rPr>
                <w:sz w:val="20"/>
                <w:szCs w:val="20"/>
                <w:color w:val="auto"/>
              </w:rPr>
            </w:pPr>
            <w:r>
              <w:rPr>
                <w:rFonts w:ascii="Arial" w:cs="Arial" w:eastAsia="Arial" w:hAnsi="Arial"/>
                <w:sz w:val="13"/>
                <w:szCs w:val="13"/>
                <w:color w:val="auto"/>
              </w:rPr>
              <w:t>Treasury</w:t>
            </w:r>
          </w:p>
        </w:tc>
        <w:tc>
          <w:tcPr>
            <w:tcW w:w="160" w:type="dxa"/>
            <w:vAlign w:val="bottom"/>
          </w:tcPr>
          <w:p>
            <w:pPr>
              <w:spacing w:after="0"/>
              <w:rPr>
                <w:sz w:val="10"/>
                <w:szCs w:val="10"/>
                <w:color w:val="auto"/>
              </w:rPr>
            </w:pPr>
          </w:p>
        </w:tc>
        <w:tc>
          <w:tcPr>
            <w:tcW w:w="1100" w:type="dxa"/>
            <w:vAlign w:val="bottom"/>
          </w:tcPr>
          <w:p>
            <w:pPr>
              <w:jc w:val="center"/>
              <w:ind w:right="58"/>
              <w:spacing w:after="0" w:line="121" w:lineRule="exact"/>
              <w:rPr>
                <w:sz w:val="20"/>
                <w:szCs w:val="20"/>
                <w:color w:val="auto"/>
              </w:rPr>
            </w:pPr>
            <w:r>
              <w:rPr>
                <w:rFonts w:ascii="Arial" w:cs="Arial" w:eastAsia="Arial" w:hAnsi="Arial"/>
                <w:sz w:val="13"/>
                <w:szCs w:val="13"/>
                <w:color w:val="auto"/>
                <w:w w:val="98"/>
              </w:rPr>
              <w:t>Other</w:t>
            </w:r>
          </w:p>
        </w:tc>
        <w:tc>
          <w:tcPr>
            <w:tcW w:w="140" w:type="dxa"/>
            <w:vAlign w:val="bottom"/>
          </w:tcPr>
          <w:p>
            <w:pPr>
              <w:spacing w:after="0"/>
              <w:rPr>
                <w:sz w:val="10"/>
                <w:szCs w:val="10"/>
                <w:color w:val="auto"/>
              </w:rPr>
            </w:pPr>
          </w:p>
        </w:tc>
        <w:tc>
          <w:tcPr>
            <w:tcW w:w="760" w:type="dxa"/>
            <w:vAlign w:val="bottom"/>
          </w:tcPr>
          <w:p>
            <w:pPr>
              <w:jc w:val="center"/>
              <w:ind w:right="14"/>
              <w:spacing w:after="0" w:line="121" w:lineRule="exact"/>
              <w:rPr>
                <w:sz w:val="20"/>
                <w:szCs w:val="20"/>
                <w:color w:val="auto"/>
              </w:rPr>
            </w:pPr>
            <w:r>
              <w:rPr>
                <w:rFonts w:ascii="Arial" w:cs="Arial" w:eastAsia="Arial" w:hAnsi="Arial"/>
                <w:sz w:val="13"/>
                <w:szCs w:val="13"/>
                <w:color w:val="auto"/>
              </w:rPr>
              <w:t>Non-</w:t>
            </w: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Borders>
              <w:right w:val="single" w:sz="8" w:color="auto"/>
            </w:tcBorders>
          </w:tcPr>
          <w:p>
            <w:pPr>
              <w:jc w:val="center"/>
              <w:ind w:right="97"/>
              <w:spacing w:after="0" w:line="157" w:lineRule="exact"/>
              <w:rPr>
                <w:sz w:val="20"/>
                <w:szCs w:val="20"/>
                <w:color w:val="auto"/>
              </w:rPr>
            </w:pPr>
            <w:r>
              <w:rPr>
                <w:rFonts w:ascii="Arial" w:cs="Arial" w:eastAsia="Arial" w:hAnsi="Arial"/>
                <w:sz w:val="14"/>
                <w:szCs w:val="14"/>
                <w:color w:val="auto"/>
                <w:w w:val="94"/>
              </w:rPr>
              <w:t>Subsidiary</w:t>
            </w: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154"/>
              <w:spacing w:after="0" w:line="157" w:lineRule="exact"/>
              <w:rPr>
                <w:sz w:val="20"/>
                <w:szCs w:val="20"/>
                <w:color w:val="auto"/>
              </w:rPr>
            </w:pPr>
            <w:r>
              <w:rPr>
                <w:rFonts w:ascii="Arial" w:cs="Arial" w:eastAsia="Arial" w:hAnsi="Arial"/>
                <w:sz w:val="14"/>
                <w:szCs w:val="14"/>
                <w:color w:val="auto"/>
              </w:rPr>
              <w:t>Paid-In</w:t>
            </w:r>
          </w:p>
        </w:tc>
        <w:tc>
          <w:tcPr>
            <w:tcW w:w="160" w:type="dxa"/>
            <w:vAlign w:val="bottom"/>
          </w:tcPr>
          <w:p>
            <w:pPr>
              <w:spacing w:after="0"/>
              <w:rPr>
                <w:sz w:val="13"/>
                <w:szCs w:val="13"/>
                <w:color w:val="auto"/>
              </w:rPr>
            </w:pPr>
          </w:p>
        </w:tc>
        <w:tc>
          <w:tcPr>
            <w:tcW w:w="740" w:type="dxa"/>
            <w:vAlign w:val="bottom"/>
          </w:tcPr>
          <w:p>
            <w:pPr>
              <w:jc w:val="right"/>
              <w:ind w:right="93"/>
              <w:spacing w:after="0" w:line="157" w:lineRule="exact"/>
              <w:rPr>
                <w:sz w:val="20"/>
                <w:szCs w:val="20"/>
                <w:color w:val="auto"/>
              </w:rPr>
            </w:pPr>
            <w:r>
              <w:rPr>
                <w:rFonts w:ascii="Arial" w:cs="Arial" w:eastAsia="Arial" w:hAnsi="Arial"/>
                <w:sz w:val="14"/>
                <w:szCs w:val="14"/>
                <w:color w:val="auto"/>
                <w:w w:val="96"/>
              </w:rPr>
              <w:t>Retained</w:t>
            </w:r>
          </w:p>
        </w:tc>
        <w:tc>
          <w:tcPr>
            <w:tcW w:w="160" w:type="dxa"/>
            <w:vAlign w:val="bottom"/>
          </w:tcPr>
          <w:p>
            <w:pPr>
              <w:spacing w:after="0"/>
              <w:rPr>
                <w:sz w:val="13"/>
                <w:szCs w:val="13"/>
                <w:color w:val="auto"/>
              </w:rPr>
            </w:pPr>
          </w:p>
        </w:tc>
        <w:tc>
          <w:tcPr>
            <w:tcW w:w="740" w:type="dxa"/>
            <w:vAlign w:val="bottom"/>
          </w:tcPr>
          <w:p>
            <w:pPr>
              <w:ind w:left="60"/>
              <w:spacing w:after="0" w:line="157" w:lineRule="exact"/>
              <w:rPr>
                <w:sz w:val="20"/>
                <w:szCs w:val="20"/>
                <w:color w:val="auto"/>
              </w:rPr>
            </w:pPr>
            <w:r>
              <w:rPr>
                <w:rFonts w:ascii="Arial" w:cs="Arial" w:eastAsia="Arial" w:hAnsi="Arial"/>
                <w:sz w:val="14"/>
                <w:szCs w:val="14"/>
                <w:color w:val="auto"/>
              </w:rPr>
              <w:t>Stock at</w:t>
            </w:r>
          </w:p>
        </w:tc>
        <w:tc>
          <w:tcPr>
            <w:tcW w:w="160" w:type="dxa"/>
            <w:vAlign w:val="bottom"/>
          </w:tcPr>
          <w:p>
            <w:pPr>
              <w:spacing w:after="0"/>
              <w:rPr>
                <w:sz w:val="13"/>
                <w:szCs w:val="13"/>
                <w:color w:val="auto"/>
              </w:rPr>
            </w:pPr>
          </w:p>
        </w:tc>
        <w:tc>
          <w:tcPr>
            <w:tcW w:w="1100" w:type="dxa"/>
            <w:vAlign w:val="bottom"/>
          </w:tcPr>
          <w:p>
            <w:pPr>
              <w:jc w:val="center"/>
              <w:ind w:right="38"/>
              <w:spacing w:after="0" w:line="157" w:lineRule="exact"/>
              <w:rPr>
                <w:sz w:val="20"/>
                <w:szCs w:val="20"/>
                <w:color w:val="auto"/>
              </w:rPr>
            </w:pPr>
            <w:r>
              <w:rPr>
                <w:rFonts w:ascii="Arial" w:cs="Arial" w:eastAsia="Arial" w:hAnsi="Arial"/>
                <w:sz w:val="14"/>
                <w:szCs w:val="14"/>
                <w:color w:val="auto"/>
                <w:w w:val="91"/>
              </w:rPr>
              <w:t>Comprehensive</w:t>
            </w:r>
          </w:p>
        </w:tc>
        <w:tc>
          <w:tcPr>
            <w:tcW w:w="140" w:type="dxa"/>
            <w:vAlign w:val="bottom"/>
          </w:tcPr>
          <w:p>
            <w:pPr>
              <w:spacing w:after="0"/>
              <w:rPr>
                <w:sz w:val="13"/>
                <w:szCs w:val="13"/>
                <w:color w:val="auto"/>
              </w:rPr>
            </w:pPr>
          </w:p>
        </w:tc>
        <w:tc>
          <w:tcPr>
            <w:tcW w:w="760" w:type="dxa"/>
            <w:vAlign w:val="bottom"/>
          </w:tcPr>
          <w:p>
            <w:pPr>
              <w:jc w:val="center"/>
              <w:ind w:right="34"/>
              <w:spacing w:after="0" w:line="157" w:lineRule="exact"/>
              <w:rPr>
                <w:sz w:val="20"/>
                <w:szCs w:val="20"/>
                <w:color w:val="auto"/>
              </w:rPr>
            </w:pPr>
            <w:r>
              <w:rPr>
                <w:rFonts w:ascii="Arial" w:cs="Arial" w:eastAsia="Arial" w:hAnsi="Arial"/>
                <w:sz w:val="14"/>
                <w:szCs w:val="14"/>
                <w:color w:val="auto"/>
              </w:rPr>
              <w:t>controlling</w:t>
            </w:r>
          </w:p>
        </w:tc>
        <w:tc>
          <w:tcPr>
            <w:tcW w:w="200" w:type="dxa"/>
            <w:vAlign w:val="bottom"/>
          </w:tcPr>
          <w:p>
            <w:pPr>
              <w:spacing w:after="0"/>
              <w:rPr>
                <w:sz w:val="13"/>
                <w:szCs w:val="13"/>
                <w:color w:val="auto"/>
              </w:rPr>
            </w:pPr>
          </w:p>
        </w:tc>
        <w:tc>
          <w:tcPr>
            <w:tcW w:w="720" w:type="dxa"/>
            <w:vAlign w:val="bottom"/>
          </w:tcPr>
          <w:p>
            <w:pPr>
              <w:jc w:val="right"/>
              <w:ind w:right="212"/>
              <w:spacing w:after="0" w:line="157"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8"/>
        </w:trPr>
        <w:tc>
          <w:tcPr>
            <w:tcW w:w="2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jc w:val="center"/>
              <w:ind w:right="97"/>
              <w:spacing w:after="0"/>
              <w:rPr>
                <w:sz w:val="20"/>
                <w:szCs w:val="20"/>
                <w:color w:val="auto"/>
              </w:rPr>
            </w:pPr>
            <w:r>
              <w:rPr>
                <w:rFonts w:ascii="Arial" w:cs="Arial" w:eastAsia="Arial" w:hAnsi="Arial"/>
                <w:sz w:val="14"/>
                <w:szCs w:val="14"/>
                <w:color w:val="auto"/>
                <w:w w:val="92"/>
              </w:rPr>
              <w:t>Preferred Stock</w:t>
            </w:r>
          </w:p>
        </w:tc>
        <w:tc>
          <w:tcPr>
            <w:tcW w:w="1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color w:val="auto"/>
              </w:rPr>
              <w:t>A</w:t>
            </w:r>
          </w:p>
        </w:tc>
        <w:tc>
          <w:tcPr>
            <w:tcW w:w="2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B</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color w:val="auto"/>
              </w:rPr>
              <w:t>Capital</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w w:val="97"/>
              </w:rPr>
              <w:t>Earnings</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Cost</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color w:val="auto"/>
                <w:w w:val="94"/>
              </w:rPr>
              <w:t>Income (Loss)</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color w:val="auto"/>
                <w:w w:val="89"/>
              </w:rPr>
              <w:t>Interests</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243"/>
        </w:trPr>
        <w:tc>
          <w:tcPr>
            <w:tcW w:w="2860" w:type="dxa"/>
            <w:vAlign w:val="bottom"/>
          </w:tcPr>
          <w:p>
            <w:pPr>
              <w:ind w:left="40"/>
              <w:spacing w:after="0"/>
              <w:rPr>
                <w:sz w:val="20"/>
                <w:szCs w:val="20"/>
                <w:color w:val="auto"/>
              </w:rPr>
            </w:pPr>
            <w:r>
              <w:rPr>
                <w:rFonts w:ascii="Arial" w:cs="Arial" w:eastAsia="Arial" w:hAnsi="Arial"/>
                <w:sz w:val="18"/>
                <w:szCs w:val="18"/>
                <w:color w:val="auto"/>
              </w:rPr>
              <w:t>Balance, December 31, 2015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auto"/>
            </w:tcBorders>
          </w:tcPr>
          <w:p>
            <w:pPr>
              <w:jc w:val="right"/>
              <w:ind w:right="57"/>
              <w:spacing w:after="0"/>
              <w:rPr>
                <w:sz w:val="20"/>
                <w:szCs w:val="20"/>
                <w:color w:val="auto"/>
              </w:rPr>
            </w:pPr>
            <w:r>
              <w:rPr>
                <w:rFonts w:ascii="Arial" w:cs="Arial" w:eastAsia="Arial" w:hAnsi="Arial"/>
                <w:sz w:val="18"/>
                <w:szCs w:val="18"/>
                <w:color w:val="auto"/>
              </w:rPr>
              <w:t>1,221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38,490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21,413</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ind w:left="180"/>
              <w:spacing w:after="0"/>
              <w:rPr>
                <w:sz w:val="20"/>
                <w:szCs w:val="20"/>
                <w:color w:val="auto"/>
              </w:rPr>
            </w:pPr>
            <w:r>
              <w:rPr>
                <w:rFonts w:ascii="Arial" w:cs="Arial" w:eastAsia="Arial" w:hAnsi="Arial"/>
                <w:sz w:val="18"/>
                <w:szCs w:val="18"/>
                <w:color w:val="auto"/>
                <w:w w:val="94"/>
              </w:rPr>
              <w:t>(7,517)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(174)</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1,709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53,978</w:t>
            </w:r>
          </w:p>
        </w:tc>
        <w:tc>
          <w:tcPr>
            <w:tcW w:w="0" w:type="dxa"/>
            <w:vAlign w:val="bottom"/>
          </w:tcPr>
          <w:p>
            <w:pPr>
              <w:spacing w:after="0"/>
              <w:rPr>
                <w:sz w:val="1"/>
                <w:szCs w:val="1"/>
                <w:color w:val="auto"/>
              </w:rPr>
            </w:pPr>
          </w:p>
        </w:tc>
      </w:tr>
      <w:tr>
        <w:trPr>
          <w:trHeight w:val="270"/>
        </w:trPr>
        <w:tc>
          <w:tcPr>
            <w:tcW w:w="2860" w:type="dxa"/>
            <w:vAlign w:val="bottom"/>
          </w:tcPr>
          <w:p>
            <w:pPr>
              <w:ind w:left="40"/>
              <w:spacing w:after="0"/>
              <w:rPr>
                <w:sz w:val="20"/>
                <w:szCs w:val="20"/>
                <w:color w:val="auto"/>
              </w:rPr>
            </w:pPr>
            <w:r>
              <w:rPr>
                <w:rFonts w:ascii="Arial" w:cs="Arial" w:eastAsia="Arial" w:hAnsi="Arial"/>
                <w:sz w:val="18"/>
                <w:szCs w:val="18"/>
                <w:color w:val="auto"/>
              </w:rPr>
              <w:t>Stock compensation plans</w:t>
            </w:r>
          </w:p>
        </w:tc>
        <w:tc>
          <w:tcPr>
            <w:tcW w:w="280" w:type="dxa"/>
            <w:vAlign w:val="bottom"/>
          </w:tcPr>
          <w:p>
            <w:pPr>
              <w:spacing w:after="0"/>
              <w:rPr>
                <w:sz w:val="23"/>
                <w:szCs w:val="23"/>
                <w:color w:val="auto"/>
              </w:rPr>
            </w:pPr>
          </w:p>
        </w:tc>
        <w:tc>
          <w:tcPr>
            <w:tcW w:w="116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228</w:t>
            </w: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56"/>
        </w:trPr>
        <w:tc>
          <w:tcPr>
            <w:tcW w:w="2860" w:type="dxa"/>
            <w:vAlign w:val="bottom"/>
          </w:tcPr>
          <w:p>
            <w:pPr>
              <w:ind w:left="40"/>
              <w:spacing w:after="0"/>
              <w:rPr>
                <w:sz w:val="20"/>
                <w:szCs w:val="20"/>
                <w:color w:val="auto"/>
              </w:rPr>
            </w:pPr>
            <w:r>
              <w:rPr>
                <w:rFonts w:ascii="Arial" w:cs="Arial" w:eastAsia="Arial" w:hAnsi="Arial"/>
                <w:sz w:val="18"/>
                <w:szCs w:val="18"/>
                <w:color w:val="auto"/>
                <w:w w:val="93"/>
              </w:rPr>
              <w:t>Repurchases of common stock under</w:t>
            </w:r>
          </w:p>
        </w:tc>
        <w:tc>
          <w:tcPr>
            <w:tcW w:w="280" w:type="dxa"/>
            <w:vAlign w:val="bottom"/>
          </w:tcPr>
          <w:p>
            <w:pPr>
              <w:spacing w:after="0"/>
              <w:rPr>
                <w:sz w:val="22"/>
                <w:szCs w:val="22"/>
                <w:color w:val="auto"/>
              </w:rPr>
            </w:pPr>
          </w:p>
        </w:tc>
        <w:tc>
          <w:tcPr>
            <w:tcW w:w="116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860" w:type="dxa"/>
            <w:vAlign w:val="bottom"/>
          </w:tcPr>
          <w:p>
            <w:pPr>
              <w:ind w:left="200"/>
              <w:spacing w:after="0"/>
              <w:rPr>
                <w:sz w:val="20"/>
                <w:szCs w:val="20"/>
                <w:color w:val="auto"/>
              </w:rPr>
            </w:pPr>
            <w:r>
              <w:rPr>
                <w:rFonts w:ascii="Arial" w:cs="Arial" w:eastAsia="Arial" w:hAnsi="Arial"/>
                <w:sz w:val="18"/>
                <w:szCs w:val="18"/>
                <w:color w:val="auto"/>
                <w:w w:val="94"/>
              </w:rPr>
              <w:t>repurchase program and employee</w:t>
            </w:r>
          </w:p>
        </w:tc>
        <w:tc>
          <w:tcPr>
            <w:tcW w:w="28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00"/>
              <w:spacing w:after="0"/>
              <w:rPr>
                <w:sz w:val="20"/>
                <w:szCs w:val="20"/>
                <w:color w:val="auto"/>
              </w:rPr>
            </w:pPr>
            <w:r>
              <w:rPr>
                <w:rFonts w:ascii="Arial" w:cs="Arial" w:eastAsia="Arial" w:hAnsi="Arial"/>
                <w:sz w:val="18"/>
                <w:szCs w:val="18"/>
                <w:color w:val="auto"/>
              </w:rPr>
              <w:t>plans</w:t>
            </w:r>
          </w:p>
        </w:tc>
        <w:tc>
          <w:tcPr>
            <w:tcW w:w="280" w:type="dxa"/>
            <w:vAlign w:val="bottom"/>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(310)</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(1,127)</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270"/>
        </w:trPr>
        <w:tc>
          <w:tcPr>
            <w:tcW w:w="2860" w:type="dxa"/>
            <w:vAlign w:val="bottom"/>
          </w:tcPr>
          <w:p>
            <w:pPr>
              <w:ind w:left="40"/>
              <w:spacing w:after="0"/>
              <w:rPr>
                <w:sz w:val="20"/>
                <w:szCs w:val="20"/>
                <w:color w:val="auto"/>
              </w:rPr>
            </w:pPr>
            <w:r>
              <w:rPr>
                <w:rFonts w:ascii="Arial" w:cs="Arial" w:eastAsia="Arial" w:hAnsi="Arial"/>
                <w:sz w:val="18"/>
                <w:szCs w:val="18"/>
                <w:color w:val="auto"/>
              </w:rPr>
              <w:t>Employee stock purchase plans</w:t>
            </w:r>
          </w:p>
        </w:tc>
        <w:tc>
          <w:tcPr>
            <w:tcW w:w="280" w:type="dxa"/>
            <w:vAlign w:val="bottom"/>
          </w:tcPr>
          <w:p>
            <w:pPr>
              <w:spacing w:after="0"/>
              <w:rPr>
                <w:sz w:val="23"/>
                <w:szCs w:val="23"/>
                <w:color w:val="auto"/>
              </w:rPr>
            </w:pPr>
          </w:p>
        </w:tc>
        <w:tc>
          <w:tcPr>
            <w:tcW w:w="116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0"/>
        </w:trPr>
        <w:tc>
          <w:tcPr>
            <w:tcW w:w="2860" w:type="dxa"/>
            <w:vAlign w:val="bottom"/>
          </w:tcPr>
          <w:p>
            <w:pPr>
              <w:ind w:left="40"/>
              <w:spacing w:after="0"/>
              <w:rPr>
                <w:sz w:val="20"/>
                <w:szCs w:val="20"/>
                <w:color w:val="auto"/>
              </w:rPr>
            </w:pPr>
            <w:r>
              <w:rPr>
                <w:rFonts w:ascii="Arial" w:cs="Arial" w:eastAsia="Arial" w:hAnsi="Arial"/>
                <w:sz w:val="18"/>
                <w:szCs w:val="18"/>
                <w:color w:val="auto"/>
              </w:rPr>
              <w:t>Dividends declared</w:t>
            </w:r>
          </w:p>
        </w:tc>
        <w:tc>
          <w:tcPr>
            <w:tcW w:w="280" w:type="dxa"/>
            <w:vAlign w:val="bottom"/>
          </w:tcPr>
          <w:p>
            <w:pPr>
              <w:spacing w:after="0"/>
              <w:rPr>
                <w:sz w:val="23"/>
                <w:szCs w:val="23"/>
                <w:color w:val="auto"/>
              </w:rPr>
            </w:pPr>
          </w:p>
        </w:tc>
        <w:tc>
          <w:tcPr>
            <w:tcW w:w="116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(670)</w:t>
            </w: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70"/>
        </w:trPr>
        <w:tc>
          <w:tcPr>
            <w:tcW w:w="2860" w:type="dxa"/>
            <w:vAlign w:val="bottom"/>
          </w:tcPr>
          <w:p>
            <w:pPr>
              <w:ind w:left="40"/>
              <w:spacing w:after="0"/>
              <w:rPr>
                <w:sz w:val="20"/>
                <w:szCs w:val="20"/>
                <w:color w:val="auto"/>
              </w:rPr>
            </w:pPr>
            <w:r>
              <w:rPr>
                <w:rFonts w:ascii="Arial" w:cs="Arial" w:eastAsia="Arial" w:hAnsi="Arial"/>
                <w:sz w:val="18"/>
                <w:szCs w:val="18"/>
                <w:color w:val="auto"/>
                <w:w w:val="98"/>
              </w:rPr>
              <w:t>Other comprehensive income (loss)</w:t>
            </w:r>
          </w:p>
        </w:tc>
        <w:tc>
          <w:tcPr>
            <w:tcW w:w="280" w:type="dxa"/>
            <w:vAlign w:val="bottom"/>
          </w:tcPr>
          <w:p>
            <w:pPr>
              <w:spacing w:after="0"/>
              <w:rPr>
                <w:sz w:val="23"/>
                <w:szCs w:val="23"/>
                <w:color w:val="auto"/>
              </w:rPr>
            </w:pPr>
          </w:p>
        </w:tc>
        <w:tc>
          <w:tcPr>
            <w:tcW w:w="116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8"/>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23"/>
                <w:szCs w:val="23"/>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137</w:t>
            </w:r>
          </w:p>
        </w:tc>
        <w:tc>
          <w:tcPr>
            <w:tcW w:w="200" w:type="dxa"/>
            <w:vAlign w:val="bottom"/>
          </w:tcPr>
          <w:p>
            <w:pPr>
              <w:spacing w:after="0"/>
              <w:rPr>
                <w:sz w:val="23"/>
                <w:szCs w:val="23"/>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56"/>
        </w:trPr>
        <w:tc>
          <w:tcPr>
            <w:tcW w:w="2860" w:type="dxa"/>
            <w:vAlign w:val="bottom"/>
          </w:tcPr>
          <w:p>
            <w:pPr>
              <w:ind w:left="40"/>
              <w:spacing w:after="0"/>
              <w:rPr>
                <w:sz w:val="20"/>
                <w:szCs w:val="20"/>
                <w:color w:val="auto"/>
              </w:rPr>
            </w:pPr>
            <w:r>
              <w:rPr>
                <w:rFonts w:ascii="Arial" w:cs="Arial" w:eastAsia="Arial" w:hAnsi="Arial"/>
                <w:sz w:val="18"/>
                <w:szCs w:val="18"/>
                <w:color w:val="auto"/>
                <w:w w:val="99"/>
              </w:rPr>
              <w:t>Contributions from (distributions to)</w:t>
            </w:r>
          </w:p>
        </w:tc>
        <w:tc>
          <w:tcPr>
            <w:tcW w:w="280" w:type="dxa"/>
            <w:vAlign w:val="bottom"/>
          </w:tcPr>
          <w:p>
            <w:pPr>
              <w:spacing w:after="0"/>
              <w:rPr>
                <w:sz w:val="22"/>
                <w:szCs w:val="22"/>
                <w:color w:val="auto"/>
              </w:rPr>
            </w:pPr>
          </w:p>
        </w:tc>
        <w:tc>
          <w:tcPr>
            <w:tcW w:w="116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00"/>
              <w:spacing w:after="0"/>
              <w:rPr>
                <w:sz w:val="20"/>
                <w:szCs w:val="20"/>
                <w:color w:val="auto"/>
              </w:rPr>
            </w:pPr>
            <w:r>
              <w:rPr>
                <w:rFonts w:ascii="Arial" w:cs="Arial" w:eastAsia="Arial" w:hAnsi="Arial"/>
                <w:sz w:val="18"/>
                <w:szCs w:val="18"/>
                <w:color w:val="auto"/>
              </w:rPr>
              <w:t>noncontrolling interests, net</w:t>
            </w:r>
          </w:p>
        </w:tc>
        <w:tc>
          <w:tcPr>
            <w:tcW w:w="280" w:type="dxa"/>
            <w:vAlign w:val="bottom"/>
          </w:tcPr>
          <w:p>
            <w:pPr>
              <w:spacing w:after="0"/>
              <w:rPr>
                <w:sz w:val="20"/>
                <w:szCs w:val="20"/>
                <w:color w:val="auto"/>
              </w:rPr>
            </w:pP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0"/>
        </w:trPr>
        <w:tc>
          <w:tcPr>
            <w:tcW w:w="2860" w:type="dxa"/>
            <w:vAlign w:val="bottom"/>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3"/>
                <w:szCs w:val="23"/>
                <w:color w:val="auto"/>
              </w:rPr>
            </w:pP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0"/>
        </w:trPr>
        <w:tc>
          <w:tcPr>
            <w:tcW w:w="28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Pr>
          <w:p>
            <w:pPr>
              <w:spacing w:after="0"/>
              <w:rPr>
                <w:sz w:val="23"/>
                <w:szCs w:val="23"/>
                <w:color w:val="auto"/>
              </w:rPr>
            </w:pPr>
          </w:p>
        </w:tc>
        <w:tc>
          <w:tcPr>
            <w:tcW w:w="1160" w:type="dxa"/>
            <w:vAlign w:val="bottom"/>
            <w:tcBorders>
              <w:right w:val="single" w:sz="8" w:color="auto"/>
            </w:tcBorders>
          </w:tcPr>
          <w:p>
            <w:pPr>
              <w:jc w:val="right"/>
              <w:ind w:right="57"/>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2,134</w:t>
            </w: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23"/>
                <w:szCs w:val="23"/>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2,194</w:t>
            </w:r>
          </w:p>
        </w:tc>
        <w:tc>
          <w:tcPr>
            <w:tcW w:w="0" w:type="dxa"/>
            <w:vAlign w:val="bottom"/>
          </w:tcPr>
          <w:p>
            <w:pPr>
              <w:spacing w:after="0"/>
              <w:rPr>
                <w:sz w:val="1"/>
                <w:szCs w:val="1"/>
                <w:color w:val="auto"/>
              </w:rPr>
            </w:pPr>
          </w:p>
        </w:tc>
      </w:tr>
      <w:tr>
        <w:trPr>
          <w:trHeight w:val="27"/>
        </w:trPr>
        <w:tc>
          <w:tcPr>
            <w:tcW w:w="2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60" w:type="dxa"/>
            <w:vAlign w:val="bottom"/>
          </w:tcPr>
          <w:p>
            <w:pPr>
              <w:ind w:left="40"/>
              <w:spacing w:after="0"/>
              <w:rPr>
                <w:sz w:val="20"/>
                <w:szCs w:val="20"/>
                <w:color w:val="auto"/>
              </w:rPr>
            </w:pPr>
            <w:r>
              <w:rPr>
                <w:rFonts w:ascii="Arial" w:cs="Arial" w:eastAsia="Arial" w:hAnsi="Arial"/>
                <w:sz w:val="18"/>
                <w:szCs w:val="18"/>
                <w:b w:val="1"/>
                <w:bCs w:val="1"/>
                <w:color w:val="auto"/>
              </w:rPr>
              <w:t>Balance, March 31, 2016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auto"/>
            </w:tcBorders>
          </w:tcPr>
          <w:p>
            <w:pPr>
              <w:jc w:val="right"/>
              <w:ind w:right="57"/>
              <w:spacing w:after="0"/>
              <w:rPr>
                <w:sz w:val="20"/>
                <w:szCs w:val="20"/>
                <w:color w:val="auto"/>
              </w:rPr>
            </w:pPr>
            <w:r>
              <w:rPr>
                <w:rFonts w:ascii="Arial" w:cs="Arial" w:eastAsia="Arial" w:hAnsi="Arial"/>
                <w:sz w:val="18"/>
                <w:szCs w:val="18"/>
                <w:color w:val="auto"/>
              </w:rPr>
              <w:t>1,236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38,436</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21,750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ind w:left="180"/>
              <w:spacing w:after="0"/>
              <w:rPr>
                <w:sz w:val="20"/>
                <w:szCs w:val="20"/>
                <w:color w:val="auto"/>
              </w:rPr>
            </w:pPr>
            <w:r>
              <w:rPr>
                <w:rFonts w:ascii="Arial" w:cs="Arial" w:eastAsia="Arial" w:hAnsi="Arial"/>
                <w:sz w:val="18"/>
                <w:szCs w:val="18"/>
                <w:color w:val="auto"/>
                <w:w w:val="94"/>
              </w:rPr>
              <w:t>(7,517)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(84)</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1,870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54,512</w:t>
            </w:r>
          </w:p>
        </w:tc>
        <w:tc>
          <w:tcPr>
            <w:tcW w:w="0" w:type="dxa"/>
            <w:vAlign w:val="bottom"/>
          </w:tcPr>
          <w:p>
            <w:pPr>
              <w:spacing w:after="0"/>
              <w:rPr>
                <w:sz w:val="1"/>
                <w:szCs w:val="1"/>
                <w:color w:val="auto"/>
              </w:rPr>
            </w:pPr>
          </w:p>
        </w:tc>
      </w:tr>
      <w:tr>
        <w:trPr>
          <w:trHeight w:val="34"/>
        </w:trPr>
        <w:tc>
          <w:tcPr>
            <w:tcW w:w="2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860" w:type="dxa"/>
            <w:vAlign w:val="bottom"/>
          </w:tcPr>
          <w:p>
            <w:pPr>
              <w:ind w:left="40"/>
              <w:spacing w:after="0"/>
              <w:rPr>
                <w:sz w:val="20"/>
                <w:szCs w:val="20"/>
                <w:color w:val="auto"/>
              </w:rPr>
            </w:pPr>
            <w:r>
              <w:rPr>
                <w:rFonts w:ascii="Arial" w:cs="Arial" w:eastAsia="Arial" w:hAnsi="Arial"/>
                <w:sz w:val="18"/>
                <w:szCs w:val="18"/>
                <w:color w:val="auto"/>
              </w:rPr>
              <w:t>Balance, December 31, 2016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auto"/>
            </w:tcBorders>
          </w:tcPr>
          <w:p>
            <w:pPr>
              <w:jc w:val="right"/>
              <w:ind w:right="57"/>
              <w:spacing w:after="0"/>
              <w:rPr>
                <w:sz w:val="20"/>
                <w:szCs w:val="20"/>
                <w:color w:val="auto"/>
              </w:rPr>
            </w:pPr>
            <w:r>
              <w:rPr>
                <w:rFonts w:ascii="Arial" w:cs="Arial" w:eastAsia="Arial" w:hAnsi="Arial"/>
                <w:sz w:val="18"/>
                <w:szCs w:val="18"/>
                <w:color w:val="auto"/>
              </w:rPr>
              <w:t>1,446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38,230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23,076</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ind w:left="180"/>
              <w:spacing w:after="0"/>
              <w:rPr>
                <w:sz w:val="20"/>
                <w:szCs w:val="20"/>
                <w:color w:val="auto"/>
              </w:rPr>
            </w:pPr>
            <w:r>
              <w:rPr>
                <w:rFonts w:ascii="Arial" w:cs="Arial" w:eastAsia="Arial" w:hAnsi="Arial"/>
                <w:sz w:val="18"/>
                <w:szCs w:val="18"/>
                <w:color w:val="auto"/>
                <w:w w:val="94"/>
              </w:rPr>
              <w:t>(7,517)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8"/>
              <w:spacing w:after="0"/>
              <w:rPr>
                <w:sz w:val="20"/>
                <w:szCs w:val="20"/>
                <w:color w:val="auto"/>
              </w:rPr>
            </w:pPr>
            <w:r>
              <w:rPr>
                <w:rFonts w:ascii="Arial" w:cs="Arial" w:eastAsia="Arial" w:hAnsi="Arial"/>
                <w:sz w:val="18"/>
                <w:szCs w:val="18"/>
                <w:color w:val="auto"/>
              </w:rPr>
              <w:t>98</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2,231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56,174</w:t>
            </w:r>
          </w:p>
        </w:tc>
        <w:tc>
          <w:tcPr>
            <w:tcW w:w="0" w:type="dxa"/>
            <w:vAlign w:val="bottom"/>
          </w:tcPr>
          <w:p>
            <w:pPr>
              <w:spacing w:after="0"/>
              <w:rPr>
                <w:sz w:val="1"/>
                <w:szCs w:val="1"/>
                <w:color w:val="auto"/>
              </w:rPr>
            </w:pPr>
          </w:p>
        </w:tc>
      </w:tr>
      <w:tr>
        <w:trPr>
          <w:trHeight w:val="270"/>
        </w:trPr>
        <w:tc>
          <w:tcPr>
            <w:tcW w:w="2860" w:type="dxa"/>
            <w:vAlign w:val="bottom"/>
          </w:tcPr>
          <w:p>
            <w:pPr>
              <w:ind w:left="40"/>
              <w:spacing w:after="0"/>
              <w:rPr>
                <w:sz w:val="20"/>
                <w:szCs w:val="20"/>
                <w:color w:val="auto"/>
              </w:rPr>
            </w:pPr>
            <w:r>
              <w:rPr>
                <w:rFonts w:ascii="Arial" w:cs="Arial" w:eastAsia="Arial" w:hAnsi="Arial"/>
                <w:sz w:val="18"/>
                <w:szCs w:val="18"/>
                <w:color w:val="auto"/>
              </w:rPr>
              <w:t>Stock compensation plans</w:t>
            </w:r>
          </w:p>
        </w:tc>
        <w:tc>
          <w:tcPr>
            <w:tcW w:w="280" w:type="dxa"/>
            <w:vAlign w:val="bottom"/>
          </w:tcPr>
          <w:p>
            <w:pPr>
              <w:spacing w:after="0"/>
              <w:rPr>
                <w:sz w:val="23"/>
                <w:szCs w:val="23"/>
                <w:color w:val="auto"/>
              </w:rPr>
            </w:pPr>
          </w:p>
        </w:tc>
        <w:tc>
          <w:tcPr>
            <w:tcW w:w="116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114</w:t>
            </w: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56"/>
        </w:trPr>
        <w:tc>
          <w:tcPr>
            <w:tcW w:w="2860" w:type="dxa"/>
            <w:vAlign w:val="bottom"/>
          </w:tcPr>
          <w:p>
            <w:pPr>
              <w:ind w:left="40"/>
              <w:spacing w:after="0"/>
              <w:rPr>
                <w:sz w:val="20"/>
                <w:szCs w:val="20"/>
                <w:color w:val="auto"/>
              </w:rPr>
            </w:pPr>
            <w:r>
              <w:rPr>
                <w:rFonts w:ascii="Arial" w:cs="Arial" w:eastAsia="Arial" w:hAnsi="Arial"/>
                <w:sz w:val="18"/>
                <w:szCs w:val="18"/>
                <w:color w:val="auto"/>
                <w:w w:val="93"/>
              </w:rPr>
              <w:t>Repurchases of common stock under</w:t>
            </w:r>
          </w:p>
        </w:tc>
        <w:tc>
          <w:tcPr>
            <w:tcW w:w="280" w:type="dxa"/>
            <w:vAlign w:val="bottom"/>
          </w:tcPr>
          <w:p>
            <w:pPr>
              <w:spacing w:after="0"/>
              <w:rPr>
                <w:sz w:val="22"/>
                <w:szCs w:val="22"/>
                <w:color w:val="auto"/>
              </w:rPr>
            </w:pPr>
          </w:p>
        </w:tc>
        <w:tc>
          <w:tcPr>
            <w:tcW w:w="116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860" w:type="dxa"/>
            <w:vAlign w:val="bottom"/>
          </w:tcPr>
          <w:p>
            <w:pPr>
              <w:ind w:left="200"/>
              <w:spacing w:after="0"/>
              <w:rPr>
                <w:sz w:val="20"/>
                <w:szCs w:val="20"/>
                <w:color w:val="auto"/>
              </w:rPr>
            </w:pPr>
            <w:r>
              <w:rPr>
                <w:rFonts w:ascii="Arial" w:cs="Arial" w:eastAsia="Arial" w:hAnsi="Arial"/>
                <w:sz w:val="18"/>
                <w:szCs w:val="18"/>
                <w:color w:val="auto"/>
                <w:w w:val="94"/>
              </w:rPr>
              <w:t>repurchase program and employee</w:t>
            </w:r>
          </w:p>
        </w:tc>
        <w:tc>
          <w:tcPr>
            <w:tcW w:w="28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00"/>
              <w:spacing w:after="0"/>
              <w:rPr>
                <w:sz w:val="20"/>
                <w:szCs w:val="20"/>
                <w:color w:val="auto"/>
              </w:rPr>
            </w:pPr>
            <w:r>
              <w:rPr>
                <w:rFonts w:ascii="Arial" w:cs="Arial" w:eastAsia="Arial" w:hAnsi="Arial"/>
                <w:sz w:val="18"/>
                <w:szCs w:val="18"/>
                <w:color w:val="auto"/>
              </w:rPr>
              <w:t>plans</w:t>
            </w:r>
          </w:p>
        </w:tc>
        <w:tc>
          <w:tcPr>
            <w:tcW w:w="280" w:type="dxa"/>
            <w:vAlign w:val="bottom"/>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(178)</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(828)</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70"/>
        </w:trPr>
        <w:tc>
          <w:tcPr>
            <w:tcW w:w="2860" w:type="dxa"/>
            <w:vAlign w:val="bottom"/>
          </w:tcPr>
          <w:p>
            <w:pPr>
              <w:ind w:left="40"/>
              <w:spacing w:after="0"/>
              <w:rPr>
                <w:sz w:val="20"/>
                <w:szCs w:val="20"/>
                <w:color w:val="auto"/>
              </w:rPr>
            </w:pPr>
            <w:r>
              <w:rPr>
                <w:rFonts w:ascii="Arial" w:cs="Arial" w:eastAsia="Arial" w:hAnsi="Arial"/>
                <w:sz w:val="18"/>
                <w:szCs w:val="18"/>
                <w:color w:val="auto"/>
              </w:rPr>
              <w:t>Employee stock purchase plans</w:t>
            </w:r>
          </w:p>
        </w:tc>
        <w:tc>
          <w:tcPr>
            <w:tcW w:w="280" w:type="dxa"/>
            <w:vAlign w:val="bottom"/>
          </w:tcPr>
          <w:p>
            <w:pPr>
              <w:spacing w:after="0"/>
              <w:rPr>
                <w:sz w:val="23"/>
                <w:szCs w:val="23"/>
                <w:color w:val="auto"/>
              </w:rPr>
            </w:pPr>
          </w:p>
        </w:tc>
        <w:tc>
          <w:tcPr>
            <w:tcW w:w="116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0"/>
        </w:trPr>
        <w:tc>
          <w:tcPr>
            <w:tcW w:w="2860" w:type="dxa"/>
            <w:vAlign w:val="bottom"/>
          </w:tcPr>
          <w:p>
            <w:pPr>
              <w:ind w:left="40"/>
              <w:spacing w:after="0"/>
              <w:rPr>
                <w:sz w:val="20"/>
                <w:szCs w:val="20"/>
                <w:color w:val="auto"/>
              </w:rPr>
            </w:pPr>
            <w:r>
              <w:rPr>
                <w:rFonts w:ascii="Arial" w:cs="Arial" w:eastAsia="Arial" w:hAnsi="Arial"/>
                <w:sz w:val="18"/>
                <w:szCs w:val="18"/>
                <w:color w:val="auto"/>
              </w:rPr>
              <w:t>Dividends declared</w:t>
            </w:r>
          </w:p>
        </w:tc>
        <w:tc>
          <w:tcPr>
            <w:tcW w:w="280" w:type="dxa"/>
            <w:vAlign w:val="bottom"/>
          </w:tcPr>
          <w:p>
            <w:pPr>
              <w:spacing w:after="0"/>
              <w:rPr>
                <w:sz w:val="23"/>
                <w:szCs w:val="23"/>
                <w:color w:val="auto"/>
              </w:rPr>
            </w:pPr>
          </w:p>
        </w:tc>
        <w:tc>
          <w:tcPr>
            <w:tcW w:w="116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(751)</w:t>
            </w: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70"/>
        </w:trPr>
        <w:tc>
          <w:tcPr>
            <w:tcW w:w="2860" w:type="dxa"/>
            <w:vAlign w:val="bottom"/>
          </w:tcPr>
          <w:p>
            <w:pPr>
              <w:ind w:left="40"/>
              <w:spacing w:after="0"/>
              <w:rPr>
                <w:sz w:val="20"/>
                <w:szCs w:val="20"/>
                <w:color w:val="auto"/>
              </w:rPr>
            </w:pPr>
            <w:r>
              <w:rPr>
                <w:rFonts w:ascii="Arial" w:cs="Arial" w:eastAsia="Arial" w:hAnsi="Arial"/>
                <w:sz w:val="18"/>
                <w:szCs w:val="18"/>
                <w:color w:val="auto"/>
                <w:w w:val="98"/>
              </w:rPr>
              <w:t>Other comprehensive income (loss)</w:t>
            </w:r>
          </w:p>
        </w:tc>
        <w:tc>
          <w:tcPr>
            <w:tcW w:w="280" w:type="dxa"/>
            <w:vAlign w:val="bottom"/>
          </w:tcPr>
          <w:p>
            <w:pPr>
              <w:spacing w:after="0"/>
              <w:rPr>
                <w:sz w:val="23"/>
                <w:szCs w:val="23"/>
                <w:color w:val="auto"/>
              </w:rPr>
            </w:pPr>
          </w:p>
        </w:tc>
        <w:tc>
          <w:tcPr>
            <w:tcW w:w="116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8"/>
              <w:spacing w:after="0"/>
              <w:rPr>
                <w:sz w:val="20"/>
                <w:szCs w:val="20"/>
                <w:color w:val="auto"/>
              </w:rPr>
            </w:pPr>
            <w:r>
              <w:rPr>
                <w:rFonts w:ascii="Arial" w:cs="Arial" w:eastAsia="Arial" w:hAnsi="Arial"/>
                <w:sz w:val="18"/>
                <w:szCs w:val="18"/>
                <w:color w:val="auto"/>
              </w:rPr>
              <w:t>244</w:t>
            </w:r>
          </w:p>
        </w:tc>
        <w:tc>
          <w:tcPr>
            <w:tcW w:w="140" w:type="dxa"/>
            <w:vAlign w:val="bottom"/>
          </w:tcPr>
          <w:p>
            <w:pPr>
              <w:spacing w:after="0"/>
              <w:rPr>
                <w:sz w:val="23"/>
                <w:szCs w:val="23"/>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23"/>
                <w:szCs w:val="23"/>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56"/>
        </w:trPr>
        <w:tc>
          <w:tcPr>
            <w:tcW w:w="2860" w:type="dxa"/>
            <w:vAlign w:val="bottom"/>
          </w:tcPr>
          <w:p>
            <w:pPr>
              <w:ind w:left="40"/>
              <w:spacing w:after="0"/>
              <w:rPr>
                <w:sz w:val="20"/>
                <w:szCs w:val="20"/>
                <w:color w:val="auto"/>
              </w:rPr>
            </w:pPr>
            <w:r>
              <w:rPr>
                <w:rFonts w:ascii="Arial" w:cs="Arial" w:eastAsia="Arial" w:hAnsi="Arial"/>
                <w:sz w:val="18"/>
                <w:szCs w:val="18"/>
                <w:color w:val="auto"/>
                <w:w w:val="99"/>
              </w:rPr>
              <w:t>Contributions from (distributions to)</w:t>
            </w:r>
          </w:p>
        </w:tc>
        <w:tc>
          <w:tcPr>
            <w:tcW w:w="280" w:type="dxa"/>
            <w:vAlign w:val="bottom"/>
          </w:tcPr>
          <w:p>
            <w:pPr>
              <w:spacing w:after="0"/>
              <w:rPr>
                <w:sz w:val="22"/>
                <w:szCs w:val="22"/>
                <w:color w:val="auto"/>
              </w:rPr>
            </w:pPr>
          </w:p>
        </w:tc>
        <w:tc>
          <w:tcPr>
            <w:tcW w:w="116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00"/>
              <w:spacing w:after="0"/>
              <w:rPr>
                <w:sz w:val="20"/>
                <w:szCs w:val="20"/>
                <w:color w:val="auto"/>
              </w:rPr>
            </w:pPr>
            <w:r>
              <w:rPr>
                <w:rFonts w:ascii="Arial" w:cs="Arial" w:eastAsia="Arial" w:hAnsi="Arial"/>
                <w:sz w:val="18"/>
                <w:szCs w:val="18"/>
                <w:color w:val="auto"/>
              </w:rPr>
              <w:t>noncontrolling interests, net</w:t>
            </w:r>
          </w:p>
        </w:tc>
        <w:tc>
          <w:tcPr>
            <w:tcW w:w="280" w:type="dxa"/>
            <w:vAlign w:val="bottom"/>
          </w:tcPr>
          <w:p>
            <w:pPr>
              <w:spacing w:after="0"/>
              <w:rPr>
                <w:sz w:val="20"/>
                <w:szCs w:val="20"/>
                <w:color w:val="auto"/>
              </w:rPr>
            </w:pP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0"/>
        </w:trPr>
        <w:tc>
          <w:tcPr>
            <w:tcW w:w="2860" w:type="dxa"/>
            <w:vAlign w:val="bottom"/>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3"/>
                <w:szCs w:val="23"/>
                <w:color w:val="auto"/>
              </w:rPr>
            </w:pP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253</w:t>
            </w:r>
          </w:p>
        </w:tc>
        <w:tc>
          <w:tcPr>
            <w:tcW w:w="200" w:type="dxa"/>
            <w:vAlign w:val="bottom"/>
          </w:tcPr>
          <w:p>
            <w:pPr>
              <w:spacing w:after="0"/>
              <w:rPr>
                <w:sz w:val="23"/>
                <w:szCs w:val="23"/>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70"/>
        </w:trPr>
        <w:tc>
          <w:tcPr>
            <w:tcW w:w="28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Pr>
          <w:p>
            <w:pPr>
              <w:spacing w:after="0"/>
              <w:rPr>
                <w:sz w:val="23"/>
                <w:szCs w:val="23"/>
                <w:color w:val="auto"/>
              </w:rPr>
            </w:pPr>
          </w:p>
        </w:tc>
        <w:tc>
          <w:tcPr>
            <w:tcW w:w="1160" w:type="dxa"/>
            <w:vAlign w:val="bottom"/>
            <w:tcBorders>
              <w:right w:val="single" w:sz="8" w:color="auto"/>
            </w:tcBorders>
          </w:tcPr>
          <w:p>
            <w:pPr>
              <w:jc w:val="right"/>
              <w:ind w:right="57"/>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2,566</w:t>
            </w: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23"/>
                <w:szCs w:val="23"/>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2,618</w:t>
            </w:r>
          </w:p>
        </w:tc>
        <w:tc>
          <w:tcPr>
            <w:tcW w:w="0" w:type="dxa"/>
            <w:vAlign w:val="bottom"/>
          </w:tcPr>
          <w:p>
            <w:pPr>
              <w:spacing w:after="0"/>
              <w:rPr>
                <w:sz w:val="1"/>
                <w:szCs w:val="1"/>
                <w:color w:val="auto"/>
              </w:rPr>
            </w:pPr>
          </w:p>
        </w:tc>
      </w:tr>
      <w:tr>
        <w:trPr>
          <w:trHeight w:val="27"/>
        </w:trPr>
        <w:tc>
          <w:tcPr>
            <w:tcW w:w="2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60" w:type="dxa"/>
            <w:vAlign w:val="bottom"/>
          </w:tcPr>
          <w:p>
            <w:pPr>
              <w:ind w:left="40"/>
              <w:spacing w:after="0"/>
              <w:rPr>
                <w:sz w:val="20"/>
                <w:szCs w:val="20"/>
                <w:color w:val="auto"/>
              </w:rPr>
            </w:pPr>
            <w:r>
              <w:rPr>
                <w:rFonts w:ascii="Arial" w:cs="Arial" w:eastAsia="Arial" w:hAnsi="Arial"/>
                <w:sz w:val="18"/>
                <w:szCs w:val="18"/>
                <w:b w:val="1"/>
                <w:bCs w:val="1"/>
                <w:color w:val="auto"/>
              </w:rPr>
              <w:t>Balance, March 31, 2017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auto"/>
            </w:tcBorders>
          </w:tcPr>
          <w:p>
            <w:pPr>
              <w:jc w:val="right"/>
              <w:ind w:right="57"/>
              <w:spacing w:after="0"/>
              <w:rPr>
                <w:sz w:val="20"/>
                <w:szCs w:val="20"/>
                <w:color w:val="auto"/>
              </w:rPr>
            </w:pPr>
            <w:r>
              <w:rPr>
                <w:rFonts w:ascii="Arial" w:cs="Arial" w:eastAsia="Arial" w:hAnsi="Arial"/>
                <w:sz w:val="18"/>
                <w:szCs w:val="18"/>
                <w:color w:val="auto"/>
              </w:rPr>
              <w:t>1,456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38,115</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24,063</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ind w:left="180"/>
              <w:spacing w:after="0"/>
              <w:rPr>
                <w:sz w:val="20"/>
                <w:szCs w:val="20"/>
                <w:color w:val="auto"/>
              </w:rPr>
            </w:pPr>
            <w:r>
              <w:rPr>
                <w:rFonts w:ascii="Arial" w:cs="Arial" w:eastAsia="Arial" w:hAnsi="Arial"/>
                <w:sz w:val="18"/>
                <w:szCs w:val="18"/>
                <w:color w:val="auto"/>
                <w:w w:val="94"/>
              </w:rPr>
              <w:t>(7,517)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8"/>
              <w:spacing w:after="0"/>
              <w:rPr>
                <w:sz w:val="20"/>
                <w:szCs w:val="20"/>
                <w:color w:val="auto"/>
              </w:rPr>
            </w:pPr>
            <w:r>
              <w:rPr>
                <w:rFonts w:ascii="Arial" w:cs="Arial" w:eastAsia="Arial" w:hAnsi="Arial"/>
                <w:sz w:val="18"/>
                <w:szCs w:val="18"/>
                <w:color w:val="auto"/>
              </w:rPr>
              <w:t>342</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2,589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57,648</w:t>
            </w:r>
          </w:p>
        </w:tc>
        <w:tc>
          <w:tcPr>
            <w:tcW w:w="0" w:type="dxa"/>
            <w:vAlign w:val="bottom"/>
          </w:tcPr>
          <w:p>
            <w:pPr>
              <w:spacing w:after="0"/>
              <w:rPr>
                <w:sz w:val="1"/>
                <w:szCs w:val="1"/>
                <w:color w:val="auto"/>
              </w:rPr>
            </w:pPr>
          </w:p>
        </w:tc>
      </w:tr>
      <w:tr>
        <w:trPr>
          <w:trHeight w:val="34"/>
        </w:trPr>
        <w:tc>
          <w:tcPr>
            <w:tcW w:w="4300" w:type="dxa"/>
            <w:vAlign w:val="bottom"/>
            <w:tcBorders>
              <w:bottom w:val="single" w:sz="8" w:color="auto"/>
              <w:right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4300" w:type="dxa"/>
            <w:vAlign w:val="bottom"/>
            <w:gridSpan w:val="3"/>
          </w:tcPr>
          <w:p>
            <w:pPr>
              <w:spacing w:after="0"/>
              <w:rPr>
                <w:sz w:val="20"/>
                <w:szCs w:val="20"/>
                <w:color w:val="auto"/>
              </w:rPr>
            </w:pPr>
            <w:r>
              <w:rPr>
                <w:rFonts w:ascii="Arial" w:cs="Arial" w:eastAsia="Arial" w:hAnsi="Arial"/>
                <w:sz w:val="14"/>
                <w:szCs w:val="14"/>
                <w:color w:val="auto"/>
                <w:w w:val="92"/>
              </w:rPr>
              <w:t>See accompanying notes to condensed consolidated financial statements.</w:t>
            </w: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9"/>
        </w:trPr>
        <w:tc>
          <w:tcPr>
            <w:tcW w:w="2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5</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10" w:lineRule="exact"/>
        <w:rPr>
          <w:sz w:val="20"/>
          <w:szCs w:val="20"/>
          <w:color w:val="auto"/>
        </w:rPr>
      </w:pPr>
    </w:p>
    <w:p>
      <w:pPr>
        <w:ind w:right="4380"/>
        <w:spacing w:after="0" w:line="274" w:lineRule="auto"/>
        <w:rPr>
          <w:sz w:val="20"/>
          <w:szCs w:val="20"/>
          <w:color w:val="auto"/>
        </w:rPr>
      </w:pPr>
      <w:r>
        <w:rPr>
          <w:rFonts w:ascii="Arial" w:cs="Arial" w:eastAsia="Arial" w:hAnsi="Arial"/>
          <w:sz w:val="22"/>
          <w:szCs w:val="22"/>
          <w:b w:val="1"/>
          <w:bCs w:val="1"/>
          <w:color w:val="auto"/>
        </w:rPr>
        <w:t>NOTES TO CONDENSED CONSOLIDATED FINANCIAL STATEMENTS (Unaudited)</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Condensed Consolidated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prepared these unaudited condensed consolidated financial statements based on SEC rules that permit reduced disclosure for interim periods. These financial statements include all adjustments that are necessary for a fair presentation of our consolidated results of operations, financial condition and cash flows for the periods shown, including normal, recurring accruals and other items. The consolidated results of operations for the interim periods presented are not necessarily indicative of results for the full year.</w:t>
      </w:r>
    </w:p>
    <w:p>
      <w:pPr>
        <w:spacing w:after="0" w:line="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year-end condensed consolidated balance sheet was derived from audited financial statements but does not include all disclosures required by generally accepted accounting principles in the United States (“GAAP”). For a more complete discussion of our accounting policies and certain other information, refer to our consolidated financial statements included in our 2016 Annual Report on Form 10-K.</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Split</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24, 2017, our Board of Directors approved a two-for-one stock split in the form of a 100% stock dividend that was distributed on February 17, 2017 to shareholders of record as of February 8, 2017. The stock split was in the form of one additional share for every share held and was payable in shares of Class A common stock on the existing Class A common stock and Class B common stock. All share-based data, including the number of shares outstanding and per share amounts, have been adjusted to reflect the stock split for all periods presented.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Reclassifications have been made to our condensed consolidated financial statements for the prior year period to conform to classifications used in 2017.</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Recent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May 2014, the Financial Accounting Standards Board (“FASB”) updated the accounting guidance related to revenue recognition. The updated accounting guidance provides a single, contract-based revenue recognition model to help improve financial reporting by providing clearer guidance on when an entity should recognize revenue and by reducing the number of standards to which an entity has to refer. The updated accounting guidance is effective for us as of January 1, 2018.</w:t>
      </w:r>
    </w:p>
    <w:p>
      <w:pPr>
        <w:spacing w:after="0" w:line="3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reviewed a majority of our revenue arrangements and expect our review to be completed in the second quarter of 2017. As a result of our review, we do not expect any material impact on our financial position or results of operations. However, we do expect that the new standard will impact the timing of recognition for (1) our Cable Communications segment’s installation revenue and commission expenses, which upon adoption will be recognized as revenue and costs over a period of time instead of immediately, and (2) our Cable Networks, Broadcast Television and Filmed Entertainment segments’ content licensing revenue associated with renewals or extensions of existing program licensing agreements, which upon adoption will be recognized as revenue when the licensed content becomes available under the renewal or extension instead of when the agreement is renewed or extended. The updated guidance also requires additional disclosures regarding our revenue transactions.</w:t>
      </w:r>
    </w:p>
    <w:p>
      <w:pPr>
        <w:spacing w:after="0" w:line="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updated guidance provides companies with alternative methods of adoption and we are in the process of determining our method of adoption, which depends in part upon our completion of the evaluation of our remaining revenue arrangements.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Assets and Financial Liabilities</w:t>
      </w:r>
    </w:p>
    <w:p>
      <w:pPr>
        <w:spacing w:after="0" w:line="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January 2016, the FASB updated the accounting guidance related to the recognition and measurement of financial assets and financial liabilities. The updated accounting guidance, among other things, requires that all nonconsolidated equity investments, except those accounted for under the equity method, be measured at fair value and that the changes in fair value be recognized in net income. The updated guidance is effective for us as of January 1, 2018. The updated accounting guidance requires a cumulative effect adjustment to beginning retained earnings in the year the guidance is adopted with certain exceptions. If we had adopted the provisions of the updated guidance as of January 1, 2017 for our equity investments classified as available-for-sale securities, net income attributable to Comcast Corporation would have increased by $104 million for the three months ended March 31, 2017. We are currently in the process of determining the impact that the updated accounting guidance will have on our cost method investments.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February 2016, the FASB updated the accounting guidance related to leases. The updated accounting guidance requires lessees to recognize a right-of-use asset and a lease liability on the balance sheet for all leases with the exception of short-term leases. The asset and liability are initially measured based on the present value of committed lease payments. For a lessee, the recognition, measurement and presentation of expenses and cash flows arising from a lease do not significantly change from previous guidance. For a lessor, the accounting applied is also largely unchanged from previous guidance. The updated guidance is effective for us as of January 1, 2019 and early adoption is permitted. The updated accounting guidance must be adopted using a modified retrospective approach for leases that exist or are entered into after the beginning of the earliest comparative period in the financial statements. We are currently in the process of determining the impact that the updated accounting guidance will have on our consolidated financial statements.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8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March 2016, the FASB updated the accounting guidance that affects several aspects of the accounting for share-based compensation. The most significant change for us relates to the presentation of the income and withholding tax consequences of share-based compensation in our consolidated financial statements. Among the changes, the updated guidance requires that the excess income tax benefits or deficiencies that arise when the tax consequences of share-based compensation differ from amounts previously recognized in the statement of income be recognized as income tax benefit or expense in the statement of income rather than as additional paid-in capital in the balance sheet. The guidance also states that excess income tax benefits should not be presented separately from other income taxes in the statement of cash flows and, thus, should be classified as an operating activity rather than a financing activity as they were under the prior guidance. In addition, the updated guidance requires that, when an employer withholds shares upon exercise of options or the vesting of restricted stock for the purpose of meeting withholding tax requirements, the cash paid for withholding taxes be classified as a financing activity and we include these amounts in the caption “repurchases of common stock under repurchase program and employee plans” in our consolidated statement of cash flows. We previously recorded these amounts as operating activities.</w:t>
      </w:r>
    </w:p>
    <w:p>
      <w:pPr>
        <w:spacing w:after="0" w:line="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adopted the updated guidance as of January 1, 2017 and as required, we prospectively adopted the provisions that relate to the recognition of the excess income tax benefits or deficiencies in the statement of income. The excess tax benefits resulted in a decrease to income tax expense of $139 million and an increase to diluted earnings per common share attributable to Comcast Corporation shareholders of $0.03 for the three months ended March 31, 2017. The prior year period in our consolidated statement of income was not adjusted as a result of these provisions.</w:t>
      </w:r>
    </w:p>
    <w:p>
      <w:pPr>
        <w:spacing w:after="0" w:line="2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we retrospectively adopted the provisions of this guidance related to changes to the statement of cash flows for all periods presented. This resulted in increases to net cash provided by operating activities and decreases to net cash provided by (used in) financing activities of $385 million and $289 million for the three months ended March 31, 2017 and 2016,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Earnings Per Share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Diluted EPS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9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422"/>
              <w:spacing w:after="0"/>
              <w:rPr>
                <w:sz w:val="20"/>
                <w:szCs w:val="20"/>
                <w:color w:val="auto"/>
              </w:rPr>
            </w:pPr>
            <w:r>
              <w:rPr>
                <w:rFonts w:ascii="Arial" w:cs="Arial" w:eastAsia="Arial" w:hAnsi="Arial"/>
                <w:sz w:val="14"/>
                <w:szCs w:val="14"/>
                <w:color w:val="auto"/>
                <w:w w:val="99"/>
              </w:rPr>
              <w:t>Three Months Ended March 31</w:t>
            </w:r>
          </w:p>
        </w:tc>
        <w:tc>
          <w:tcPr>
            <w:tcW w:w="10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96"/>
        </w:trPr>
        <w:tc>
          <w:tcPr>
            <w:tcW w:w="39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color w:val="auto"/>
              </w:rPr>
              <w:t>2017</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color w:val="auto"/>
              </w:rPr>
              <w:t>2016</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r>
      <w:tr>
        <w:trPr>
          <w:trHeight w:val="156"/>
        </w:trPr>
        <w:tc>
          <w:tcPr>
            <w:tcW w:w="3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center"/>
              <w:ind w:right="222"/>
              <w:spacing w:after="0" w:line="157" w:lineRule="exact"/>
              <w:rPr>
                <w:sz w:val="20"/>
                <w:szCs w:val="20"/>
                <w:color w:val="auto"/>
              </w:rPr>
            </w:pPr>
            <w:r>
              <w:rPr>
                <w:rFonts w:ascii="Arial" w:cs="Arial" w:eastAsia="Arial" w:hAnsi="Arial"/>
                <w:sz w:val="14"/>
                <w:szCs w:val="14"/>
                <w:color w:val="auto"/>
                <w:w w:val="94"/>
              </w:rPr>
              <w:t>Net Income</w:t>
            </w:r>
          </w:p>
        </w:tc>
        <w:tc>
          <w:tcPr>
            <w:tcW w:w="1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center"/>
              <w:ind w:right="222"/>
              <w:spacing w:after="0" w:line="157" w:lineRule="exact"/>
              <w:rPr>
                <w:sz w:val="20"/>
                <w:szCs w:val="20"/>
                <w:color w:val="auto"/>
              </w:rPr>
            </w:pPr>
            <w:r>
              <w:rPr>
                <w:rFonts w:ascii="Arial" w:cs="Arial" w:eastAsia="Arial" w:hAnsi="Arial"/>
                <w:sz w:val="14"/>
                <w:szCs w:val="14"/>
                <w:color w:val="auto"/>
                <w:w w:val="94"/>
              </w:rPr>
              <w:t>Net Income</w:t>
            </w:r>
          </w:p>
        </w:tc>
        <w:tc>
          <w:tcPr>
            <w:tcW w:w="1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49"/>
        </w:trPr>
        <w:tc>
          <w:tcPr>
            <w:tcW w:w="3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ind w:right="222"/>
              <w:spacing w:after="0" w:line="149" w:lineRule="exact"/>
              <w:rPr>
                <w:sz w:val="20"/>
                <w:szCs w:val="20"/>
                <w:color w:val="auto"/>
              </w:rPr>
            </w:pPr>
            <w:r>
              <w:rPr>
                <w:rFonts w:ascii="Arial" w:cs="Arial" w:eastAsia="Arial" w:hAnsi="Arial"/>
                <w:sz w:val="14"/>
                <w:szCs w:val="14"/>
                <w:color w:val="auto"/>
                <w:w w:val="97"/>
              </w:rPr>
              <w:t>Attributable to</w:t>
            </w: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ind w:right="222"/>
              <w:spacing w:after="0" w:line="149" w:lineRule="exact"/>
              <w:rPr>
                <w:sz w:val="20"/>
                <w:szCs w:val="20"/>
                <w:color w:val="auto"/>
              </w:rPr>
            </w:pPr>
            <w:r>
              <w:rPr>
                <w:rFonts w:ascii="Arial" w:cs="Arial" w:eastAsia="Arial" w:hAnsi="Arial"/>
                <w:sz w:val="14"/>
                <w:szCs w:val="14"/>
                <w:color w:val="auto"/>
                <w:w w:val="97"/>
              </w:rPr>
              <w:t>Attributable to</w:t>
            </w: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9"/>
        </w:trPr>
        <w:tc>
          <w:tcPr>
            <w:tcW w:w="3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ind w:right="242"/>
              <w:spacing w:after="0" w:line="149" w:lineRule="exact"/>
              <w:rPr>
                <w:sz w:val="20"/>
                <w:szCs w:val="20"/>
                <w:color w:val="auto"/>
              </w:rPr>
            </w:pPr>
            <w:r>
              <w:rPr>
                <w:rFonts w:ascii="Arial" w:cs="Arial" w:eastAsia="Arial" w:hAnsi="Arial"/>
                <w:sz w:val="14"/>
                <w:szCs w:val="14"/>
                <w:color w:val="auto"/>
                <w:w w:val="90"/>
              </w:rPr>
              <w:t>Comcast</w:t>
            </w: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right"/>
              <w:ind w:right="221"/>
              <w:spacing w:after="0" w:line="149" w:lineRule="exact"/>
              <w:rPr>
                <w:sz w:val="20"/>
                <w:szCs w:val="20"/>
                <w:color w:val="auto"/>
              </w:rPr>
            </w:pPr>
            <w:r>
              <w:rPr>
                <w:rFonts w:ascii="Arial" w:cs="Arial" w:eastAsia="Arial" w:hAnsi="Arial"/>
                <w:sz w:val="14"/>
                <w:szCs w:val="14"/>
                <w:color w:val="auto"/>
              </w:rPr>
              <w:t>Per Share</w:t>
            </w:r>
          </w:p>
        </w:tc>
        <w:tc>
          <w:tcPr>
            <w:tcW w:w="200" w:type="dxa"/>
            <w:vAlign w:val="bottom"/>
          </w:tcPr>
          <w:p>
            <w:pPr>
              <w:spacing w:after="0"/>
              <w:rPr>
                <w:sz w:val="12"/>
                <w:szCs w:val="12"/>
                <w:color w:val="auto"/>
              </w:rPr>
            </w:pPr>
          </w:p>
        </w:tc>
        <w:tc>
          <w:tcPr>
            <w:tcW w:w="1260" w:type="dxa"/>
            <w:vAlign w:val="bottom"/>
          </w:tcPr>
          <w:p>
            <w:pPr>
              <w:jc w:val="center"/>
              <w:ind w:right="242"/>
              <w:spacing w:after="0" w:line="149" w:lineRule="exact"/>
              <w:rPr>
                <w:sz w:val="20"/>
                <w:szCs w:val="20"/>
                <w:color w:val="auto"/>
              </w:rPr>
            </w:pPr>
            <w:r>
              <w:rPr>
                <w:rFonts w:ascii="Arial" w:cs="Arial" w:eastAsia="Arial" w:hAnsi="Arial"/>
                <w:sz w:val="14"/>
                <w:szCs w:val="14"/>
                <w:color w:val="auto"/>
                <w:w w:val="90"/>
              </w:rPr>
              <w:t>Comcast</w:t>
            </w: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right"/>
              <w:ind w:right="279"/>
              <w:spacing w:after="0" w:line="149" w:lineRule="exact"/>
              <w:rPr>
                <w:sz w:val="20"/>
                <w:szCs w:val="20"/>
                <w:color w:val="auto"/>
              </w:rPr>
            </w:pPr>
            <w:r>
              <w:rPr>
                <w:rFonts w:ascii="Arial" w:cs="Arial" w:eastAsia="Arial" w:hAnsi="Arial"/>
                <w:sz w:val="14"/>
                <w:szCs w:val="14"/>
                <w:color w:val="auto"/>
              </w:rPr>
              <w:t>Per Share</w:t>
            </w:r>
          </w:p>
        </w:tc>
      </w:tr>
      <w:tr>
        <w:trPr>
          <w:trHeight w:val="188"/>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 except per share amounts)</w:t>
            </w: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42"/>
              <w:spacing w:after="0"/>
              <w:rPr>
                <w:sz w:val="20"/>
                <w:szCs w:val="20"/>
                <w:color w:val="auto"/>
              </w:rPr>
            </w:pPr>
            <w:r>
              <w:rPr>
                <w:rFonts w:ascii="Arial" w:cs="Arial" w:eastAsia="Arial" w:hAnsi="Arial"/>
                <w:sz w:val="14"/>
                <w:szCs w:val="14"/>
                <w:color w:val="auto"/>
                <w:w w:val="95"/>
              </w:rPr>
              <w:t>Corporation</w:t>
            </w:r>
          </w:p>
        </w:tc>
        <w:tc>
          <w:tcPr>
            <w:tcW w:w="10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color w:val="auto"/>
              </w:rPr>
              <w:t>Shares</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color w:val="auto"/>
              </w:rPr>
              <w:t>Amount</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42"/>
              <w:spacing w:after="0"/>
              <w:rPr>
                <w:sz w:val="20"/>
                <w:szCs w:val="20"/>
                <w:color w:val="auto"/>
              </w:rPr>
            </w:pPr>
            <w:r>
              <w:rPr>
                <w:rFonts w:ascii="Arial" w:cs="Arial" w:eastAsia="Arial" w:hAnsi="Arial"/>
                <w:sz w:val="14"/>
                <w:szCs w:val="14"/>
                <w:color w:val="auto"/>
                <w:w w:val="95"/>
              </w:rPr>
              <w:t>Corporation</w:t>
            </w:r>
          </w:p>
        </w:tc>
        <w:tc>
          <w:tcPr>
            <w:tcW w:w="10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color w:val="auto"/>
              </w:rPr>
              <w:t>Shares</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Amount</w:t>
            </w:r>
          </w:p>
        </w:tc>
      </w:tr>
      <w:tr>
        <w:trPr>
          <w:trHeight w:val="228"/>
        </w:trPr>
        <w:tc>
          <w:tcPr>
            <w:tcW w:w="3900" w:type="dxa"/>
            <w:vAlign w:val="bottom"/>
          </w:tcPr>
          <w:p>
            <w:pPr>
              <w:ind w:left="40"/>
              <w:spacing w:after="0"/>
              <w:rPr>
                <w:sz w:val="20"/>
                <w:szCs w:val="20"/>
                <w:color w:val="auto"/>
              </w:rPr>
            </w:pPr>
            <w:r>
              <w:rPr>
                <w:rFonts w:ascii="Arial" w:cs="Arial" w:eastAsia="Arial" w:hAnsi="Arial"/>
                <w:sz w:val="18"/>
                <w:szCs w:val="18"/>
                <w:color w:val="auto"/>
              </w:rPr>
              <w:t>Basic EPS attributable to Comcast Corporation</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3900" w:type="dxa"/>
            <w:vAlign w:val="bottom"/>
          </w:tcPr>
          <w:p>
            <w:pPr>
              <w:ind w:left="280"/>
              <w:spacing w:after="0"/>
              <w:rPr>
                <w:sz w:val="20"/>
                <w:szCs w:val="20"/>
                <w:color w:val="auto"/>
              </w:rPr>
            </w:pPr>
            <w:r>
              <w:rPr>
                <w:rFonts w:ascii="Arial" w:cs="Arial" w:eastAsia="Arial" w:hAnsi="Arial"/>
                <w:sz w:val="18"/>
                <w:szCs w:val="18"/>
                <w:color w:val="auto"/>
              </w:rPr>
              <w:t>shareholders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82"/>
              <w:spacing w:after="0"/>
              <w:rPr>
                <w:sz w:val="20"/>
                <w:szCs w:val="20"/>
                <w:color w:val="auto"/>
              </w:rPr>
            </w:pPr>
            <w:r>
              <w:rPr>
                <w:rFonts w:ascii="Arial" w:cs="Arial" w:eastAsia="Arial" w:hAnsi="Arial"/>
                <w:sz w:val="18"/>
                <w:szCs w:val="18"/>
                <w:color w:val="auto"/>
              </w:rPr>
              <w:t>2,566</w:t>
            </w:r>
          </w:p>
        </w:tc>
        <w:tc>
          <w:tcPr>
            <w:tcW w:w="1040" w:type="dxa"/>
            <w:vAlign w:val="bottom"/>
          </w:tcPr>
          <w:p>
            <w:pPr>
              <w:jc w:val="right"/>
              <w:spacing w:after="0"/>
              <w:rPr>
                <w:sz w:val="20"/>
                <w:szCs w:val="20"/>
                <w:color w:val="auto"/>
              </w:rPr>
            </w:pPr>
            <w:r>
              <w:rPr>
                <w:rFonts w:ascii="Arial" w:cs="Arial" w:eastAsia="Arial" w:hAnsi="Arial"/>
                <w:sz w:val="18"/>
                <w:szCs w:val="18"/>
                <w:color w:val="auto"/>
              </w:rPr>
              <w:t>4,747</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0.54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82"/>
              <w:spacing w:after="0"/>
              <w:rPr>
                <w:sz w:val="20"/>
                <w:szCs w:val="20"/>
                <w:color w:val="auto"/>
              </w:rPr>
            </w:pPr>
            <w:r>
              <w:rPr>
                <w:rFonts w:ascii="Arial" w:cs="Arial" w:eastAsia="Arial" w:hAnsi="Arial"/>
                <w:sz w:val="18"/>
                <w:szCs w:val="18"/>
                <w:color w:val="auto"/>
              </w:rPr>
              <w:t>2,134</w:t>
            </w:r>
          </w:p>
        </w:tc>
        <w:tc>
          <w:tcPr>
            <w:tcW w:w="1040" w:type="dxa"/>
            <w:vAlign w:val="bottom"/>
          </w:tcPr>
          <w:p>
            <w:pPr>
              <w:jc w:val="right"/>
              <w:spacing w:after="0"/>
              <w:rPr>
                <w:sz w:val="20"/>
                <w:szCs w:val="20"/>
                <w:color w:val="auto"/>
              </w:rPr>
            </w:pPr>
            <w:r>
              <w:rPr>
                <w:rFonts w:ascii="Arial" w:cs="Arial" w:eastAsia="Arial" w:hAnsi="Arial"/>
                <w:sz w:val="18"/>
                <w:szCs w:val="18"/>
                <w:color w:val="auto"/>
              </w:rPr>
              <w:t>4,868</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9"/>
              <w:spacing w:after="0"/>
              <w:rPr>
                <w:sz w:val="20"/>
                <w:szCs w:val="20"/>
                <w:color w:val="auto"/>
              </w:rPr>
            </w:pPr>
            <w:r>
              <w:rPr>
                <w:rFonts w:ascii="Arial" w:cs="Arial" w:eastAsia="Arial" w:hAnsi="Arial"/>
                <w:sz w:val="18"/>
                <w:szCs w:val="18"/>
                <w:color w:val="auto"/>
              </w:rPr>
              <w:t>0.44</w:t>
            </w:r>
          </w:p>
        </w:tc>
      </w:tr>
      <w:tr>
        <w:trPr>
          <w:trHeight w:val="270"/>
        </w:trPr>
        <w:tc>
          <w:tcPr>
            <w:tcW w:w="390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56"/>
        </w:trPr>
        <w:tc>
          <w:tcPr>
            <w:tcW w:w="3900" w:type="dxa"/>
            <w:vAlign w:val="bottom"/>
          </w:tcPr>
          <w:p>
            <w:pPr>
              <w:ind w:left="460"/>
              <w:spacing w:after="0"/>
              <w:rPr>
                <w:sz w:val="20"/>
                <w:szCs w:val="20"/>
                <w:color w:val="auto"/>
              </w:rPr>
            </w:pPr>
            <w:r>
              <w:rPr>
                <w:rFonts w:ascii="Arial" w:cs="Arial" w:eastAsia="Arial" w:hAnsi="Arial"/>
                <w:sz w:val="18"/>
                <w:szCs w:val="18"/>
                <w:color w:val="auto"/>
              </w:rPr>
              <w:t>Assumed exercise or issuance of shares</w:t>
            </w: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30"/>
        </w:trPr>
        <w:tc>
          <w:tcPr>
            <w:tcW w:w="3900" w:type="dxa"/>
            <w:vAlign w:val="bottom"/>
          </w:tcPr>
          <w:p>
            <w:pPr>
              <w:ind w:left="620"/>
              <w:spacing w:after="0"/>
              <w:rPr>
                <w:sz w:val="20"/>
                <w:szCs w:val="20"/>
                <w:color w:val="auto"/>
              </w:rPr>
            </w:pPr>
            <w:r>
              <w:rPr>
                <w:rFonts w:ascii="Arial" w:cs="Arial" w:eastAsia="Arial" w:hAnsi="Arial"/>
                <w:sz w:val="18"/>
                <w:szCs w:val="18"/>
                <w:color w:val="auto"/>
              </w:rPr>
              <w:t>relating to stock plans</w:t>
            </w: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3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8"/>
        </w:trPr>
        <w:tc>
          <w:tcPr>
            <w:tcW w:w="3900" w:type="dxa"/>
            <w:vAlign w:val="bottom"/>
          </w:tcPr>
          <w:p>
            <w:pPr>
              <w:ind w:left="40"/>
              <w:spacing w:after="0"/>
              <w:rPr>
                <w:sz w:val="20"/>
                <w:szCs w:val="20"/>
                <w:color w:val="auto"/>
              </w:rPr>
            </w:pPr>
            <w:r>
              <w:rPr>
                <w:rFonts w:ascii="Arial" w:cs="Arial" w:eastAsia="Arial" w:hAnsi="Arial"/>
                <w:sz w:val="18"/>
                <w:szCs w:val="18"/>
                <w:b w:val="1"/>
                <w:bCs w:val="1"/>
                <w:color w:val="auto"/>
                <w:w w:val="92"/>
              </w:rPr>
              <w:t>Diluted EPS attributable to Comcast Corporation</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4"/>
        </w:trPr>
        <w:tc>
          <w:tcPr>
            <w:tcW w:w="3900" w:type="dxa"/>
            <w:vAlign w:val="bottom"/>
          </w:tcPr>
          <w:p>
            <w:pPr>
              <w:ind w:left="280"/>
              <w:spacing w:after="0"/>
              <w:rPr>
                <w:sz w:val="20"/>
                <w:szCs w:val="20"/>
                <w:color w:val="auto"/>
              </w:rPr>
            </w:pPr>
            <w:r>
              <w:rPr>
                <w:rFonts w:ascii="Arial" w:cs="Arial" w:eastAsia="Arial" w:hAnsi="Arial"/>
                <w:sz w:val="18"/>
                <w:szCs w:val="18"/>
                <w:b w:val="1"/>
                <w:bCs w:val="1"/>
                <w:color w:val="auto"/>
              </w:rPr>
              <w:t>shareholders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182"/>
              <w:spacing w:after="0"/>
              <w:rPr>
                <w:sz w:val="20"/>
                <w:szCs w:val="20"/>
                <w:color w:val="auto"/>
              </w:rPr>
            </w:pPr>
            <w:r>
              <w:rPr>
                <w:rFonts w:ascii="Arial" w:cs="Arial" w:eastAsia="Arial" w:hAnsi="Arial"/>
                <w:sz w:val="18"/>
                <w:szCs w:val="18"/>
                <w:b w:val="1"/>
                <w:bCs w:val="1"/>
                <w:color w:val="auto"/>
              </w:rPr>
              <w:t>2,566</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4,832</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0.53</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82"/>
              <w:spacing w:after="0"/>
              <w:rPr>
                <w:sz w:val="20"/>
                <w:szCs w:val="20"/>
                <w:color w:val="auto"/>
              </w:rPr>
            </w:pPr>
            <w:r>
              <w:rPr>
                <w:rFonts w:ascii="Arial" w:cs="Arial" w:eastAsia="Arial" w:hAnsi="Arial"/>
                <w:sz w:val="18"/>
                <w:szCs w:val="18"/>
                <w:b w:val="1"/>
                <w:bCs w:val="1"/>
                <w:color w:val="auto"/>
              </w:rPr>
              <w:t>2,134</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4,925</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9"/>
              <w:spacing w:after="0"/>
              <w:rPr>
                <w:sz w:val="20"/>
                <w:szCs w:val="20"/>
                <w:color w:val="auto"/>
              </w:rPr>
            </w:pPr>
            <w:r>
              <w:rPr>
                <w:rFonts w:ascii="Arial" w:cs="Arial" w:eastAsia="Arial" w:hAnsi="Arial"/>
                <w:sz w:val="18"/>
                <w:szCs w:val="18"/>
                <w:b w:val="1"/>
                <w:bCs w:val="1"/>
                <w:color w:val="auto"/>
              </w:rPr>
              <w:t>0.43</w:t>
            </w:r>
          </w:p>
        </w:tc>
      </w:tr>
      <w:tr>
        <w:trPr>
          <w:trHeight w:val="34"/>
        </w:trPr>
        <w:tc>
          <w:tcPr>
            <w:tcW w:w="3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16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Diluted earnings per common share attributable to Comcast Corporation shareholders (“diluted EPS”) considers the impact of potentially dilutive securities using the treasury stock method. Our potentially dilutive securities include potential common shares related to our stock options and our restricted share units (“RSUs”). The amount of potential common shares related to our share-based compensation plans that were excluded from diluted EPS because their effect would have been antidilutive was not material for the three months ended March 31, 2017 and 2016.</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Significant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FCC Spectrum Auction</w:t>
      </w:r>
    </w:p>
    <w:p>
      <w:pPr>
        <w:spacing w:after="0" w:line="7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April 13, 2017, the Federal Communications Commission (“FCC”) announced the results of its spectrum auction. In the auction, NBCUniversal agreed to relinquish FCC licenses for spectrum in the New York, Philadelphia and Chicago designated market areas (“DMAs”) and will receive proceeds of $482 million. As of March 31, 2017, the book value of these licenses was $144 million and was recorded in other current assets in the condensed consolidated balance sheet. NBCUniversal will share broadcast signals for its NBC and Telemundo stations in these DMAs. In connection with the auction, we also agreed to acquire $1.7 billion of spectrum. We had previously made a deposit of $1.8 billion to participate in the auction, which was recorded in other intangible assets in the condensed consolidated balance sheet as of March 31,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Universal Studios Japan</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6, 2017, we acquired the remaining interests in Universal Studios Japan that we did not already own for approximately $2.3 billion. The acquisition was funded through cash on hand and borrowings under our commercial paper program. During the second quarter of 2017, we obtained commitments from lenders to refinance the Universal Studios Japan term loans, which we expect will, among other things, increase the borrowings, extend the maturity date and include a guarantee from us. We expect to use a portion of the Universal Studios Japan term loans proceeds to repay a portion of amounts outstanding under our commercial paper program.</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DreamWorks Animation</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22, 2016, we acquired all of the outstanding stock of DreamWorks Animation for $3.8 billion. DreamWorks Animation’s stockholders received $41 in cash for each share of DreamWorks Animation common stock. DreamWorks Animation creates animated feature films, television series and specials, live entertainment, and related consumer products. The results of operations for DreamWorks Animation are reported in our Filmed Entertainment segment following the acquisition date.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Preliminary Allocation of Purchase Price</w:t>
      </w:r>
    </w:p>
    <w:p>
      <w:pPr>
        <w:spacing w:after="0" w:line="19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transaction was accounted for under the acquisition method of accounting and, accordingly, the assets and liabilities are to be recorded at their fair market values as of the acquisition date. We recorded the acquired assets and liabilities of DreamWorks Animation at their estimated fair values based on preliminary valuation analyses. In valuing acquired assets and liabilities, fair value estimates were primarily based on Level 3 inputs, including future expected cash flows, market rate assumptions and discount rates. The fair value of the assumed debt was primarily based on quoted market values. The fair value of the liability related to a tax receivable agreement that DreamWorks Animation had previously entered into with one of its former stockholders (the “tax receivable agreement”) was based on the contractual settlement provisions in the agreement. Further, we recorded the deferred income taxes based on our estimates of the tax basis of the acquired net assets and the valuation allowances based on the expected use of net operating loss carryforwards. The goodwill is not deductible for tax purposes. During the three months ended March 31, 2017, we updated the preliminary allocation of purchase price for DreamWorks Animation, which primarily resulted in increases to intangible assets, noncontrolling interests and goodwill and a decrease in deferred income tax assets. The changes did not have a material impact on our condensed consolidated financial statements. We may adjust these amounts further as valuations are finalized and we obtain information necessary to complete the analyses, but no later than one year from the acquisition date.</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preliminary allocation of the purchase price to the assets and liabilities of DreamWorks Animation.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540" w:type="dxa"/>
            <w:vAlign w:val="bottom"/>
          </w:tcPr>
          <w:p>
            <w:pPr>
              <w:spacing w:after="0"/>
              <w:rPr>
                <w:sz w:val="20"/>
                <w:szCs w:val="20"/>
                <w:color w:val="auto"/>
              </w:rPr>
            </w:pPr>
          </w:p>
        </w:tc>
        <w:tc>
          <w:tcPr>
            <w:tcW w:w="6940" w:type="dxa"/>
            <w:vAlign w:val="bottom"/>
          </w:tcPr>
          <w:p>
            <w:pPr>
              <w:jc w:val="right"/>
              <w:ind w:right="2950"/>
              <w:spacing w:after="0"/>
              <w:rPr>
                <w:sz w:val="20"/>
                <w:szCs w:val="20"/>
                <w:color w:val="auto"/>
              </w:rPr>
            </w:pPr>
            <w:r>
              <w:rPr>
                <w:rFonts w:ascii="Arial" w:cs="Arial" w:eastAsia="Arial" w:hAnsi="Arial"/>
                <w:sz w:val="18"/>
                <w:szCs w:val="18"/>
                <w:b w:val="1"/>
                <w:bCs w:val="1"/>
                <w:color w:val="auto"/>
              </w:rPr>
              <w:t>Preliminary Allocation of Purchase Price</w:t>
            </w:r>
          </w:p>
        </w:tc>
        <w:tc>
          <w:tcPr>
            <w:tcW w:w="940" w:type="dxa"/>
            <w:vAlign w:val="bottom"/>
          </w:tcPr>
          <w:p>
            <w:pPr>
              <w:spacing w:after="0"/>
              <w:rPr>
                <w:sz w:val="20"/>
                <w:szCs w:val="20"/>
                <w:color w:val="auto"/>
              </w:rPr>
            </w:pPr>
          </w:p>
        </w:tc>
      </w:tr>
      <w:tr>
        <w:trPr>
          <w:trHeight w:val="210"/>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69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Film and television costs</w:t>
            </w:r>
          </w:p>
        </w:tc>
        <w:tc>
          <w:tcPr>
            <w:tcW w:w="69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854</w:t>
            </w:r>
          </w:p>
        </w:tc>
      </w:tr>
      <w:tr>
        <w:trPr>
          <w:trHeight w:val="270"/>
        </w:trPr>
        <w:tc>
          <w:tcPr>
            <w:tcW w:w="354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694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362</w:t>
            </w:r>
          </w:p>
        </w:tc>
      </w:tr>
      <w:tr>
        <w:trPr>
          <w:trHeight w:val="270"/>
        </w:trPr>
        <w:tc>
          <w:tcPr>
            <w:tcW w:w="354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694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232</w:t>
            </w:r>
          </w:p>
        </w:tc>
      </w:tr>
      <w:tr>
        <w:trPr>
          <w:trHeight w:val="270"/>
        </w:trPr>
        <w:tc>
          <w:tcPr>
            <w:tcW w:w="3540" w:type="dxa"/>
            <w:vAlign w:val="bottom"/>
          </w:tcPr>
          <w:p>
            <w:pPr>
              <w:ind w:left="40"/>
              <w:spacing w:after="0"/>
              <w:rPr>
                <w:sz w:val="20"/>
                <w:szCs w:val="20"/>
                <w:color w:val="auto"/>
              </w:rPr>
            </w:pPr>
            <w:r>
              <w:rPr>
                <w:rFonts w:ascii="Arial" w:cs="Arial" w:eastAsia="Arial" w:hAnsi="Arial"/>
                <w:sz w:val="18"/>
                <w:szCs w:val="18"/>
                <w:color w:val="auto"/>
              </w:rPr>
              <w:t>Debt</w:t>
            </w:r>
          </w:p>
        </w:tc>
        <w:tc>
          <w:tcPr>
            <w:tcW w:w="69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(381)</w:t>
            </w:r>
          </w:p>
        </w:tc>
      </w:tr>
      <w:tr>
        <w:trPr>
          <w:trHeight w:val="270"/>
        </w:trPr>
        <w:tc>
          <w:tcPr>
            <w:tcW w:w="3540" w:type="dxa"/>
            <w:vAlign w:val="bottom"/>
          </w:tcPr>
          <w:p>
            <w:pPr>
              <w:ind w:left="40"/>
              <w:spacing w:after="0"/>
              <w:rPr>
                <w:sz w:val="20"/>
                <w:szCs w:val="20"/>
                <w:color w:val="auto"/>
              </w:rPr>
            </w:pPr>
            <w:r>
              <w:rPr>
                <w:rFonts w:ascii="Arial" w:cs="Arial" w:eastAsia="Arial" w:hAnsi="Arial"/>
                <w:sz w:val="18"/>
                <w:szCs w:val="18"/>
                <w:color w:val="auto"/>
              </w:rPr>
              <w:t>Tax receivable agreement</w:t>
            </w:r>
          </w:p>
        </w:tc>
        <w:tc>
          <w:tcPr>
            <w:tcW w:w="69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70"/>
        </w:trPr>
        <w:tc>
          <w:tcPr>
            <w:tcW w:w="354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694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293</w:t>
            </w:r>
          </w:p>
        </w:tc>
      </w:tr>
      <w:tr>
        <w:trPr>
          <w:trHeight w:val="270"/>
        </w:trPr>
        <w:tc>
          <w:tcPr>
            <w:tcW w:w="3540" w:type="dxa"/>
            <w:vAlign w:val="bottom"/>
          </w:tcPr>
          <w:p>
            <w:pPr>
              <w:ind w:left="40"/>
              <w:spacing w:after="0"/>
              <w:rPr>
                <w:sz w:val="20"/>
                <w:szCs w:val="20"/>
                <w:color w:val="auto"/>
              </w:rPr>
            </w:pPr>
            <w:r>
              <w:rPr>
                <w:rFonts w:ascii="Arial" w:cs="Arial" w:eastAsia="Arial" w:hAnsi="Arial"/>
                <w:sz w:val="18"/>
                <w:szCs w:val="18"/>
                <w:color w:val="auto"/>
              </w:rPr>
              <w:t>Other noncurrent assets and liabilities</w:t>
            </w:r>
          </w:p>
        </w:tc>
        <w:tc>
          <w:tcPr>
            <w:tcW w:w="694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114</w:t>
            </w:r>
          </w:p>
        </w:tc>
      </w:tr>
      <w:tr>
        <w:trPr>
          <w:trHeight w:val="27"/>
        </w:trPr>
        <w:tc>
          <w:tcPr>
            <w:tcW w:w="3540" w:type="dxa"/>
            <w:vAlign w:val="bottom"/>
            <w:tcBorders>
              <w:bottom w:val="single" w:sz="8" w:color="auto"/>
            </w:tcBorders>
          </w:tcPr>
          <w:p>
            <w:pPr>
              <w:spacing w:after="0"/>
              <w:rPr>
                <w:sz w:val="2"/>
                <w:szCs w:val="2"/>
                <w:color w:val="auto"/>
              </w:rPr>
            </w:pPr>
          </w:p>
        </w:tc>
        <w:tc>
          <w:tcPr>
            <w:tcW w:w="69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Identifiable net assets (liabilities) acquired</w:t>
            </w:r>
          </w:p>
        </w:tc>
        <w:tc>
          <w:tcPr>
            <w:tcW w:w="694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1,328</w:t>
            </w:r>
          </w:p>
        </w:tc>
      </w:tr>
      <w:tr>
        <w:trPr>
          <w:trHeight w:val="270"/>
        </w:trPr>
        <w:tc>
          <w:tcPr>
            <w:tcW w:w="354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69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(337)</w:t>
            </w:r>
          </w:p>
        </w:tc>
      </w:tr>
      <w:tr>
        <w:trPr>
          <w:trHeight w:val="270"/>
        </w:trPr>
        <w:tc>
          <w:tcPr>
            <w:tcW w:w="3540" w:type="dxa"/>
            <w:vAlign w:val="bottom"/>
          </w:tcPr>
          <w:p>
            <w:pPr>
              <w:ind w:left="40"/>
              <w:spacing w:after="0"/>
              <w:rPr>
                <w:sz w:val="20"/>
                <w:szCs w:val="20"/>
                <w:color w:val="auto"/>
              </w:rPr>
            </w:pPr>
            <w:r>
              <w:rPr>
                <w:rFonts w:ascii="Arial" w:cs="Arial" w:eastAsia="Arial" w:hAnsi="Arial"/>
                <w:sz w:val="18"/>
                <w:szCs w:val="18"/>
                <w:color w:val="auto"/>
              </w:rPr>
              <w:t>Goodwill</w:t>
            </w:r>
          </w:p>
        </w:tc>
        <w:tc>
          <w:tcPr>
            <w:tcW w:w="694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2,782</w:t>
            </w:r>
          </w:p>
        </w:tc>
      </w:tr>
      <w:tr>
        <w:trPr>
          <w:trHeight w:val="27"/>
        </w:trPr>
        <w:tc>
          <w:tcPr>
            <w:tcW w:w="3540" w:type="dxa"/>
            <w:vAlign w:val="bottom"/>
            <w:tcBorders>
              <w:bottom w:val="single" w:sz="8" w:color="auto"/>
            </w:tcBorders>
          </w:tcPr>
          <w:p>
            <w:pPr>
              <w:spacing w:after="0"/>
              <w:rPr>
                <w:sz w:val="2"/>
                <w:szCs w:val="2"/>
                <w:color w:val="auto"/>
              </w:rPr>
            </w:pPr>
          </w:p>
        </w:tc>
        <w:tc>
          <w:tcPr>
            <w:tcW w:w="69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Cash consideration transferred</w:t>
            </w:r>
          </w:p>
        </w:tc>
        <w:tc>
          <w:tcPr>
            <w:tcW w:w="694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3,773</w:t>
            </w:r>
          </w:p>
        </w:tc>
      </w:tr>
      <w:tr>
        <w:trPr>
          <w:trHeight w:val="34"/>
        </w:trPr>
        <w:tc>
          <w:tcPr>
            <w:tcW w:w="3540" w:type="dxa"/>
            <w:vAlign w:val="bottom"/>
            <w:tcBorders>
              <w:bottom w:val="single" w:sz="8" w:color="auto"/>
            </w:tcBorders>
          </w:tcPr>
          <w:p>
            <w:pPr>
              <w:spacing w:after="0"/>
              <w:rPr>
                <w:sz w:val="2"/>
                <w:szCs w:val="2"/>
                <w:color w:val="auto"/>
              </w:rPr>
            </w:pPr>
          </w:p>
        </w:tc>
        <w:tc>
          <w:tcPr>
            <w:tcW w:w="69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513"/>
        </w:trPr>
        <w:tc>
          <w:tcPr>
            <w:tcW w:w="3540" w:type="dxa"/>
            <w:vAlign w:val="bottom"/>
          </w:tcPr>
          <w:p>
            <w:pPr>
              <w:spacing w:after="0"/>
              <w:rPr>
                <w:sz w:val="24"/>
                <w:szCs w:val="24"/>
                <w:color w:val="auto"/>
              </w:rPr>
            </w:pPr>
          </w:p>
        </w:tc>
        <w:tc>
          <w:tcPr>
            <w:tcW w:w="6940" w:type="dxa"/>
            <w:vAlign w:val="bottom"/>
          </w:tcPr>
          <w:p>
            <w:pPr>
              <w:jc w:val="right"/>
              <w:ind w:right="4630"/>
              <w:spacing w:after="0"/>
              <w:rPr>
                <w:sz w:val="20"/>
                <w:szCs w:val="20"/>
                <w:color w:val="auto"/>
              </w:rPr>
            </w:pPr>
            <w:r>
              <w:rPr>
                <w:rFonts w:ascii="Arial" w:cs="Arial" w:eastAsia="Arial" w:hAnsi="Arial"/>
                <w:sz w:val="18"/>
                <w:szCs w:val="18"/>
                <w:color w:val="auto"/>
              </w:rPr>
              <w:t>8</w:t>
            </w:r>
          </w:p>
        </w:tc>
        <w:tc>
          <w:tcPr>
            <w:tcW w:w="9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306"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The tax receivable agreement was settled immediately following the acquisition and the payment was recorded as an operating activity in our condensed consolidated statement of cash flows in the third quarter of 2016. In addition, we repaid all of the assumed debt of DreamWorks Animation in the third quarter of 2016.</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Revenue and net income attributable to the acquisition of DreamWorks Animation were not material for the three months ended March 31, 2017.</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Film and Television Costs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160" w:type="dxa"/>
            <w:vAlign w:val="bottom"/>
          </w:tcPr>
          <w:p>
            <w:pPr>
              <w:jc w:val="right"/>
              <w:ind w:right="333"/>
              <w:spacing w:after="0"/>
              <w:rPr>
                <w:sz w:val="20"/>
                <w:szCs w:val="20"/>
                <w:color w:val="auto"/>
              </w:rPr>
            </w:pPr>
            <w:r>
              <w:rPr>
                <w:rFonts w:ascii="Arial" w:cs="Arial" w:eastAsia="Arial" w:hAnsi="Arial"/>
                <w:sz w:val="14"/>
                <w:szCs w:val="14"/>
                <w:color w:val="auto"/>
              </w:rPr>
              <w:t>March 31,</w:t>
            </w:r>
          </w:p>
        </w:tc>
        <w:tc>
          <w:tcPr>
            <w:tcW w:w="260" w:type="dxa"/>
            <w:vAlign w:val="bottom"/>
          </w:tcPr>
          <w:p>
            <w:pPr>
              <w:spacing w:after="0"/>
              <w:rPr>
                <w:sz w:val="14"/>
                <w:szCs w:val="14"/>
                <w:color w:val="auto"/>
              </w:rPr>
            </w:pPr>
          </w:p>
        </w:tc>
        <w:tc>
          <w:tcPr>
            <w:tcW w:w="1260" w:type="dxa"/>
            <w:vAlign w:val="bottom"/>
          </w:tcPr>
          <w:p>
            <w:pPr>
              <w:jc w:val="right"/>
              <w:ind w:right="273"/>
              <w:spacing w:after="0"/>
              <w:rPr>
                <w:sz w:val="20"/>
                <w:szCs w:val="20"/>
                <w:color w:val="auto"/>
              </w:rPr>
            </w:pPr>
            <w:r>
              <w:rPr>
                <w:rFonts w:ascii="Arial" w:cs="Arial" w:eastAsia="Arial" w:hAnsi="Arial"/>
                <w:sz w:val="14"/>
                <w:szCs w:val="14"/>
                <w:color w:val="auto"/>
              </w:rPr>
              <w:t>December 31,</w:t>
            </w:r>
          </w:p>
        </w:tc>
      </w:tr>
      <w:tr>
        <w:trPr>
          <w:trHeight w:val="188"/>
        </w:trPr>
        <w:tc>
          <w:tcPr>
            <w:tcW w:w="5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8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color w:val="auto"/>
              </w:rPr>
              <w:t>2017</w:t>
            </w: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color w:val="auto"/>
              </w:rPr>
              <w:t>2016</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Film Costs:</w:t>
            </w:r>
          </w:p>
        </w:tc>
        <w:tc>
          <w:tcPr>
            <w:tcW w:w="28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0"/>
        </w:trPr>
        <w:tc>
          <w:tcPr>
            <w:tcW w:w="5860" w:type="dxa"/>
            <w:vAlign w:val="bottom"/>
          </w:tcPr>
          <w:p>
            <w:pPr>
              <w:ind w:left="380"/>
              <w:spacing w:after="0"/>
              <w:rPr>
                <w:sz w:val="20"/>
                <w:szCs w:val="20"/>
                <w:color w:val="auto"/>
              </w:rPr>
            </w:pPr>
            <w:r>
              <w:rPr>
                <w:rFonts w:ascii="Arial" w:cs="Arial" w:eastAsia="Arial" w:hAnsi="Arial"/>
                <w:sz w:val="18"/>
                <w:szCs w:val="18"/>
                <w:color w:val="auto"/>
              </w:rPr>
              <w:t>Released, less amortization</w:t>
            </w:r>
          </w:p>
        </w:tc>
        <w:tc>
          <w:tcPr>
            <w:tcW w:w="28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1,657</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1,750</w:t>
            </w:r>
          </w:p>
        </w:tc>
      </w:tr>
      <w:tr>
        <w:trPr>
          <w:trHeight w:val="270"/>
        </w:trPr>
        <w:tc>
          <w:tcPr>
            <w:tcW w:w="5860" w:type="dxa"/>
            <w:vAlign w:val="bottom"/>
          </w:tcPr>
          <w:p>
            <w:pPr>
              <w:ind w:left="380"/>
              <w:spacing w:after="0"/>
              <w:rPr>
                <w:sz w:val="20"/>
                <w:szCs w:val="20"/>
                <w:color w:val="auto"/>
              </w:rPr>
            </w:pPr>
            <w:r>
              <w:rPr>
                <w:rFonts w:ascii="Arial" w:cs="Arial" w:eastAsia="Arial" w:hAnsi="Arial"/>
                <w:sz w:val="18"/>
                <w:szCs w:val="18"/>
                <w:color w:val="auto"/>
              </w:rPr>
              <w:t>Completed, not released</w:t>
            </w:r>
          </w:p>
        </w:tc>
        <w:tc>
          <w:tcPr>
            <w:tcW w:w="28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469</w:t>
            </w:r>
          </w:p>
        </w:tc>
        <w:tc>
          <w:tcPr>
            <w:tcW w:w="2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50</w:t>
            </w:r>
          </w:p>
        </w:tc>
      </w:tr>
      <w:tr>
        <w:trPr>
          <w:trHeight w:val="270"/>
        </w:trPr>
        <w:tc>
          <w:tcPr>
            <w:tcW w:w="5860" w:type="dxa"/>
            <w:vAlign w:val="bottom"/>
          </w:tcPr>
          <w:p>
            <w:pPr>
              <w:ind w:left="380"/>
              <w:spacing w:after="0"/>
              <w:rPr>
                <w:sz w:val="20"/>
                <w:szCs w:val="20"/>
                <w:color w:val="auto"/>
              </w:rPr>
            </w:pPr>
            <w:r>
              <w:rPr>
                <w:rFonts w:ascii="Arial" w:cs="Arial" w:eastAsia="Arial" w:hAnsi="Arial"/>
                <w:sz w:val="18"/>
                <w:szCs w:val="18"/>
                <w:color w:val="auto"/>
              </w:rPr>
              <w:t>In production and in development</w:t>
            </w:r>
          </w:p>
        </w:tc>
        <w:tc>
          <w:tcPr>
            <w:tcW w:w="28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982</w:t>
            </w:r>
          </w:p>
        </w:tc>
        <w:tc>
          <w:tcPr>
            <w:tcW w:w="2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1,310</w:t>
            </w:r>
          </w:p>
        </w:tc>
      </w:tr>
      <w:tr>
        <w:trPr>
          <w:trHeight w:val="27"/>
        </w:trPr>
        <w:tc>
          <w:tcPr>
            <w:tcW w:w="586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8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3,108</w:t>
            </w:r>
          </w:p>
        </w:tc>
        <w:tc>
          <w:tcPr>
            <w:tcW w:w="26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3,110</w:t>
            </w:r>
          </w:p>
        </w:tc>
      </w:tr>
      <w:tr>
        <w:trPr>
          <w:trHeight w:val="270"/>
        </w:trPr>
        <w:tc>
          <w:tcPr>
            <w:tcW w:w="5860" w:type="dxa"/>
            <w:vAlign w:val="bottom"/>
          </w:tcPr>
          <w:p>
            <w:pPr>
              <w:ind w:left="40"/>
              <w:spacing w:after="0"/>
              <w:rPr>
                <w:sz w:val="20"/>
                <w:szCs w:val="20"/>
                <w:color w:val="auto"/>
              </w:rPr>
            </w:pPr>
            <w:r>
              <w:rPr>
                <w:rFonts w:ascii="Arial" w:cs="Arial" w:eastAsia="Arial" w:hAnsi="Arial"/>
                <w:sz w:val="18"/>
                <w:szCs w:val="18"/>
                <w:color w:val="auto"/>
              </w:rPr>
              <w:t>Television Costs:</w:t>
            </w:r>
          </w:p>
        </w:tc>
        <w:tc>
          <w:tcPr>
            <w:tcW w:w="28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5860" w:type="dxa"/>
            <w:vAlign w:val="bottom"/>
          </w:tcPr>
          <w:p>
            <w:pPr>
              <w:ind w:left="380"/>
              <w:spacing w:after="0"/>
              <w:rPr>
                <w:sz w:val="20"/>
                <w:szCs w:val="20"/>
                <w:color w:val="auto"/>
              </w:rPr>
            </w:pPr>
            <w:r>
              <w:rPr>
                <w:rFonts w:ascii="Arial" w:cs="Arial" w:eastAsia="Arial" w:hAnsi="Arial"/>
                <w:sz w:val="18"/>
                <w:szCs w:val="18"/>
                <w:color w:val="auto"/>
              </w:rPr>
              <w:t>Released, less amortization</w:t>
            </w:r>
          </w:p>
        </w:tc>
        <w:tc>
          <w:tcPr>
            <w:tcW w:w="28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2,008</w:t>
            </w:r>
          </w:p>
        </w:tc>
        <w:tc>
          <w:tcPr>
            <w:tcW w:w="2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1,953</w:t>
            </w:r>
          </w:p>
        </w:tc>
      </w:tr>
      <w:tr>
        <w:trPr>
          <w:trHeight w:val="270"/>
        </w:trPr>
        <w:tc>
          <w:tcPr>
            <w:tcW w:w="5860" w:type="dxa"/>
            <w:vAlign w:val="bottom"/>
          </w:tcPr>
          <w:p>
            <w:pPr>
              <w:ind w:left="380"/>
              <w:spacing w:after="0"/>
              <w:rPr>
                <w:sz w:val="20"/>
                <w:szCs w:val="20"/>
                <w:color w:val="auto"/>
              </w:rPr>
            </w:pPr>
            <w:r>
              <w:rPr>
                <w:rFonts w:ascii="Arial" w:cs="Arial" w:eastAsia="Arial" w:hAnsi="Arial"/>
                <w:sz w:val="18"/>
                <w:szCs w:val="18"/>
                <w:color w:val="auto"/>
              </w:rPr>
              <w:t>In production and in development</w:t>
            </w:r>
          </w:p>
        </w:tc>
        <w:tc>
          <w:tcPr>
            <w:tcW w:w="28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729</w:t>
            </w:r>
          </w:p>
        </w:tc>
        <w:tc>
          <w:tcPr>
            <w:tcW w:w="2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853</w:t>
            </w:r>
          </w:p>
        </w:tc>
      </w:tr>
      <w:tr>
        <w:trPr>
          <w:trHeight w:val="27"/>
        </w:trPr>
        <w:tc>
          <w:tcPr>
            <w:tcW w:w="586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8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2,737</w:t>
            </w:r>
          </w:p>
        </w:tc>
        <w:tc>
          <w:tcPr>
            <w:tcW w:w="26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2,806</w:t>
            </w:r>
          </w:p>
        </w:tc>
      </w:tr>
      <w:tr>
        <w:trPr>
          <w:trHeight w:val="270"/>
        </w:trPr>
        <w:tc>
          <w:tcPr>
            <w:tcW w:w="5860" w:type="dxa"/>
            <w:vAlign w:val="bottom"/>
          </w:tcPr>
          <w:p>
            <w:pPr>
              <w:ind w:left="40"/>
              <w:spacing w:after="0"/>
              <w:rPr>
                <w:sz w:val="20"/>
                <w:szCs w:val="20"/>
                <w:color w:val="auto"/>
              </w:rPr>
            </w:pPr>
            <w:r>
              <w:rPr>
                <w:rFonts w:ascii="Arial" w:cs="Arial" w:eastAsia="Arial" w:hAnsi="Arial"/>
                <w:sz w:val="18"/>
                <w:szCs w:val="18"/>
                <w:color w:val="auto"/>
              </w:rPr>
              <w:t>Programming rights, less amortization</w:t>
            </w:r>
          </w:p>
        </w:tc>
        <w:tc>
          <w:tcPr>
            <w:tcW w:w="28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2,602</w:t>
            </w:r>
          </w:p>
        </w:tc>
        <w:tc>
          <w:tcPr>
            <w:tcW w:w="2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2,586</w:t>
            </w:r>
          </w:p>
        </w:tc>
      </w:tr>
      <w:tr>
        <w:trPr>
          <w:trHeight w:val="27"/>
        </w:trPr>
        <w:tc>
          <w:tcPr>
            <w:tcW w:w="586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8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8,447</w:t>
            </w:r>
          </w:p>
        </w:tc>
        <w:tc>
          <w:tcPr>
            <w:tcW w:w="26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8,502</w:t>
            </w:r>
          </w:p>
        </w:tc>
      </w:tr>
      <w:tr>
        <w:trPr>
          <w:trHeight w:val="270"/>
        </w:trPr>
        <w:tc>
          <w:tcPr>
            <w:tcW w:w="5860" w:type="dxa"/>
            <w:vAlign w:val="bottom"/>
          </w:tcPr>
          <w:p>
            <w:pPr>
              <w:ind w:left="40"/>
              <w:spacing w:after="0"/>
              <w:rPr>
                <w:sz w:val="20"/>
                <w:szCs w:val="20"/>
                <w:color w:val="auto"/>
              </w:rPr>
            </w:pPr>
            <w:r>
              <w:rPr>
                <w:rFonts w:ascii="Arial" w:cs="Arial" w:eastAsia="Arial" w:hAnsi="Arial"/>
                <w:sz w:val="18"/>
                <w:szCs w:val="18"/>
                <w:color w:val="auto"/>
              </w:rPr>
              <w:t>Less: Current portion of programming rights</w:t>
            </w:r>
          </w:p>
        </w:tc>
        <w:tc>
          <w:tcPr>
            <w:tcW w:w="28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1,479</w:t>
            </w:r>
          </w:p>
        </w:tc>
        <w:tc>
          <w:tcPr>
            <w:tcW w:w="2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1,250</w:t>
            </w:r>
          </w:p>
        </w:tc>
      </w:tr>
      <w:tr>
        <w:trPr>
          <w:trHeight w:val="27"/>
        </w:trPr>
        <w:tc>
          <w:tcPr>
            <w:tcW w:w="586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b w:val="1"/>
                <w:bCs w:val="1"/>
                <w:color w:val="auto"/>
              </w:rPr>
              <w:t>Film and television costs</w:t>
            </w:r>
          </w:p>
        </w:tc>
        <w:tc>
          <w:tcPr>
            <w:tcW w:w="288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6,968</w:t>
            </w:r>
          </w:p>
        </w:tc>
        <w:tc>
          <w:tcPr>
            <w:tcW w:w="2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3"/>
              <w:spacing w:after="0"/>
              <w:rPr>
                <w:sz w:val="20"/>
                <w:szCs w:val="20"/>
                <w:color w:val="auto"/>
              </w:rPr>
            </w:pPr>
            <w:r>
              <w:rPr>
                <w:rFonts w:ascii="Arial" w:cs="Arial" w:eastAsia="Arial" w:hAnsi="Arial"/>
                <w:sz w:val="18"/>
                <w:szCs w:val="18"/>
                <w:b w:val="1"/>
                <w:bCs w:val="1"/>
                <w:color w:val="auto"/>
              </w:rPr>
              <w:t>7,252</w:t>
            </w:r>
          </w:p>
        </w:tc>
      </w:tr>
      <w:tr>
        <w:trPr>
          <w:trHeight w:val="34"/>
        </w:trPr>
        <w:tc>
          <w:tcPr>
            <w:tcW w:w="586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Investments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right"/>
              <w:ind w:right="374"/>
              <w:spacing w:after="0"/>
              <w:rPr>
                <w:sz w:val="20"/>
                <w:szCs w:val="20"/>
                <w:color w:val="auto"/>
              </w:rPr>
            </w:pPr>
            <w:r>
              <w:rPr>
                <w:rFonts w:ascii="Arial" w:cs="Arial" w:eastAsia="Arial" w:hAnsi="Arial"/>
                <w:sz w:val="14"/>
                <w:szCs w:val="14"/>
                <w:color w:val="auto"/>
              </w:rPr>
              <w:t>March 31,</w:t>
            </w:r>
          </w:p>
        </w:tc>
        <w:tc>
          <w:tcPr>
            <w:tcW w:w="300" w:type="dxa"/>
            <w:vAlign w:val="bottom"/>
          </w:tcPr>
          <w:p>
            <w:pPr>
              <w:spacing w:after="0"/>
              <w:rPr>
                <w:sz w:val="14"/>
                <w:szCs w:val="14"/>
                <w:color w:val="auto"/>
              </w:rPr>
            </w:pPr>
          </w:p>
        </w:tc>
        <w:tc>
          <w:tcPr>
            <w:tcW w:w="1180" w:type="dxa"/>
            <w:vAlign w:val="bottom"/>
          </w:tcPr>
          <w:p>
            <w:pPr>
              <w:jc w:val="right"/>
              <w:ind w:right="272"/>
              <w:spacing w:after="0"/>
              <w:rPr>
                <w:sz w:val="20"/>
                <w:szCs w:val="20"/>
                <w:color w:val="auto"/>
              </w:rPr>
            </w:pPr>
            <w:r>
              <w:rPr>
                <w:rFonts w:ascii="Arial" w:cs="Arial" w:eastAsia="Arial" w:hAnsi="Arial"/>
                <w:sz w:val="14"/>
                <w:szCs w:val="14"/>
                <w:color w:val="auto"/>
                <w:w w:val="90"/>
              </w:rPr>
              <w:t>December 31,</w:t>
            </w:r>
          </w:p>
        </w:tc>
      </w:tr>
      <w:tr>
        <w:trPr>
          <w:trHeight w:val="188"/>
        </w:trPr>
        <w:tc>
          <w:tcPr>
            <w:tcW w:w="4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41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color w:val="auto"/>
              </w:rPr>
              <w:t>2017</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color w:val="auto"/>
              </w:rPr>
              <w:t>2016</w:t>
            </w: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Fair Value Method:</w:t>
            </w:r>
          </w:p>
        </w:tc>
        <w:tc>
          <w:tcPr>
            <w:tcW w:w="4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0"/>
        </w:trPr>
        <w:tc>
          <w:tcPr>
            <w:tcW w:w="4300" w:type="dxa"/>
            <w:vAlign w:val="bottom"/>
          </w:tcPr>
          <w:p>
            <w:pPr>
              <w:ind w:left="380"/>
              <w:spacing w:after="0"/>
              <w:rPr>
                <w:sz w:val="20"/>
                <w:szCs w:val="20"/>
                <w:color w:val="auto"/>
              </w:rPr>
            </w:pPr>
            <w:r>
              <w:rPr>
                <w:rFonts w:ascii="Arial" w:cs="Arial" w:eastAsia="Arial" w:hAnsi="Arial"/>
                <w:sz w:val="18"/>
                <w:szCs w:val="18"/>
                <w:color w:val="auto"/>
              </w:rPr>
              <w:t>Snap</w:t>
            </w:r>
          </w:p>
        </w:tc>
        <w:tc>
          <w:tcPr>
            <w:tcW w:w="4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662</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4300" w:type="dxa"/>
            <w:vAlign w:val="bottom"/>
          </w:tcPr>
          <w:p>
            <w:pPr>
              <w:ind w:left="380"/>
              <w:spacing w:after="0"/>
              <w:rPr>
                <w:sz w:val="20"/>
                <w:szCs w:val="20"/>
                <w:color w:val="auto"/>
              </w:rPr>
            </w:pPr>
            <w:r>
              <w:rPr>
                <w:rFonts w:ascii="Arial" w:cs="Arial" w:eastAsia="Arial" w:hAnsi="Arial"/>
                <w:sz w:val="18"/>
                <w:szCs w:val="18"/>
                <w:color w:val="auto"/>
              </w:rPr>
              <w:t>Other</w:t>
            </w:r>
          </w:p>
        </w:tc>
        <w:tc>
          <w:tcPr>
            <w:tcW w:w="4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161</w:t>
            </w:r>
          </w:p>
        </w:tc>
        <w:tc>
          <w:tcPr>
            <w:tcW w:w="30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198</w:t>
            </w:r>
          </w:p>
        </w:tc>
      </w:tr>
      <w:tr>
        <w:trPr>
          <w:trHeight w:val="27"/>
        </w:trPr>
        <w:tc>
          <w:tcPr>
            <w:tcW w:w="4300" w:type="dxa"/>
            <w:vAlign w:val="bottom"/>
            <w:tcBorders>
              <w:bottom w:val="single" w:sz="8" w:color="auto"/>
            </w:tcBorders>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430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823</w:t>
            </w:r>
          </w:p>
        </w:tc>
        <w:tc>
          <w:tcPr>
            <w:tcW w:w="30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198</w:t>
            </w:r>
          </w:p>
        </w:tc>
      </w:tr>
      <w:tr>
        <w:trPr>
          <w:trHeight w:val="270"/>
        </w:trPr>
        <w:tc>
          <w:tcPr>
            <w:tcW w:w="4300" w:type="dxa"/>
            <w:vAlign w:val="bottom"/>
          </w:tcPr>
          <w:p>
            <w:pPr>
              <w:ind w:left="40"/>
              <w:spacing w:after="0"/>
              <w:rPr>
                <w:sz w:val="20"/>
                <w:szCs w:val="20"/>
                <w:color w:val="auto"/>
              </w:rPr>
            </w:pPr>
            <w:r>
              <w:rPr>
                <w:rFonts w:ascii="Arial" w:cs="Arial" w:eastAsia="Arial" w:hAnsi="Arial"/>
                <w:sz w:val="18"/>
                <w:szCs w:val="18"/>
                <w:color w:val="auto"/>
              </w:rPr>
              <w:t>Equity Method:</w:t>
            </w:r>
          </w:p>
        </w:tc>
        <w:tc>
          <w:tcPr>
            <w:tcW w:w="4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70"/>
        </w:trPr>
        <w:tc>
          <w:tcPr>
            <w:tcW w:w="4300" w:type="dxa"/>
            <w:vAlign w:val="bottom"/>
          </w:tcPr>
          <w:p>
            <w:pPr>
              <w:ind w:left="380"/>
              <w:spacing w:after="0"/>
              <w:rPr>
                <w:sz w:val="20"/>
                <w:szCs w:val="20"/>
                <w:color w:val="auto"/>
              </w:rPr>
            </w:pPr>
            <w:r>
              <w:rPr>
                <w:rFonts w:ascii="Arial" w:cs="Arial" w:eastAsia="Arial" w:hAnsi="Arial"/>
                <w:sz w:val="18"/>
                <w:szCs w:val="18"/>
                <w:color w:val="auto"/>
              </w:rPr>
              <w:t>Atairos</w:t>
            </w:r>
          </w:p>
        </w:tc>
        <w:tc>
          <w:tcPr>
            <w:tcW w:w="4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1,624</w:t>
            </w:r>
          </w:p>
        </w:tc>
        <w:tc>
          <w:tcPr>
            <w:tcW w:w="30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1,601</w:t>
            </w:r>
          </w:p>
        </w:tc>
      </w:tr>
      <w:tr>
        <w:trPr>
          <w:trHeight w:val="270"/>
        </w:trPr>
        <w:tc>
          <w:tcPr>
            <w:tcW w:w="4300" w:type="dxa"/>
            <w:vAlign w:val="bottom"/>
          </w:tcPr>
          <w:p>
            <w:pPr>
              <w:ind w:left="380"/>
              <w:spacing w:after="0"/>
              <w:rPr>
                <w:sz w:val="20"/>
                <w:szCs w:val="20"/>
                <w:color w:val="auto"/>
              </w:rPr>
            </w:pPr>
            <w:r>
              <w:rPr>
                <w:rFonts w:ascii="Arial" w:cs="Arial" w:eastAsia="Arial" w:hAnsi="Arial"/>
                <w:sz w:val="18"/>
                <w:szCs w:val="18"/>
                <w:color w:val="auto"/>
              </w:rPr>
              <w:t>Hulu</w:t>
            </w:r>
          </w:p>
        </w:tc>
        <w:tc>
          <w:tcPr>
            <w:tcW w:w="4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171</w:t>
            </w:r>
          </w:p>
        </w:tc>
        <w:tc>
          <w:tcPr>
            <w:tcW w:w="30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225</w:t>
            </w:r>
          </w:p>
        </w:tc>
      </w:tr>
      <w:tr>
        <w:trPr>
          <w:trHeight w:val="270"/>
        </w:trPr>
        <w:tc>
          <w:tcPr>
            <w:tcW w:w="4300" w:type="dxa"/>
            <w:vAlign w:val="bottom"/>
          </w:tcPr>
          <w:p>
            <w:pPr>
              <w:ind w:left="380"/>
              <w:spacing w:after="0"/>
              <w:rPr>
                <w:sz w:val="20"/>
                <w:szCs w:val="20"/>
                <w:color w:val="auto"/>
              </w:rPr>
            </w:pPr>
            <w:r>
              <w:rPr>
                <w:rFonts w:ascii="Arial" w:cs="Arial" w:eastAsia="Arial" w:hAnsi="Arial"/>
                <w:sz w:val="18"/>
                <w:szCs w:val="18"/>
                <w:color w:val="auto"/>
              </w:rPr>
              <w:t>Other</w:t>
            </w:r>
          </w:p>
        </w:tc>
        <w:tc>
          <w:tcPr>
            <w:tcW w:w="4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631</w:t>
            </w:r>
          </w:p>
        </w:tc>
        <w:tc>
          <w:tcPr>
            <w:tcW w:w="30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550</w:t>
            </w:r>
          </w:p>
        </w:tc>
      </w:tr>
      <w:tr>
        <w:trPr>
          <w:trHeight w:val="27"/>
        </w:trPr>
        <w:tc>
          <w:tcPr>
            <w:tcW w:w="4300" w:type="dxa"/>
            <w:vAlign w:val="bottom"/>
            <w:tcBorders>
              <w:bottom w:val="single" w:sz="8" w:color="auto"/>
            </w:tcBorders>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430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2,426</w:t>
            </w:r>
          </w:p>
        </w:tc>
        <w:tc>
          <w:tcPr>
            <w:tcW w:w="30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2,376</w:t>
            </w:r>
          </w:p>
        </w:tc>
      </w:tr>
      <w:tr>
        <w:trPr>
          <w:trHeight w:val="270"/>
        </w:trPr>
        <w:tc>
          <w:tcPr>
            <w:tcW w:w="4300" w:type="dxa"/>
            <w:vAlign w:val="bottom"/>
          </w:tcPr>
          <w:p>
            <w:pPr>
              <w:ind w:left="40"/>
              <w:spacing w:after="0"/>
              <w:rPr>
                <w:sz w:val="20"/>
                <w:szCs w:val="20"/>
                <w:color w:val="auto"/>
              </w:rPr>
            </w:pPr>
            <w:r>
              <w:rPr>
                <w:rFonts w:ascii="Arial" w:cs="Arial" w:eastAsia="Arial" w:hAnsi="Arial"/>
                <w:sz w:val="18"/>
                <w:szCs w:val="18"/>
                <w:color w:val="auto"/>
              </w:rPr>
              <w:t>Cost Method:</w:t>
            </w:r>
          </w:p>
        </w:tc>
        <w:tc>
          <w:tcPr>
            <w:tcW w:w="4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70"/>
        </w:trPr>
        <w:tc>
          <w:tcPr>
            <w:tcW w:w="4300" w:type="dxa"/>
            <w:vAlign w:val="bottom"/>
          </w:tcPr>
          <w:p>
            <w:pPr>
              <w:ind w:left="380"/>
              <w:spacing w:after="0"/>
              <w:rPr>
                <w:sz w:val="20"/>
                <w:szCs w:val="20"/>
                <w:color w:val="auto"/>
              </w:rPr>
            </w:pPr>
            <w:r>
              <w:rPr>
                <w:rFonts w:ascii="Arial" w:cs="Arial" w:eastAsia="Arial" w:hAnsi="Arial"/>
                <w:sz w:val="18"/>
                <w:szCs w:val="18"/>
                <w:color w:val="auto"/>
              </w:rPr>
              <w:t>AirTouch</w:t>
            </w:r>
          </w:p>
        </w:tc>
        <w:tc>
          <w:tcPr>
            <w:tcW w:w="4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1,602</w:t>
            </w:r>
          </w:p>
        </w:tc>
        <w:tc>
          <w:tcPr>
            <w:tcW w:w="30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1,599</w:t>
            </w:r>
          </w:p>
        </w:tc>
      </w:tr>
      <w:tr>
        <w:trPr>
          <w:trHeight w:val="270"/>
        </w:trPr>
        <w:tc>
          <w:tcPr>
            <w:tcW w:w="4300" w:type="dxa"/>
            <w:vAlign w:val="bottom"/>
          </w:tcPr>
          <w:p>
            <w:pPr>
              <w:ind w:left="380"/>
              <w:spacing w:after="0"/>
              <w:rPr>
                <w:sz w:val="20"/>
                <w:szCs w:val="20"/>
                <w:color w:val="auto"/>
              </w:rPr>
            </w:pPr>
            <w:r>
              <w:rPr>
                <w:rFonts w:ascii="Arial" w:cs="Arial" w:eastAsia="Arial" w:hAnsi="Arial"/>
                <w:sz w:val="18"/>
                <w:szCs w:val="18"/>
                <w:color w:val="auto"/>
              </w:rPr>
              <w:t>BuzzFeed</w:t>
            </w:r>
          </w:p>
        </w:tc>
        <w:tc>
          <w:tcPr>
            <w:tcW w:w="4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400</w:t>
            </w:r>
          </w:p>
        </w:tc>
        <w:tc>
          <w:tcPr>
            <w:tcW w:w="30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400</w:t>
            </w:r>
          </w:p>
        </w:tc>
      </w:tr>
      <w:tr>
        <w:trPr>
          <w:trHeight w:val="270"/>
        </w:trPr>
        <w:tc>
          <w:tcPr>
            <w:tcW w:w="4300" w:type="dxa"/>
            <w:vAlign w:val="bottom"/>
          </w:tcPr>
          <w:p>
            <w:pPr>
              <w:ind w:left="380"/>
              <w:spacing w:after="0"/>
              <w:rPr>
                <w:sz w:val="20"/>
                <w:szCs w:val="20"/>
                <w:color w:val="auto"/>
              </w:rPr>
            </w:pPr>
            <w:r>
              <w:rPr>
                <w:rFonts w:ascii="Arial" w:cs="Arial" w:eastAsia="Arial" w:hAnsi="Arial"/>
                <w:sz w:val="18"/>
                <w:szCs w:val="18"/>
                <w:color w:val="auto"/>
              </w:rPr>
              <w:t>Other</w:t>
            </w:r>
          </w:p>
        </w:tc>
        <w:tc>
          <w:tcPr>
            <w:tcW w:w="4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698</w:t>
            </w:r>
          </w:p>
        </w:tc>
        <w:tc>
          <w:tcPr>
            <w:tcW w:w="30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771</w:t>
            </w:r>
          </w:p>
        </w:tc>
      </w:tr>
      <w:tr>
        <w:trPr>
          <w:trHeight w:val="27"/>
        </w:trPr>
        <w:tc>
          <w:tcPr>
            <w:tcW w:w="4300" w:type="dxa"/>
            <w:vAlign w:val="bottom"/>
            <w:tcBorders>
              <w:bottom w:val="single" w:sz="8" w:color="auto"/>
            </w:tcBorders>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430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2,700</w:t>
            </w:r>
          </w:p>
        </w:tc>
        <w:tc>
          <w:tcPr>
            <w:tcW w:w="30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2,770</w:t>
            </w:r>
          </w:p>
        </w:tc>
      </w:tr>
      <w:tr>
        <w:trPr>
          <w:trHeight w:val="27"/>
        </w:trPr>
        <w:tc>
          <w:tcPr>
            <w:tcW w:w="4300" w:type="dxa"/>
            <w:vAlign w:val="bottom"/>
            <w:tcBorders>
              <w:bottom w:val="single" w:sz="8" w:color="auto"/>
            </w:tcBorders>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4300" w:type="dxa"/>
            <w:vAlign w:val="bottom"/>
          </w:tcPr>
          <w:p>
            <w:pPr>
              <w:ind w:left="40"/>
              <w:spacing w:after="0"/>
              <w:rPr>
                <w:sz w:val="20"/>
                <w:szCs w:val="20"/>
                <w:color w:val="auto"/>
              </w:rPr>
            </w:pPr>
            <w:r>
              <w:rPr>
                <w:rFonts w:ascii="Arial" w:cs="Arial" w:eastAsia="Arial" w:hAnsi="Arial"/>
                <w:sz w:val="18"/>
                <w:szCs w:val="18"/>
                <w:color w:val="auto"/>
              </w:rPr>
              <w:t>Total investments</w:t>
            </w:r>
          </w:p>
        </w:tc>
        <w:tc>
          <w:tcPr>
            <w:tcW w:w="4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5,949</w:t>
            </w:r>
          </w:p>
        </w:tc>
        <w:tc>
          <w:tcPr>
            <w:tcW w:w="30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5,344</w:t>
            </w:r>
          </w:p>
        </w:tc>
      </w:tr>
      <w:tr>
        <w:trPr>
          <w:trHeight w:val="270"/>
        </w:trPr>
        <w:tc>
          <w:tcPr>
            <w:tcW w:w="4300" w:type="dxa"/>
            <w:vAlign w:val="bottom"/>
          </w:tcPr>
          <w:p>
            <w:pPr>
              <w:ind w:left="40"/>
              <w:spacing w:after="0"/>
              <w:rPr>
                <w:sz w:val="20"/>
                <w:szCs w:val="20"/>
                <w:color w:val="auto"/>
              </w:rPr>
            </w:pPr>
            <w:r>
              <w:rPr>
                <w:rFonts w:ascii="Arial" w:cs="Arial" w:eastAsia="Arial" w:hAnsi="Arial"/>
                <w:sz w:val="18"/>
                <w:szCs w:val="18"/>
                <w:color w:val="auto"/>
              </w:rPr>
              <w:t>Less: Current investments</w:t>
            </w:r>
          </w:p>
        </w:tc>
        <w:tc>
          <w:tcPr>
            <w:tcW w:w="4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97</w:t>
            </w:r>
          </w:p>
        </w:tc>
      </w:tr>
      <w:tr>
        <w:trPr>
          <w:trHeight w:val="27"/>
        </w:trPr>
        <w:tc>
          <w:tcPr>
            <w:tcW w:w="4300" w:type="dxa"/>
            <w:vAlign w:val="bottom"/>
            <w:tcBorders>
              <w:bottom w:val="single" w:sz="8" w:color="auto"/>
            </w:tcBorders>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4300" w:type="dxa"/>
            <w:vAlign w:val="bottom"/>
          </w:tcPr>
          <w:p>
            <w:pPr>
              <w:ind w:left="40"/>
              <w:spacing w:after="0"/>
              <w:rPr>
                <w:sz w:val="20"/>
                <w:szCs w:val="20"/>
                <w:color w:val="auto"/>
              </w:rPr>
            </w:pPr>
            <w:r>
              <w:rPr>
                <w:rFonts w:ascii="Arial" w:cs="Arial" w:eastAsia="Arial" w:hAnsi="Arial"/>
                <w:sz w:val="18"/>
                <w:szCs w:val="18"/>
                <w:b w:val="1"/>
                <w:bCs w:val="1"/>
                <w:color w:val="auto"/>
              </w:rPr>
              <w:t>Noncurrent investments</w:t>
            </w:r>
          </w:p>
        </w:tc>
        <w:tc>
          <w:tcPr>
            <w:tcW w:w="44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4"/>
              <w:spacing w:after="0"/>
              <w:rPr>
                <w:sz w:val="20"/>
                <w:szCs w:val="20"/>
                <w:color w:val="auto"/>
              </w:rPr>
            </w:pPr>
            <w:r>
              <w:rPr>
                <w:rFonts w:ascii="Arial" w:cs="Arial" w:eastAsia="Arial" w:hAnsi="Arial"/>
                <w:sz w:val="18"/>
                <w:szCs w:val="18"/>
                <w:b w:val="1"/>
                <w:bCs w:val="1"/>
                <w:color w:val="auto"/>
              </w:rPr>
              <w:t>5,938</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b w:val="1"/>
                <w:bCs w:val="1"/>
                <w:color w:val="auto"/>
              </w:rPr>
              <w:t>5,247</w:t>
            </w:r>
          </w:p>
        </w:tc>
      </w:tr>
      <w:tr>
        <w:trPr>
          <w:trHeight w:val="34"/>
        </w:trPr>
        <w:tc>
          <w:tcPr>
            <w:tcW w:w="4300" w:type="dxa"/>
            <w:vAlign w:val="bottom"/>
            <w:tcBorders>
              <w:bottom w:val="single" w:sz="8" w:color="auto"/>
            </w:tcBorders>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473"/>
        </w:trPr>
        <w:tc>
          <w:tcPr>
            <w:tcW w:w="4300" w:type="dxa"/>
            <w:vAlign w:val="bottom"/>
          </w:tcPr>
          <w:p>
            <w:pPr>
              <w:spacing w:after="0"/>
              <w:rPr>
                <w:sz w:val="24"/>
                <w:szCs w:val="24"/>
                <w:color w:val="auto"/>
              </w:rPr>
            </w:pPr>
          </w:p>
        </w:tc>
        <w:tc>
          <w:tcPr>
            <w:tcW w:w="4440" w:type="dxa"/>
            <w:vAlign w:val="bottom"/>
            <w:gridSpan w:val="2"/>
          </w:tcPr>
          <w:p>
            <w:pPr>
              <w:jc w:val="right"/>
              <w:ind w:right="1720"/>
              <w:spacing w:after="0"/>
              <w:rPr>
                <w:sz w:val="20"/>
                <w:szCs w:val="20"/>
                <w:color w:val="auto"/>
              </w:rPr>
            </w:pPr>
            <w:r>
              <w:rPr>
                <w:rFonts w:ascii="Arial" w:cs="Arial" w:eastAsia="Arial" w:hAnsi="Arial"/>
                <w:sz w:val="18"/>
                <w:szCs w:val="18"/>
                <w:b w:val="1"/>
                <w:bCs w:val="1"/>
                <w:color w:val="auto"/>
              </w:rPr>
              <w:t>Investment Income (Loss), Net</w:t>
            </w: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92"/>
        </w:trPr>
        <w:tc>
          <w:tcPr>
            <w:tcW w:w="430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80" w:type="dxa"/>
            <w:vAlign w:val="bottom"/>
            <w:gridSpan w:val="3"/>
          </w:tcPr>
          <w:p>
            <w:pPr>
              <w:jc w:val="right"/>
              <w:ind w:right="772"/>
              <w:spacing w:after="0"/>
              <w:rPr>
                <w:sz w:val="20"/>
                <w:szCs w:val="20"/>
                <w:color w:val="auto"/>
              </w:rPr>
            </w:pPr>
            <w:r>
              <w:rPr>
                <w:rFonts w:ascii="Arial" w:cs="Arial" w:eastAsia="Arial" w:hAnsi="Arial"/>
                <w:sz w:val="14"/>
                <w:szCs w:val="14"/>
                <w:color w:val="auto"/>
              </w:rPr>
              <w:t>Three Months Ended</w:t>
            </w:r>
          </w:p>
        </w:tc>
      </w:tr>
      <w:tr>
        <w:trPr>
          <w:trHeight w:val="188"/>
        </w:trPr>
        <w:tc>
          <w:tcPr>
            <w:tcW w:w="430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March 31</w:t>
            </w:r>
          </w:p>
        </w:tc>
        <w:tc>
          <w:tcPr>
            <w:tcW w:w="1180" w:type="dxa"/>
            <w:vAlign w:val="bottom"/>
            <w:tcBorders>
              <w:bottom w:val="single" w:sz="8" w:color="auto"/>
            </w:tcBorders>
          </w:tcPr>
          <w:p>
            <w:pPr>
              <w:spacing w:after="0"/>
              <w:rPr>
                <w:sz w:val="16"/>
                <w:szCs w:val="16"/>
                <w:color w:val="auto"/>
              </w:rPr>
            </w:pPr>
          </w:p>
        </w:tc>
      </w:tr>
      <w:tr>
        <w:trPr>
          <w:trHeight w:val="196"/>
        </w:trPr>
        <w:tc>
          <w:tcPr>
            <w:tcW w:w="4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41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color w:val="auto"/>
              </w:rPr>
              <w:t>2017</w:t>
            </w: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color w:val="auto"/>
              </w:rPr>
              <w:t>2016</w:t>
            </w: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w w:val="90"/>
              </w:rPr>
              <w:t>Gains (losses) on sales and exchanges of investments, net</w:t>
            </w:r>
          </w:p>
        </w:tc>
        <w:tc>
          <w:tcPr>
            <w:tcW w:w="4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w:t>
            </w:r>
          </w:p>
        </w:tc>
      </w:tr>
      <w:tr>
        <w:trPr>
          <w:trHeight w:val="270"/>
        </w:trPr>
        <w:tc>
          <w:tcPr>
            <w:tcW w:w="4300" w:type="dxa"/>
            <w:vAlign w:val="bottom"/>
          </w:tcPr>
          <w:p>
            <w:pPr>
              <w:ind w:left="40"/>
              <w:spacing w:after="0"/>
              <w:rPr>
                <w:sz w:val="20"/>
                <w:szCs w:val="20"/>
                <w:color w:val="auto"/>
              </w:rPr>
            </w:pPr>
            <w:r>
              <w:rPr>
                <w:rFonts w:ascii="Arial" w:cs="Arial" w:eastAsia="Arial" w:hAnsi="Arial"/>
                <w:sz w:val="18"/>
                <w:szCs w:val="18"/>
                <w:color w:val="auto"/>
              </w:rPr>
              <w:t>Investment impairment losses</w:t>
            </w:r>
          </w:p>
        </w:tc>
        <w:tc>
          <w:tcPr>
            <w:tcW w:w="4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0"/>
        </w:trPr>
        <w:tc>
          <w:tcPr>
            <w:tcW w:w="4300" w:type="dxa"/>
            <w:vAlign w:val="bottom"/>
          </w:tcPr>
          <w:p>
            <w:pPr>
              <w:ind w:left="40"/>
              <w:spacing w:after="0"/>
              <w:rPr>
                <w:sz w:val="20"/>
                <w:szCs w:val="20"/>
                <w:color w:val="auto"/>
              </w:rPr>
            </w:pPr>
            <w:r>
              <w:rPr>
                <w:rFonts w:ascii="Arial" w:cs="Arial" w:eastAsia="Arial" w:hAnsi="Arial"/>
                <w:sz w:val="18"/>
                <w:szCs w:val="18"/>
                <w:color w:val="auto"/>
              </w:rPr>
              <w:t>Interest and dividend income</w:t>
            </w:r>
          </w:p>
        </w:tc>
        <w:tc>
          <w:tcPr>
            <w:tcW w:w="4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29</w:t>
            </w:r>
          </w:p>
        </w:tc>
      </w:tr>
      <w:tr>
        <w:trPr>
          <w:trHeight w:val="270"/>
        </w:trPr>
        <w:tc>
          <w:tcPr>
            <w:tcW w:w="4300" w:type="dxa"/>
            <w:vAlign w:val="bottom"/>
          </w:tcPr>
          <w:p>
            <w:pPr>
              <w:ind w:left="40"/>
              <w:spacing w:after="0"/>
              <w:rPr>
                <w:sz w:val="20"/>
                <w:szCs w:val="20"/>
                <w:color w:val="auto"/>
              </w:rPr>
            </w:pPr>
            <w:r>
              <w:rPr>
                <w:rFonts w:ascii="Arial" w:cs="Arial" w:eastAsia="Arial" w:hAnsi="Arial"/>
                <w:sz w:val="18"/>
                <w:szCs w:val="18"/>
                <w:color w:val="auto"/>
              </w:rPr>
              <w:t>Other, net</w:t>
            </w:r>
          </w:p>
        </w:tc>
        <w:tc>
          <w:tcPr>
            <w:tcW w:w="4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19</w:t>
            </w:r>
          </w:p>
        </w:tc>
      </w:tr>
      <w:tr>
        <w:trPr>
          <w:trHeight w:val="27"/>
        </w:trPr>
        <w:tc>
          <w:tcPr>
            <w:tcW w:w="4300" w:type="dxa"/>
            <w:vAlign w:val="bottom"/>
            <w:tcBorders>
              <w:bottom w:val="single" w:sz="8" w:color="auto"/>
            </w:tcBorders>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4300" w:type="dxa"/>
            <w:vAlign w:val="bottom"/>
          </w:tcPr>
          <w:p>
            <w:pPr>
              <w:ind w:left="40"/>
              <w:spacing w:after="0"/>
              <w:rPr>
                <w:sz w:val="20"/>
                <w:szCs w:val="20"/>
                <w:color w:val="auto"/>
              </w:rPr>
            </w:pPr>
            <w:r>
              <w:rPr>
                <w:rFonts w:ascii="Arial" w:cs="Arial" w:eastAsia="Arial" w:hAnsi="Arial"/>
                <w:sz w:val="18"/>
                <w:szCs w:val="18"/>
                <w:b w:val="1"/>
                <w:bCs w:val="1"/>
                <w:color w:val="auto"/>
              </w:rPr>
              <w:t>Investment income (loss), net</w:t>
            </w:r>
          </w:p>
        </w:tc>
        <w:tc>
          <w:tcPr>
            <w:tcW w:w="44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4"/>
              <w:spacing w:after="0"/>
              <w:rPr>
                <w:sz w:val="20"/>
                <w:szCs w:val="20"/>
                <w:color w:val="auto"/>
              </w:rPr>
            </w:pPr>
            <w:r>
              <w:rPr>
                <w:rFonts w:ascii="Arial" w:cs="Arial" w:eastAsia="Arial" w:hAnsi="Arial"/>
                <w:sz w:val="18"/>
                <w:szCs w:val="18"/>
                <w:b w:val="1"/>
                <w:bCs w:val="1"/>
                <w:color w:val="auto"/>
              </w:rPr>
              <w:t>59</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b w:val="1"/>
                <w:bCs w:val="1"/>
                <w:color w:val="auto"/>
              </w:rPr>
              <w:t>30</w:t>
            </w:r>
          </w:p>
        </w:tc>
      </w:tr>
      <w:tr>
        <w:trPr>
          <w:trHeight w:val="34"/>
        </w:trPr>
        <w:tc>
          <w:tcPr>
            <w:tcW w:w="4300" w:type="dxa"/>
            <w:vAlign w:val="bottom"/>
            <w:tcBorders>
              <w:bottom w:val="single" w:sz="8" w:color="auto"/>
            </w:tcBorders>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435"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1" w:right="239" w:bottom="435"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Method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Snap</w:t>
      </w:r>
    </w:p>
    <w:p>
      <w:pPr>
        <w:spacing w:after="0" w:line="19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March 2017, we acquired an interest in Snap Inc. for $500 million as part of its initial public offering, which we have classified as available for sale. Snap is a camera company whose primary product is Snapchat, a camera app that was created to help people communicate through short videos and images.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Atairos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three months ended March 31, 2017, we made cash capital contributions totaling $457 million to Atairos Group, Inc., which included amounts accrued as of December 31, 2016. Atairos follows investment company accounting and records its investments at their fair values each reporting period with the net gains or losses reflected in its statement of income. We recognize our share of these gains and losses in equity in net income (losses) of investees, net. For the three months ended March 31, 2017, we recognized our share of Atairos income of $57 million. For the three months ended March 31, 2016, we recognized our share of Atairos losses of $15 million.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Weather Channel</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2016, following a legal restructuring at The Weather Channel, we and the other investors sold the entity holding The Weather Channel’s product and technology businesses to IBM. Following the close of the transaction, we continue to hold an investment in The Weather Channel cable network through a new holding company. As a result of the sale of our investment, we recognized a pretax gain of $108 million in other income (expense), net for the three months ended March 31, 2016.</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Method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AirTouch</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hold two series of preferred stock of Verizon Americas, Inc., formerly known as AirTouch Communications, Inc. (“AirTouch”), a subsidiary of Verizon Communications Inc., which are redeemable in April 2020. As of March 31, 2017, the estimated fair value of the AirTouch preferred stock and the estimated fair value of the associated liability related to the redeemable subsidiary preferred shares issued by one of our consolidated subsidiaries were each $1.8 billion. The estimated fair values are based on Level 2 inputs that use pricing models whose inputs are derived primarily from or corroborated by observable market data through correlation or other means for substantially the full term of the financial instrument.</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Long-Term Debt</w:t>
      </w:r>
    </w:p>
    <w:p>
      <w:pPr>
        <w:spacing w:after="0" w:line="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March 31, 2017, our debt had a carrying value of $61.8 billion and an estimated fair value of $66.7 billion. The estimated fair value of our publicly traded debt was primarily based on Level 1 inputs that use quoted market values for the debt. The estimated fair value of debt for which there are no quoted market prices was based on Level 2 inputs that use interest rates available to us for debt with similar terms and remaining maturities.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Borrowings and Repayments</w:t>
      </w:r>
    </w:p>
    <w:p>
      <w:pPr>
        <w:spacing w:after="0" w:line="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March 2017, we issued $1.005 billion aggregate principal amount of 4.45% senior notes due 2047. In January 2017, we issued $1.25 billion aggregate principal amount of 3.00% senior notes due 2024 and $1.25 billion aggregate principal amount of 3.30% senior notes due 2027.</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In January 2017, we repaid at maturity $1.0 billion aggregate principal amount of 6.50% senior notes due 2017.</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Facilities</w:t>
      </w:r>
    </w:p>
    <w:p>
      <w:pPr>
        <w:spacing w:after="0" w:line="8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of March 31, 2017, amounts available under our consolidated revolving credit facilities, net of amounts outstanding under our commercial paper programs and outstanding letters of credit, totaled $7.4 billion, which included $585 million available under NBCUniversal Enterprise’s revolving credit facility.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Paper Programs</w:t>
      </w:r>
    </w:p>
    <w:p>
      <w:pPr>
        <w:spacing w:after="0" w:line="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2017, NBCUniversal Enterprise had $915 million face amount of commercial paper outstanding. Comcast had no commercial paper outstanding.</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Share-Based Compensation</w:t>
      </w:r>
    </w:p>
    <w:p>
      <w:pPr>
        <w:spacing w:after="0" w:line="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share-based compensation plans consist primarily of awards of RSUs and stock options to certain employees and directors as part of our approach to long-term incentive compensation. Additionally, through our employee stock purchase plans, employees are able to purchase shares of our common stock at a discount through payroll deductions.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9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March 2017, we granted 10.6 million RSUs and 39.1 million stock options related to our annual management awards. The weighted-average fair values associated with these grants were $37.42 per RSU and $7.01 per stock option.</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Recognized Share-Based Compensation Expense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0" w:type="dxa"/>
            <w:vAlign w:val="bottom"/>
            <w:gridSpan w:val="3"/>
          </w:tcPr>
          <w:p>
            <w:pPr>
              <w:jc w:val="right"/>
              <w:ind w:right="774"/>
              <w:spacing w:after="0"/>
              <w:rPr>
                <w:sz w:val="20"/>
                <w:szCs w:val="20"/>
                <w:color w:val="auto"/>
              </w:rPr>
            </w:pPr>
            <w:r>
              <w:rPr>
                <w:rFonts w:ascii="Arial" w:cs="Arial" w:eastAsia="Arial" w:hAnsi="Arial"/>
                <w:sz w:val="14"/>
                <w:szCs w:val="14"/>
                <w:color w:val="auto"/>
              </w:rPr>
              <w:t>Three Months Ended</w:t>
            </w:r>
          </w:p>
        </w:tc>
      </w:tr>
      <w:tr>
        <w:trPr>
          <w:trHeight w:val="188"/>
        </w:trPr>
        <w:tc>
          <w:tcPr>
            <w:tcW w:w="84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color w:val="auto"/>
              </w:rPr>
              <w:t>March 31</w:t>
            </w:r>
          </w:p>
        </w:tc>
        <w:tc>
          <w:tcPr>
            <w:tcW w:w="1040" w:type="dxa"/>
            <w:vAlign w:val="bottom"/>
            <w:tcBorders>
              <w:bottom w:val="single" w:sz="8" w:color="auto"/>
            </w:tcBorders>
          </w:tcPr>
          <w:p>
            <w:pPr>
              <w:spacing w:after="0"/>
              <w:rPr>
                <w:sz w:val="16"/>
                <w:szCs w:val="16"/>
                <w:color w:val="auto"/>
              </w:rPr>
            </w:pPr>
          </w:p>
        </w:tc>
      </w:tr>
      <w:tr>
        <w:trPr>
          <w:trHeight w:val="196"/>
        </w:trPr>
        <w:tc>
          <w:tcPr>
            <w:tcW w:w="84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color w:val="auto"/>
              </w:rPr>
              <w:t>2017</w:t>
            </w:r>
          </w:p>
        </w:tc>
        <w:tc>
          <w:tcPr>
            <w:tcW w:w="4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color w:val="auto"/>
              </w:rPr>
              <w:t>2016</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Restricted share units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74</w:t>
            </w:r>
          </w:p>
        </w:tc>
        <w:tc>
          <w:tcPr>
            <w:tcW w:w="4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70</w:t>
            </w:r>
          </w:p>
        </w:tc>
      </w:tr>
      <w:tr>
        <w:trPr>
          <w:trHeight w:val="270"/>
        </w:trPr>
        <w:tc>
          <w:tcPr>
            <w:tcW w:w="8460" w:type="dxa"/>
            <w:vAlign w:val="bottom"/>
          </w:tcPr>
          <w:p>
            <w:pPr>
              <w:ind w:left="40"/>
              <w:spacing w:after="0"/>
              <w:rPr>
                <w:sz w:val="20"/>
                <w:szCs w:val="20"/>
                <w:color w:val="auto"/>
              </w:rPr>
            </w:pPr>
            <w:r>
              <w:rPr>
                <w:rFonts w:ascii="Arial" w:cs="Arial" w:eastAsia="Arial" w:hAnsi="Arial"/>
                <w:sz w:val="18"/>
                <w:szCs w:val="18"/>
                <w:color w:val="auto"/>
              </w:rPr>
              <w:t>Stock options</w:t>
            </w:r>
          </w:p>
        </w:tc>
        <w:tc>
          <w:tcPr>
            <w:tcW w:w="3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w:t>
            </w:r>
          </w:p>
        </w:tc>
        <w:tc>
          <w:tcPr>
            <w:tcW w:w="48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37</w:t>
            </w:r>
          </w:p>
        </w:tc>
      </w:tr>
      <w:tr>
        <w:trPr>
          <w:trHeight w:val="270"/>
        </w:trPr>
        <w:tc>
          <w:tcPr>
            <w:tcW w:w="8460" w:type="dxa"/>
            <w:vAlign w:val="bottom"/>
          </w:tcPr>
          <w:p>
            <w:pPr>
              <w:ind w:left="40"/>
              <w:spacing w:after="0"/>
              <w:rPr>
                <w:sz w:val="20"/>
                <w:szCs w:val="20"/>
                <w:color w:val="auto"/>
              </w:rPr>
            </w:pPr>
            <w:r>
              <w:rPr>
                <w:rFonts w:ascii="Arial" w:cs="Arial" w:eastAsia="Arial" w:hAnsi="Arial"/>
                <w:sz w:val="18"/>
                <w:szCs w:val="18"/>
                <w:color w:val="auto"/>
              </w:rPr>
              <w:t>Employee stock purchase plans</w:t>
            </w:r>
          </w:p>
        </w:tc>
        <w:tc>
          <w:tcPr>
            <w:tcW w:w="3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48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8</w:t>
            </w:r>
          </w:p>
        </w:tc>
      </w:tr>
      <w:tr>
        <w:trPr>
          <w:trHeight w:val="27"/>
        </w:trPr>
        <w:tc>
          <w:tcPr>
            <w:tcW w:w="8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846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124</w:t>
            </w:r>
          </w:p>
        </w:tc>
        <w:tc>
          <w:tcPr>
            <w:tcW w:w="480" w:type="dxa"/>
            <w:vAlign w:val="bottom"/>
          </w:tcPr>
          <w:p>
            <w:pPr>
              <w:jc w:val="right"/>
              <w:ind w:right="23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b w:val="1"/>
                <w:bCs w:val="1"/>
                <w:color w:val="auto"/>
              </w:rPr>
              <w:t>115</w:t>
            </w:r>
          </w:p>
        </w:tc>
      </w:tr>
      <w:tr>
        <w:trPr>
          <w:trHeight w:val="34"/>
        </w:trPr>
        <w:tc>
          <w:tcPr>
            <w:tcW w:w="8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5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2017, we had unrecognized pretax compensation expense of $1.0 billion and $569 million related to nonvested RSUs and nonvested stock options,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Supplemental Financial Information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Receivables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center"/>
              <w:ind w:right="214"/>
              <w:spacing w:after="0"/>
              <w:rPr>
                <w:sz w:val="20"/>
                <w:szCs w:val="20"/>
                <w:color w:val="auto"/>
              </w:rPr>
            </w:pPr>
            <w:r>
              <w:rPr>
                <w:rFonts w:ascii="Arial" w:cs="Arial" w:eastAsia="Arial" w:hAnsi="Arial"/>
                <w:sz w:val="14"/>
                <w:szCs w:val="14"/>
                <w:color w:val="auto"/>
                <w:w w:val="93"/>
              </w:rPr>
              <w:t>March 31,</w:t>
            </w:r>
          </w:p>
        </w:tc>
        <w:tc>
          <w:tcPr>
            <w:tcW w:w="300" w:type="dxa"/>
            <w:vAlign w:val="bottom"/>
          </w:tcPr>
          <w:p>
            <w:pPr>
              <w:spacing w:after="0"/>
              <w:rPr>
                <w:sz w:val="14"/>
                <w:szCs w:val="14"/>
                <w:color w:val="auto"/>
              </w:rPr>
            </w:pPr>
          </w:p>
        </w:tc>
        <w:tc>
          <w:tcPr>
            <w:tcW w:w="1180" w:type="dxa"/>
            <w:vAlign w:val="bottom"/>
          </w:tcPr>
          <w:p>
            <w:pPr>
              <w:jc w:val="center"/>
              <w:ind w:right="253"/>
              <w:spacing w:after="0"/>
              <w:rPr>
                <w:sz w:val="20"/>
                <w:szCs w:val="20"/>
                <w:color w:val="auto"/>
              </w:rPr>
            </w:pPr>
            <w:r>
              <w:rPr>
                <w:rFonts w:ascii="Arial" w:cs="Arial" w:eastAsia="Arial" w:hAnsi="Arial"/>
                <w:sz w:val="14"/>
                <w:szCs w:val="14"/>
                <w:color w:val="auto"/>
                <w:w w:val="90"/>
              </w:rPr>
              <w:t>December 31,</w:t>
            </w:r>
          </w:p>
        </w:tc>
      </w:tr>
      <w:tr>
        <w:trPr>
          <w:trHeight w:val="188"/>
        </w:trPr>
        <w:tc>
          <w:tcPr>
            <w:tcW w:w="84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color w:val="auto"/>
                <w:w w:val="89"/>
              </w:rPr>
              <w:t>2017</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color w:val="auto"/>
                <w:w w:val="89"/>
              </w:rPr>
              <w:t>2016</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Receivables, gross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8,111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8,622</w:t>
            </w:r>
          </w:p>
        </w:tc>
      </w:tr>
      <w:tr>
        <w:trPr>
          <w:trHeight w:val="270"/>
        </w:trPr>
        <w:tc>
          <w:tcPr>
            <w:tcW w:w="8460" w:type="dxa"/>
            <w:vAlign w:val="bottom"/>
          </w:tcPr>
          <w:p>
            <w:pPr>
              <w:ind w:left="40"/>
              <w:spacing w:after="0"/>
              <w:rPr>
                <w:sz w:val="20"/>
                <w:szCs w:val="20"/>
                <w:color w:val="auto"/>
              </w:rPr>
            </w:pPr>
            <w:r>
              <w:rPr>
                <w:rFonts w:ascii="Arial" w:cs="Arial" w:eastAsia="Arial" w:hAnsi="Arial"/>
                <w:sz w:val="18"/>
                <w:szCs w:val="18"/>
                <w:color w:val="auto"/>
              </w:rPr>
              <w:t>Less: Allowance for returns and customer incentives</w:t>
            </w:r>
          </w:p>
        </w:tc>
        <w:tc>
          <w:tcPr>
            <w:tcW w:w="280" w:type="dxa"/>
            <w:vAlign w:val="bottom"/>
          </w:tcPr>
          <w:p>
            <w:pPr>
              <w:spacing w:after="0"/>
              <w:rPr>
                <w:sz w:val="23"/>
                <w:szCs w:val="23"/>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347</w:t>
            </w:r>
          </w:p>
        </w:tc>
        <w:tc>
          <w:tcPr>
            <w:tcW w:w="30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417</w:t>
            </w:r>
          </w:p>
        </w:tc>
      </w:tr>
      <w:tr>
        <w:trPr>
          <w:trHeight w:val="270"/>
        </w:trPr>
        <w:tc>
          <w:tcPr>
            <w:tcW w:w="8460" w:type="dxa"/>
            <w:vAlign w:val="bottom"/>
          </w:tcPr>
          <w:p>
            <w:pPr>
              <w:ind w:left="40"/>
              <w:spacing w:after="0"/>
              <w:rPr>
                <w:sz w:val="20"/>
                <w:szCs w:val="20"/>
                <w:color w:val="auto"/>
              </w:rPr>
            </w:pPr>
            <w:r>
              <w:rPr>
                <w:rFonts w:ascii="Arial" w:cs="Arial" w:eastAsia="Arial" w:hAnsi="Arial"/>
                <w:sz w:val="18"/>
                <w:szCs w:val="18"/>
                <w:color w:val="auto"/>
              </w:rPr>
              <w:t>Less: Allowance for doubtful accounts</w:t>
            </w:r>
          </w:p>
        </w:tc>
        <w:tc>
          <w:tcPr>
            <w:tcW w:w="280" w:type="dxa"/>
            <w:vAlign w:val="bottom"/>
          </w:tcPr>
          <w:p>
            <w:pPr>
              <w:spacing w:after="0"/>
              <w:rPr>
                <w:sz w:val="23"/>
                <w:szCs w:val="23"/>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239</w:t>
            </w:r>
          </w:p>
        </w:tc>
        <w:tc>
          <w:tcPr>
            <w:tcW w:w="30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250</w:t>
            </w:r>
          </w:p>
        </w:tc>
      </w:tr>
      <w:tr>
        <w:trPr>
          <w:trHeight w:val="27"/>
        </w:trPr>
        <w:tc>
          <w:tcPr>
            <w:tcW w:w="8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8460" w:type="dxa"/>
            <w:vAlign w:val="bottom"/>
          </w:tcPr>
          <w:p>
            <w:pPr>
              <w:ind w:left="40"/>
              <w:spacing w:after="0"/>
              <w:rPr>
                <w:sz w:val="20"/>
                <w:szCs w:val="20"/>
                <w:color w:val="auto"/>
              </w:rPr>
            </w:pPr>
            <w:r>
              <w:rPr>
                <w:rFonts w:ascii="Arial" w:cs="Arial" w:eastAsia="Arial" w:hAnsi="Arial"/>
                <w:sz w:val="18"/>
                <w:szCs w:val="18"/>
                <w:b w:val="1"/>
                <w:bCs w:val="1"/>
                <w:color w:val="auto"/>
              </w:rPr>
              <w:t>Receivables, net</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b w:val="1"/>
                <w:bCs w:val="1"/>
                <w:color w:val="auto"/>
              </w:rPr>
              <w:t>7,525</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b w:val="1"/>
                <w:bCs w:val="1"/>
                <w:color w:val="auto"/>
              </w:rPr>
              <w:t>7,955</w:t>
            </w:r>
          </w:p>
        </w:tc>
      </w:tr>
      <w:tr>
        <w:trPr>
          <w:trHeight w:val="34"/>
        </w:trPr>
        <w:tc>
          <w:tcPr>
            <w:tcW w:w="8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405"/>
        </w:trPr>
        <w:tc>
          <w:tcPr>
            <w:tcW w:w="8460" w:type="dxa"/>
            <w:vAlign w:val="bottom"/>
          </w:tcPr>
          <w:p>
            <w:pPr>
              <w:ind w:left="3540"/>
              <w:spacing w:after="0"/>
              <w:rPr>
                <w:sz w:val="20"/>
                <w:szCs w:val="20"/>
                <w:color w:val="auto"/>
              </w:rPr>
            </w:pPr>
            <w:r>
              <w:rPr>
                <w:rFonts w:ascii="Arial" w:cs="Arial" w:eastAsia="Arial" w:hAnsi="Arial"/>
                <w:sz w:val="18"/>
                <w:szCs w:val="18"/>
                <w:b w:val="1"/>
                <w:bCs w:val="1"/>
                <w:color w:val="auto"/>
              </w:rPr>
              <w:t>Accumulated Other Comprehensive Income (Loss)</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59"/>
        </w:trPr>
        <w:tc>
          <w:tcPr>
            <w:tcW w:w="8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center"/>
              <w:ind w:right="214"/>
              <w:spacing w:after="0"/>
              <w:rPr>
                <w:sz w:val="20"/>
                <w:szCs w:val="20"/>
                <w:color w:val="auto"/>
              </w:rPr>
            </w:pPr>
            <w:r>
              <w:rPr>
                <w:rFonts w:ascii="Arial" w:cs="Arial" w:eastAsia="Arial" w:hAnsi="Arial"/>
                <w:sz w:val="14"/>
                <w:szCs w:val="14"/>
                <w:color w:val="auto"/>
                <w:w w:val="93"/>
              </w:rPr>
              <w:t>March 31,</w:t>
            </w:r>
          </w:p>
        </w:tc>
        <w:tc>
          <w:tcPr>
            <w:tcW w:w="300" w:type="dxa"/>
            <w:vAlign w:val="bottom"/>
          </w:tcPr>
          <w:p>
            <w:pPr>
              <w:spacing w:after="0"/>
              <w:rPr>
                <w:sz w:val="24"/>
                <w:szCs w:val="24"/>
                <w:color w:val="auto"/>
              </w:rPr>
            </w:pPr>
          </w:p>
        </w:tc>
        <w:tc>
          <w:tcPr>
            <w:tcW w:w="1180" w:type="dxa"/>
            <w:vAlign w:val="bottom"/>
          </w:tcPr>
          <w:p>
            <w:pPr>
              <w:jc w:val="center"/>
              <w:ind w:right="233"/>
              <w:spacing w:after="0"/>
              <w:rPr>
                <w:sz w:val="20"/>
                <w:szCs w:val="20"/>
                <w:color w:val="auto"/>
              </w:rPr>
            </w:pPr>
            <w:r>
              <w:rPr>
                <w:rFonts w:ascii="Arial" w:cs="Arial" w:eastAsia="Arial" w:hAnsi="Arial"/>
                <w:sz w:val="14"/>
                <w:szCs w:val="14"/>
                <w:color w:val="auto"/>
                <w:w w:val="93"/>
              </w:rPr>
              <w:t>March 31,</w:t>
            </w:r>
          </w:p>
        </w:tc>
      </w:tr>
      <w:tr>
        <w:trPr>
          <w:trHeight w:val="188"/>
        </w:trPr>
        <w:tc>
          <w:tcPr>
            <w:tcW w:w="84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color w:val="auto"/>
                <w:w w:val="89"/>
              </w:rPr>
              <w:t>2017</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color w:val="auto"/>
                <w:w w:val="89"/>
              </w:rPr>
              <w:t>2016</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Unrealized gains (losses) on marketable securities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104</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w:t>
            </w:r>
          </w:p>
        </w:tc>
      </w:tr>
      <w:tr>
        <w:trPr>
          <w:trHeight w:val="270"/>
        </w:trPr>
        <w:tc>
          <w:tcPr>
            <w:tcW w:w="8460" w:type="dxa"/>
            <w:vAlign w:val="bottom"/>
          </w:tcPr>
          <w:p>
            <w:pPr>
              <w:ind w:left="40"/>
              <w:spacing w:after="0"/>
              <w:rPr>
                <w:sz w:val="20"/>
                <w:szCs w:val="20"/>
                <w:color w:val="auto"/>
              </w:rPr>
            </w:pPr>
            <w:r>
              <w:rPr>
                <w:rFonts w:ascii="Arial" w:cs="Arial" w:eastAsia="Arial" w:hAnsi="Arial"/>
                <w:sz w:val="18"/>
                <w:szCs w:val="18"/>
                <w:color w:val="auto"/>
              </w:rPr>
              <w:t>Deferred gains (losses) on cash flow hedges</w:t>
            </w:r>
          </w:p>
        </w:tc>
        <w:tc>
          <w:tcPr>
            <w:tcW w:w="2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0"/>
        </w:trPr>
        <w:tc>
          <w:tcPr>
            <w:tcW w:w="8460" w:type="dxa"/>
            <w:vAlign w:val="bottom"/>
          </w:tcPr>
          <w:p>
            <w:pPr>
              <w:ind w:left="40"/>
              <w:spacing w:after="0"/>
              <w:rPr>
                <w:sz w:val="20"/>
                <w:szCs w:val="20"/>
                <w:color w:val="auto"/>
              </w:rPr>
            </w:pPr>
            <w:r>
              <w:rPr>
                <w:rFonts w:ascii="Arial" w:cs="Arial" w:eastAsia="Arial" w:hAnsi="Arial"/>
                <w:sz w:val="18"/>
                <w:szCs w:val="18"/>
                <w:color w:val="auto"/>
              </w:rPr>
              <w:t>Unrecognized gains (losses) on employee benefit obligations</w:t>
            </w:r>
          </w:p>
        </w:tc>
        <w:tc>
          <w:tcPr>
            <w:tcW w:w="280" w:type="dxa"/>
            <w:vAlign w:val="bottom"/>
          </w:tcPr>
          <w:p>
            <w:pPr>
              <w:spacing w:after="0"/>
              <w:rPr>
                <w:sz w:val="23"/>
                <w:szCs w:val="23"/>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282</w:t>
            </w:r>
          </w:p>
        </w:tc>
        <w:tc>
          <w:tcPr>
            <w:tcW w:w="30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8</w:t>
            </w:r>
          </w:p>
        </w:tc>
      </w:tr>
      <w:tr>
        <w:trPr>
          <w:trHeight w:val="270"/>
        </w:trPr>
        <w:tc>
          <w:tcPr>
            <w:tcW w:w="8460" w:type="dxa"/>
            <w:vAlign w:val="bottom"/>
          </w:tcPr>
          <w:p>
            <w:pPr>
              <w:ind w:left="40"/>
              <w:spacing w:after="0"/>
              <w:rPr>
                <w:sz w:val="20"/>
                <w:szCs w:val="20"/>
                <w:color w:val="auto"/>
              </w:rPr>
            </w:pPr>
            <w:r>
              <w:rPr>
                <w:rFonts w:ascii="Arial" w:cs="Arial" w:eastAsia="Arial" w:hAnsi="Arial"/>
                <w:sz w:val="18"/>
                <w:szCs w:val="18"/>
                <w:color w:val="auto"/>
              </w:rPr>
              <w:t>Cumulative translation adjustments</w:t>
            </w:r>
          </w:p>
        </w:tc>
        <w:tc>
          <w:tcPr>
            <w:tcW w:w="2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w:t>
            </w: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8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8460" w:type="dxa"/>
            <w:vAlign w:val="bottom"/>
          </w:tcPr>
          <w:p>
            <w:pPr>
              <w:ind w:left="40"/>
              <w:spacing w:after="0"/>
              <w:rPr>
                <w:sz w:val="20"/>
                <w:szCs w:val="20"/>
                <w:color w:val="auto"/>
              </w:rPr>
            </w:pPr>
            <w:r>
              <w:rPr>
                <w:rFonts w:ascii="Arial" w:cs="Arial" w:eastAsia="Arial" w:hAnsi="Arial"/>
                <w:sz w:val="18"/>
                <w:szCs w:val="18"/>
                <w:b w:val="1"/>
                <w:bCs w:val="1"/>
                <w:color w:val="auto"/>
              </w:rPr>
              <w:t>Accumulated other comprehensive income (loss), net of deferred taxes</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b w:val="1"/>
                <w:bCs w:val="1"/>
                <w:color w:val="auto"/>
              </w:rPr>
              <w:t>342</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(84)</w:t>
            </w:r>
          </w:p>
        </w:tc>
      </w:tr>
      <w:tr>
        <w:trPr>
          <w:trHeight w:val="34"/>
        </w:trPr>
        <w:tc>
          <w:tcPr>
            <w:tcW w:w="8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405"/>
        </w:trPr>
        <w:tc>
          <w:tcPr>
            <w:tcW w:w="8460" w:type="dxa"/>
            <w:vAlign w:val="bottom"/>
          </w:tcPr>
          <w:p>
            <w:pPr>
              <w:ind w:left="3900"/>
              <w:spacing w:after="0"/>
              <w:rPr>
                <w:sz w:val="20"/>
                <w:szCs w:val="20"/>
                <w:color w:val="auto"/>
              </w:rPr>
            </w:pPr>
            <w:r>
              <w:rPr>
                <w:rFonts w:ascii="Arial" w:cs="Arial" w:eastAsia="Arial" w:hAnsi="Arial"/>
                <w:sz w:val="18"/>
                <w:szCs w:val="18"/>
                <w:b w:val="1"/>
                <w:bCs w:val="1"/>
                <w:color w:val="auto"/>
              </w:rPr>
              <w:t>Net Cash Provided by Operating Activities</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59"/>
        </w:trPr>
        <w:tc>
          <w:tcPr>
            <w:tcW w:w="8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80" w:type="dxa"/>
            <w:vAlign w:val="bottom"/>
            <w:gridSpan w:val="3"/>
          </w:tcPr>
          <w:p>
            <w:pPr>
              <w:jc w:val="right"/>
              <w:ind w:right="773"/>
              <w:spacing w:after="0"/>
              <w:rPr>
                <w:sz w:val="20"/>
                <w:szCs w:val="20"/>
                <w:color w:val="auto"/>
              </w:rPr>
            </w:pPr>
            <w:r>
              <w:rPr>
                <w:rFonts w:ascii="Arial" w:cs="Arial" w:eastAsia="Arial" w:hAnsi="Arial"/>
                <w:sz w:val="14"/>
                <w:szCs w:val="14"/>
                <w:color w:val="auto"/>
              </w:rPr>
              <w:t>Three Months Ended</w:t>
            </w:r>
          </w:p>
        </w:tc>
      </w:tr>
      <w:tr>
        <w:trPr>
          <w:trHeight w:val="188"/>
        </w:trPr>
        <w:tc>
          <w:tcPr>
            <w:tcW w:w="84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March 31</w:t>
            </w:r>
          </w:p>
        </w:tc>
        <w:tc>
          <w:tcPr>
            <w:tcW w:w="1180" w:type="dxa"/>
            <w:vAlign w:val="bottom"/>
            <w:tcBorders>
              <w:bottom w:val="single" w:sz="8" w:color="auto"/>
            </w:tcBorders>
          </w:tcPr>
          <w:p>
            <w:pPr>
              <w:spacing w:after="0"/>
              <w:rPr>
                <w:sz w:val="16"/>
                <w:szCs w:val="16"/>
                <w:color w:val="auto"/>
              </w:rPr>
            </w:pPr>
          </w:p>
        </w:tc>
      </w:tr>
      <w:tr>
        <w:trPr>
          <w:trHeight w:val="196"/>
        </w:trPr>
        <w:tc>
          <w:tcPr>
            <w:tcW w:w="84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color w:val="auto"/>
                <w:w w:val="89"/>
              </w:rPr>
              <w:t>2017</w:t>
            </w: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color w:val="auto"/>
                <w:w w:val="89"/>
              </w:rPr>
              <w:t>2016</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2,647</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2,224</w:t>
            </w:r>
          </w:p>
        </w:tc>
      </w:tr>
      <w:tr>
        <w:trPr>
          <w:trHeight w:val="270"/>
        </w:trPr>
        <w:tc>
          <w:tcPr>
            <w:tcW w:w="8460" w:type="dxa"/>
            <w:vAlign w:val="bottom"/>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70"/>
        </w:trPr>
        <w:tc>
          <w:tcPr>
            <w:tcW w:w="84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3"/>
                <w:szCs w:val="23"/>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2,502</w:t>
            </w:r>
          </w:p>
        </w:tc>
        <w:tc>
          <w:tcPr>
            <w:tcW w:w="30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2,278</w:t>
            </w:r>
          </w:p>
        </w:tc>
      </w:tr>
      <w:tr>
        <w:trPr>
          <w:trHeight w:val="270"/>
        </w:trPr>
        <w:tc>
          <w:tcPr>
            <w:tcW w:w="8460" w:type="dxa"/>
            <w:vAlign w:val="bottom"/>
          </w:tcPr>
          <w:p>
            <w:pPr>
              <w:ind w:left="380"/>
              <w:spacing w:after="0"/>
              <w:rPr>
                <w:sz w:val="20"/>
                <w:szCs w:val="20"/>
                <w:color w:val="auto"/>
              </w:rPr>
            </w:pPr>
            <w:r>
              <w:rPr>
                <w:rFonts w:ascii="Arial" w:cs="Arial" w:eastAsia="Arial" w:hAnsi="Arial"/>
                <w:sz w:val="18"/>
                <w:szCs w:val="18"/>
                <w:color w:val="auto"/>
              </w:rPr>
              <w:t>Share-based compensation</w:t>
            </w:r>
          </w:p>
        </w:tc>
        <w:tc>
          <w:tcPr>
            <w:tcW w:w="280" w:type="dxa"/>
            <w:vAlign w:val="bottom"/>
          </w:tcPr>
          <w:p>
            <w:pPr>
              <w:spacing w:after="0"/>
              <w:rPr>
                <w:sz w:val="23"/>
                <w:szCs w:val="23"/>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173</w:t>
            </w:r>
          </w:p>
        </w:tc>
        <w:tc>
          <w:tcPr>
            <w:tcW w:w="30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153</w:t>
            </w:r>
          </w:p>
        </w:tc>
      </w:tr>
      <w:tr>
        <w:trPr>
          <w:trHeight w:val="270"/>
        </w:trPr>
        <w:tc>
          <w:tcPr>
            <w:tcW w:w="8460" w:type="dxa"/>
            <w:vAlign w:val="bottom"/>
          </w:tcPr>
          <w:p>
            <w:pPr>
              <w:ind w:left="380"/>
              <w:spacing w:after="0"/>
              <w:rPr>
                <w:sz w:val="20"/>
                <w:szCs w:val="20"/>
                <w:color w:val="auto"/>
              </w:rPr>
            </w:pPr>
            <w:r>
              <w:rPr>
                <w:rFonts w:ascii="Arial" w:cs="Arial" w:eastAsia="Arial" w:hAnsi="Arial"/>
                <w:sz w:val="18"/>
                <w:szCs w:val="18"/>
                <w:color w:val="auto"/>
              </w:rPr>
              <w:t>Noncash interest expense (income), net</w:t>
            </w:r>
          </w:p>
        </w:tc>
        <w:tc>
          <w:tcPr>
            <w:tcW w:w="280" w:type="dxa"/>
            <w:vAlign w:val="bottom"/>
          </w:tcPr>
          <w:p>
            <w:pPr>
              <w:spacing w:after="0"/>
              <w:rPr>
                <w:sz w:val="23"/>
                <w:szCs w:val="23"/>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58</w:t>
            </w:r>
          </w:p>
        </w:tc>
        <w:tc>
          <w:tcPr>
            <w:tcW w:w="30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55</w:t>
            </w:r>
          </w:p>
        </w:tc>
      </w:tr>
      <w:tr>
        <w:trPr>
          <w:trHeight w:val="270"/>
        </w:trPr>
        <w:tc>
          <w:tcPr>
            <w:tcW w:w="8460" w:type="dxa"/>
            <w:vAlign w:val="bottom"/>
          </w:tcPr>
          <w:p>
            <w:pPr>
              <w:ind w:left="380"/>
              <w:spacing w:after="0"/>
              <w:rPr>
                <w:sz w:val="20"/>
                <w:szCs w:val="20"/>
                <w:color w:val="auto"/>
              </w:rPr>
            </w:pPr>
            <w:r>
              <w:rPr>
                <w:rFonts w:ascii="Arial" w:cs="Arial" w:eastAsia="Arial" w:hAnsi="Arial"/>
                <w:sz w:val="18"/>
                <w:szCs w:val="18"/>
                <w:color w:val="auto"/>
              </w:rPr>
              <w:t>Equity in net (income) losses of investees, net</w:t>
            </w:r>
          </w:p>
        </w:tc>
        <w:tc>
          <w:tcPr>
            <w:tcW w:w="2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11</w:t>
            </w:r>
          </w:p>
        </w:tc>
      </w:tr>
      <w:tr>
        <w:trPr>
          <w:trHeight w:val="270"/>
        </w:trPr>
        <w:tc>
          <w:tcPr>
            <w:tcW w:w="8460" w:type="dxa"/>
            <w:vAlign w:val="bottom"/>
          </w:tcPr>
          <w:p>
            <w:pPr>
              <w:ind w:left="380"/>
              <w:spacing w:after="0"/>
              <w:rPr>
                <w:sz w:val="20"/>
                <w:szCs w:val="20"/>
                <w:color w:val="auto"/>
              </w:rPr>
            </w:pPr>
            <w:r>
              <w:rPr>
                <w:rFonts w:ascii="Arial" w:cs="Arial" w:eastAsia="Arial" w:hAnsi="Arial"/>
                <w:sz w:val="18"/>
                <w:szCs w:val="18"/>
                <w:color w:val="auto"/>
              </w:rPr>
              <w:t>Cash received from investees</w:t>
            </w:r>
          </w:p>
        </w:tc>
        <w:tc>
          <w:tcPr>
            <w:tcW w:w="280" w:type="dxa"/>
            <w:vAlign w:val="bottom"/>
          </w:tcPr>
          <w:p>
            <w:pPr>
              <w:spacing w:after="0"/>
              <w:rPr>
                <w:sz w:val="23"/>
                <w:szCs w:val="23"/>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16</w:t>
            </w:r>
          </w:p>
        </w:tc>
      </w:tr>
      <w:tr>
        <w:trPr>
          <w:trHeight w:val="270"/>
        </w:trPr>
        <w:tc>
          <w:tcPr>
            <w:tcW w:w="8460" w:type="dxa"/>
            <w:vAlign w:val="bottom"/>
          </w:tcPr>
          <w:p>
            <w:pPr>
              <w:ind w:left="380"/>
              <w:spacing w:after="0"/>
              <w:rPr>
                <w:sz w:val="20"/>
                <w:szCs w:val="20"/>
                <w:color w:val="auto"/>
              </w:rPr>
            </w:pPr>
            <w:r>
              <w:rPr>
                <w:rFonts w:ascii="Arial" w:cs="Arial" w:eastAsia="Arial" w:hAnsi="Arial"/>
                <w:sz w:val="18"/>
                <w:szCs w:val="18"/>
                <w:color w:val="auto"/>
              </w:rPr>
              <w:t>Net (gain) loss on investment activity and other</w:t>
            </w:r>
          </w:p>
        </w:tc>
        <w:tc>
          <w:tcPr>
            <w:tcW w:w="2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w:t>
            </w: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70"/>
        </w:trPr>
        <w:tc>
          <w:tcPr>
            <w:tcW w:w="846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3"/>
                <w:szCs w:val="23"/>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265</w:t>
            </w:r>
          </w:p>
        </w:tc>
        <w:tc>
          <w:tcPr>
            <w:tcW w:w="30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217</w:t>
            </w:r>
          </w:p>
        </w:tc>
      </w:tr>
      <w:tr>
        <w:trPr>
          <w:trHeight w:val="270"/>
        </w:trPr>
        <w:tc>
          <w:tcPr>
            <w:tcW w:w="846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70"/>
        </w:trPr>
        <w:tc>
          <w:tcPr>
            <w:tcW w:w="8460" w:type="dxa"/>
            <w:vAlign w:val="bottom"/>
          </w:tcPr>
          <w:p>
            <w:pPr>
              <w:ind w:left="380"/>
              <w:spacing w:after="0"/>
              <w:rPr>
                <w:sz w:val="20"/>
                <w:szCs w:val="20"/>
                <w:color w:val="auto"/>
              </w:rPr>
            </w:pPr>
            <w:r>
              <w:rPr>
                <w:rFonts w:ascii="Arial" w:cs="Arial" w:eastAsia="Arial" w:hAnsi="Arial"/>
                <w:sz w:val="18"/>
                <w:szCs w:val="18"/>
                <w:color w:val="auto"/>
              </w:rPr>
              <w:t>Current and noncurrent receivables, net</w:t>
            </w:r>
          </w:p>
        </w:tc>
        <w:tc>
          <w:tcPr>
            <w:tcW w:w="280" w:type="dxa"/>
            <w:vAlign w:val="bottom"/>
          </w:tcPr>
          <w:p>
            <w:pPr>
              <w:spacing w:after="0"/>
              <w:rPr>
                <w:sz w:val="23"/>
                <w:szCs w:val="23"/>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465</w:t>
            </w:r>
          </w:p>
        </w:tc>
        <w:tc>
          <w:tcPr>
            <w:tcW w:w="30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562</w:t>
            </w:r>
          </w:p>
        </w:tc>
      </w:tr>
      <w:tr>
        <w:trPr>
          <w:trHeight w:val="270"/>
        </w:trPr>
        <w:tc>
          <w:tcPr>
            <w:tcW w:w="8460" w:type="dxa"/>
            <w:vAlign w:val="bottom"/>
          </w:tcPr>
          <w:p>
            <w:pPr>
              <w:ind w:left="380"/>
              <w:spacing w:after="0"/>
              <w:rPr>
                <w:sz w:val="20"/>
                <w:szCs w:val="20"/>
                <w:color w:val="auto"/>
              </w:rPr>
            </w:pPr>
            <w:r>
              <w:rPr>
                <w:rFonts w:ascii="Arial" w:cs="Arial" w:eastAsia="Arial" w:hAnsi="Arial"/>
                <w:sz w:val="18"/>
                <w:szCs w:val="18"/>
                <w:color w:val="auto"/>
              </w:rPr>
              <w:t>Film and television costs, net</w:t>
            </w:r>
          </w:p>
        </w:tc>
        <w:tc>
          <w:tcPr>
            <w:tcW w:w="280" w:type="dxa"/>
            <w:vAlign w:val="bottom"/>
          </w:tcPr>
          <w:p>
            <w:pPr>
              <w:spacing w:after="0"/>
              <w:rPr>
                <w:sz w:val="23"/>
                <w:szCs w:val="23"/>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46</w:t>
            </w: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70"/>
        </w:trPr>
        <w:tc>
          <w:tcPr>
            <w:tcW w:w="8460" w:type="dxa"/>
            <w:vAlign w:val="bottom"/>
          </w:tcPr>
          <w:p>
            <w:pPr>
              <w:ind w:left="380"/>
              <w:spacing w:after="0"/>
              <w:rPr>
                <w:sz w:val="20"/>
                <w:szCs w:val="20"/>
                <w:color w:val="auto"/>
              </w:rPr>
            </w:pPr>
            <w:r>
              <w:rPr>
                <w:rFonts w:ascii="Arial" w:cs="Arial" w:eastAsia="Arial" w:hAnsi="Arial"/>
                <w:sz w:val="18"/>
                <w:szCs w:val="18"/>
                <w:color w:val="auto"/>
              </w:rPr>
              <w:t>Accounts payable and accrued expenses related to trade creditors</w:t>
            </w:r>
          </w:p>
        </w:tc>
        <w:tc>
          <w:tcPr>
            <w:tcW w:w="2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(190)</w:t>
            </w:r>
          </w:p>
        </w:tc>
        <w:tc>
          <w:tcPr>
            <w:tcW w:w="30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12</w:t>
            </w:r>
          </w:p>
        </w:tc>
      </w:tr>
      <w:tr>
        <w:trPr>
          <w:trHeight w:val="270"/>
        </w:trPr>
        <w:tc>
          <w:tcPr>
            <w:tcW w:w="8460" w:type="dxa"/>
            <w:vAlign w:val="bottom"/>
          </w:tcPr>
          <w:p>
            <w:pPr>
              <w:ind w:left="380"/>
              <w:spacing w:after="0"/>
              <w:rPr>
                <w:sz w:val="20"/>
                <w:szCs w:val="20"/>
                <w:color w:val="auto"/>
              </w:rPr>
            </w:pPr>
            <w:r>
              <w:rPr>
                <w:rFonts w:ascii="Arial" w:cs="Arial" w:eastAsia="Arial" w:hAnsi="Arial"/>
                <w:sz w:val="18"/>
                <w:szCs w:val="18"/>
                <w:color w:val="auto"/>
              </w:rPr>
              <w:t>Other operating assets and liabilities</w:t>
            </w:r>
          </w:p>
        </w:tc>
        <w:tc>
          <w:tcPr>
            <w:tcW w:w="2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(238)</w:t>
            </w:r>
          </w:p>
        </w:tc>
        <w:tc>
          <w:tcPr>
            <w:tcW w:w="30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77</w:t>
            </w:r>
          </w:p>
        </w:tc>
      </w:tr>
      <w:tr>
        <w:trPr>
          <w:trHeight w:val="27"/>
        </w:trPr>
        <w:tc>
          <w:tcPr>
            <w:tcW w:w="8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846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b w:val="1"/>
                <w:bCs w:val="1"/>
                <w:color w:val="auto"/>
              </w:rPr>
              <w:t>5,656</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b w:val="1"/>
                <w:bCs w:val="1"/>
                <w:color w:val="auto"/>
              </w:rPr>
              <w:t>5,399</w:t>
            </w:r>
          </w:p>
        </w:tc>
      </w:tr>
      <w:tr>
        <w:trPr>
          <w:trHeight w:val="34"/>
        </w:trPr>
        <w:tc>
          <w:tcPr>
            <w:tcW w:w="8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1" w:right="2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Cash Payments for Interest and Income Taxes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0" w:type="dxa"/>
            <w:vAlign w:val="bottom"/>
            <w:gridSpan w:val="2"/>
          </w:tcPr>
          <w:p>
            <w:pPr>
              <w:jc w:val="right"/>
              <w:ind w:right="296"/>
              <w:spacing w:after="0"/>
              <w:rPr>
                <w:sz w:val="20"/>
                <w:szCs w:val="20"/>
                <w:color w:val="auto"/>
              </w:rPr>
            </w:pPr>
            <w:r>
              <w:rPr>
                <w:rFonts w:ascii="Arial" w:cs="Arial" w:eastAsia="Arial" w:hAnsi="Arial"/>
                <w:sz w:val="14"/>
                <w:szCs w:val="14"/>
                <w:color w:val="auto"/>
                <w:w w:val="91"/>
              </w:rPr>
              <w:t>Three Months Ended</w:t>
            </w:r>
          </w:p>
        </w:tc>
        <w:tc>
          <w:tcPr>
            <w:tcW w:w="480" w:type="dxa"/>
            <w:vAlign w:val="bottom"/>
          </w:tcPr>
          <w:p>
            <w:pPr>
              <w:spacing w:after="0"/>
              <w:rPr>
                <w:sz w:val="14"/>
                <w:szCs w:val="14"/>
                <w:color w:val="auto"/>
              </w:rPr>
            </w:pPr>
          </w:p>
        </w:tc>
      </w:tr>
      <w:tr>
        <w:trPr>
          <w:trHeight w:val="188"/>
        </w:trPr>
        <w:tc>
          <w:tcPr>
            <w:tcW w:w="84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right"/>
              <w:ind w:right="616"/>
              <w:spacing w:after="0"/>
              <w:rPr>
                <w:sz w:val="20"/>
                <w:szCs w:val="20"/>
                <w:color w:val="auto"/>
              </w:rPr>
            </w:pPr>
            <w:r>
              <w:rPr>
                <w:rFonts w:ascii="Arial" w:cs="Arial" w:eastAsia="Arial" w:hAnsi="Arial"/>
                <w:sz w:val="14"/>
                <w:szCs w:val="14"/>
                <w:color w:val="auto"/>
              </w:rPr>
              <w:t>March 31</w:t>
            </w:r>
          </w:p>
        </w:tc>
        <w:tc>
          <w:tcPr>
            <w:tcW w:w="480" w:type="dxa"/>
            <w:vAlign w:val="bottom"/>
            <w:tcBorders>
              <w:bottom w:val="single" w:sz="8" w:color="auto"/>
            </w:tcBorders>
          </w:tcPr>
          <w:p>
            <w:pPr>
              <w:spacing w:after="0"/>
              <w:rPr>
                <w:sz w:val="16"/>
                <w:szCs w:val="16"/>
                <w:color w:val="auto"/>
              </w:rPr>
            </w:pPr>
          </w:p>
        </w:tc>
      </w:tr>
      <w:tr>
        <w:trPr>
          <w:trHeight w:val="196"/>
        </w:trPr>
        <w:tc>
          <w:tcPr>
            <w:tcW w:w="84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w:t>
            </w:r>
          </w:p>
        </w:tc>
        <w:tc>
          <w:tcPr>
            <w:tcW w:w="5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2016</w:t>
            </w:r>
          </w:p>
        </w:tc>
        <w:tc>
          <w:tcPr>
            <w:tcW w:w="480" w:type="dxa"/>
            <w:vAlign w:val="bottom"/>
            <w:tcBorders>
              <w:bottom w:val="single" w:sz="8" w:color="auto"/>
            </w:tcBorders>
          </w:tcPr>
          <w:p>
            <w:pPr>
              <w:spacing w:after="0"/>
              <w:rPr>
                <w:sz w:val="17"/>
                <w:szCs w:val="17"/>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Interest</w:t>
            </w: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895</w:t>
            </w:r>
          </w:p>
        </w:tc>
        <w:tc>
          <w:tcPr>
            <w:tcW w:w="1040" w:type="dxa"/>
            <w:vAlign w:val="bottom"/>
          </w:tcPr>
          <w:p>
            <w:pPr>
              <w:jc w:val="right"/>
              <w:ind w:right="796"/>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723</w:t>
            </w:r>
          </w:p>
        </w:tc>
      </w:tr>
      <w:tr>
        <w:trPr>
          <w:trHeight w:val="270"/>
        </w:trPr>
        <w:tc>
          <w:tcPr>
            <w:tcW w:w="846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132</w:t>
            </w:r>
          </w:p>
        </w:tc>
        <w:tc>
          <w:tcPr>
            <w:tcW w:w="1040" w:type="dxa"/>
            <w:vAlign w:val="bottom"/>
          </w:tcPr>
          <w:p>
            <w:pPr>
              <w:jc w:val="right"/>
              <w:ind w:right="796"/>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190</w:t>
            </w:r>
          </w:p>
        </w:tc>
      </w:tr>
      <w:tr>
        <w:trPr>
          <w:trHeight w:val="27"/>
        </w:trPr>
        <w:tc>
          <w:tcPr>
            <w:tcW w:w="8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Investing and Financing Activities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2017:</w:t>
      </w:r>
    </w:p>
    <w:p>
      <w:pPr>
        <w:spacing w:after="0" w:line="7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acquired $1.2 billion of property and equipment and intangible assets that were accrued but unpaid</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recorded a liability of $747 million for a quarterly cash dividend of $0.1575 per common share to be paid in April 2017</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Redeemable Subsidiary Preferred Stock</w:t>
      </w:r>
    </w:p>
    <w:p>
      <w:pPr>
        <w:spacing w:after="0" w:line="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March 31, 2017, the fair value of the NBCUniversal Enterprise redeemable subsidiary preferred stock was $763 million. The estimated fair value is based on Level 2 inputs that use pricing models whose inputs are derived primarily from or corroborated by observable market data through correlation or other means for substantially the full term of the financial instrument.</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8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a defendant in a lawsuit filed in December 2011 by Sprint Communications Company L.P. (“Sprint”) in the United States District Court for the District of Kansas. Sprint’s initial complaint alleged that Comcast Digital Voice and XFINITY Voice infringe twelve Sprint patents covering various aspects of a telecommunications system. In March 2015, Sprint withdrew its allegations of infringement for two of the patents. In December 2016, the Court granted summary judgment for Comcast with respect to non-infringement of one of the patents and granted summary judgment for Sprint of one of the patents as to infringement, but not as to the patent’s validity, with respect to some but not all of Comcast’s accused telecommunications systems. In January 2017, the Court entered judgment in favor of Comcast on Sprint’s claims for infringement of two of the patents. In March 2017, Sprint indicated that it would not proceed to trial on three of the patents. Trial with respect to the four remaining patents, including the patent for which the Court granted partial summary judgment to Sprint, is set to begin in late October 2017. Sprint seeks approximately $950 million in damages, plus pre-judgment interest. Sprint has further indicated that it may seek to add an allegation that Comcast willfully infringed Sprint’s patents and should be subject to increased damages, which could as much as triple the amount of any damages awarded.</w:t>
      </w:r>
    </w:p>
    <w:p>
      <w:pPr>
        <w:spacing w:after="0" w:line="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the claims in the Sprint lawsuit are without merit and are defending the action vigorously. We cannot predict the outcome of the Sprint lawsuit, estimate a range of possible loss or determine how the final resolution of the action would affect our results of operations or cash flows for any one period or our consolidated financial position. In addition, as any action nears a trial, there is an increased possibility that the action may be settled by the parties. Nevertheless, we do not expect the final disposition of the Sprint lawsuit to have a material adverse effect on our consolidated financial position, but it could be material to our consolidated results of operations or cash flows for any one period.</w:t>
      </w:r>
    </w:p>
    <w:p>
      <w:pPr>
        <w:spacing w:after="0" w:line="4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also are a defendant in several unrelated lawsuits claiming infringement of various patents relating to various aspects of our businesses. In certain of these cases, other industry participants are also defendants, and also in certain of these cases, we expect that any potential liability would be in part or in whole the responsibility of our equipment and technology vendors under applicable contractual indemnification provisions, including the Sprint lawsuit above. In addition, we are subject to other legal proceedings and claims that arise in the ordinary course of our business. While the amount of ultimate liability with respect to such actions is not expected to materially affect our results of operations, cash flows or financial position, any litigation resulting from any such legal proceedings or claims could be time-consuming and injure our reputation.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Financial Data by Business Segment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We present our operations in five reportable business segments:</w:t>
      </w:r>
    </w:p>
    <w:p>
      <w:pPr>
        <w:spacing w:after="0" w:line="73" w:lineRule="exact"/>
        <w:rPr>
          <w:sz w:val="20"/>
          <w:szCs w:val="20"/>
          <w:color w:val="auto"/>
        </w:rPr>
      </w:pPr>
    </w:p>
    <w:p>
      <w:pPr>
        <w:jc w:val="both"/>
        <w:ind w:left="660" w:hanging="328"/>
        <w:spacing w:after="0" w:line="26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Cable Communications: </w:t>
      </w:r>
      <w:r>
        <w:rPr>
          <w:rFonts w:ascii="Arial" w:cs="Arial" w:eastAsia="Arial" w:hAnsi="Arial"/>
          <w:sz w:val="18"/>
          <w:szCs w:val="18"/>
          <w:color w:val="auto"/>
        </w:rPr>
        <w:t>Consists of the operations of Comcast Cable, which is one of the nation’s largest providers of video, high-speed Internet,</w:t>
      </w:r>
      <w:r>
        <w:rPr>
          <w:rFonts w:ascii="Arial" w:cs="Arial" w:eastAsia="Arial" w:hAnsi="Arial"/>
          <w:sz w:val="18"/>
          <w:szCs w:val="18"/>
          <w:b w:val="1"/>
          <w:bCs w:val="1"/>
          <w:color w:val="auto"/>
        </w:rPr>
        <w:t xml:space="preserve"> </w:t>
      </w:r>
      <w:r>
        <w:rPr>
          <w:rFonts w:ascii="Arial" w:cs="Arial" w:eastAsia="Arial" w:hAnsi="Arial"/>
          <w:sz w:val="18"/>
          <w:szCs w:val="18"/>
          <w:color w:val="auto"/>
        </w:rPr>
        <w:t>voice, and security and automation services to residential customers under the XFINITY brand; we also provide these and other services to business customers and sell advertising.</w:t>
      </w:r>
    </w:p>
    <w:p>
      <w:pPr>
        <w:spacing w:after="0" w:line="27"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Cable Networks: </w:t>
      </w:r>
      <w:r>
        <w:rPr>
          <w:rFonts w:ascii="Arial" w:cs="Arial" w:eastAsia="Arial" w:hAnsi="Arial"/>
          <w:sz w:val="18"/>
          <w:szCs w:val="18"/>
          <w:color w:val="auto"/>
        </w:rPr>
        <w:t>Consists primarily of our national cable networks, our regional sports and news networks, our international cable networks, and</w:t>
      </w:r>
      <w:r>
        <w:rPr>
          <w:rFonts w:ascii="Arial" w:cs="Arial" w:eastAsia="Arial" w:hAnsi="Arial"/>
          <w:sz w:val="18"/>
          <w:szCs w:val="18"/>
          <w:b w:val="1"/>
          <w:bCs w:val="1"/>
          <w:color w:val="auto"/>
        </w:rPr>
        <w:t xml:space="preserve"> </w:t>
      </w:r>
      <w:r>
        <w:rPr>
          <w:rFonts w:ascii="Arial" w:cs="Arial" w:eastAsia="Arial" w:hAnsi="Arial"/>
          <w:sz w:val="18"/>
          <w:szCs w:val="18"/>
          <w:color w:val="auto"/>
        </w:rPr>
        <w:t>our cable television studio production operations.</w:t>
      </w:r>
    </w:p>
    <w:p>
      <w:pPr>
        <w:spacing w:after="0" w:line="13"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Broadcast Television: </w:t>
      </w:r>
      <w:r>
        <w:rPr>
          <w:rFonts w:ascii="Arial" w:cs="Arial" w:eastAsia="Arial" w:hAnsi="Arial"/>
          <w:sz w:val="18"/>
          <w:szCs w:val="18"/>
          <w:color w:val="auto"/>
        </w:rPr>
        <w:t>Consists primarily of the NBC and Telemundo broadcast networks, our NBC and Telemundo owned local broadcast</w:t>
      </w:r>
      <w:r>
        <w:rPr>
          <w:rFonts w:ascii="Arial" w:cs="Arial" w:eastAsia="Arial" w:hAnsi="Arial"/>
          <w:sz w:val="18"/>
          <w:szCs w:val="18"/>
          <w:b w:val="1"/>
          <w:bCs w:val="1"/>
          <w:color w:val="auto"/>
        </w:rPr>
        <w:t xml:space="preserve"> </w:t>
      </w:r>
      <w:r>
        <w:rPr>
          <w:rFonts w:ascii="Arial" w:cs="Arial" w:eastAsia="Arial" w:hAnsi="Arial"/>
          <w:sz w:val="18"/>
          <w:szCs w:val="18"/>
          <w:color w:val="auto"/>
        </w:rPr>
        <w:t>television stations, the NBC Universo national cable network, and our broadcast television studio production operations.</w:t>
      </w:r>
    </w:p>
    <w:p>
      <w:pPr>
        <w:spacing w:after="0" w:line="13" w:lineRule="exact"/>
        <w:rPr>
          <w:rFonts w:ascii="Arial" w:cs="Arial" w:eastAsia="Arial" w:hAnsi="Arial"/>
          <w:sz w:val="18"/>
          <w:szCs w:val="18"/>
          <w:color w:val="auto"/>
        </w:rPr>
      </w:pPr>
    </w:p>
    <w:p>
      <w:pPr>
        <w:ind w:left="660" w:hanging="328"/>
        <w:spacing w:after="0" w:line="306"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Filmed Entertainment: </w:t>
      </w:r>
      <w:r>
        <w:rPr>
          <w:rFonts w:ascii="Arial" w:cs="Arial" w:eastAsia="Arial" w:hAnsi="Arial"/>
          <w:sz w:val="17"/>
          <w:szCs w:val="17"/>
          <w:color w:val="auto"/>
        </w:rPr>
        <w:t>Consists primarily of the operations of Universal Pictures, which produces, acquires, markets and distributes filmed</w:t>
      </w:r>
      <w:r>
        <w:rPr>
          <w:rFonts w:ascii="Arial" w:cs="Arial" w:eastAsia="Arial" w:hAnsi="Arial"/>
          <w:sz w:val="17"/>
          <w:szCs w:val="17"/>
          <w:b w:val="1"/>
          <w:bCs w:val="1"/>
          <w:color w:val="auto"/>
        </w:rPr>
        <w:t xml:space="preserve"> </w:t>
      </w:r>
      <w:r>
        <w:rPr>
          <w:rFonts w:ascii="Arial" w:cs="Arial" w:eastAsia="Arial" w:hAnsi="Arial"/>
          <w:sz w:val="17"/>
          <w:szCs w:val="17"/>
          <w:color w:val="auto"/>
        </w:rPr>
        <w:t>entertainment worldwide; our films are also produced under the Illumination, Focus Features and DreamWorks Animation names.</w:t>
      </w:r>
    </w:p>
    <w:p>
      <w:pPr>
        <w:spacing w:after="0" w:line="1"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Theme Parks: </w:t>
      </w:r>
      <w:r>
        <w:rPr>
          <w:rFonts w:ascii="Arial" w:cs="Arial" w:eastAsia="Arial" w:hAnsi="Arial"/>
          <w:sz w:val="18"/>
          <w:szCs w:val="18"/>
          <w:color w:val="auto"/>
        </w:rPr>
        <w:t>Consists primarily of our Universal theme parks in Orlando, Florida; Hollywood, California; and Osaka, Japan.</w:t>
      </w:r>
    </w:p>
    <w:p>
      <w:pPr>
        <w:spacing w:after="0" w:line="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use Adjusted EBITDA (formerly operating income before depreciation and amortization) to evaluate the profitability of our operating segments and the components of net income attributable to Comcast Corporation below Adjusted EBITDA are not separately evaluated by our management. Our financial data by business segment is presented in the tables below.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8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3"/>
          </w:tcPr>
          <w:p>
            <w:pPr>
              <w:jc w:val="right"/>
              <w:ind w:right="71"/>
              <w:spacing w:after="0"/>
              <w:rPr>
                <w:sz w:val="20"/>
                <w:szCs w:val="20"/>
                <w:color w:val="auto"/>
              </w:rPr>
            </w:pPr>
            <w:r>
              <w:rPr>
                <w:rFonts w:ascii="Arial" w:cs="Arial" w:eastAsia="Arial" w:hAnsi="Arial"/>
                <w:sz w:val="14"/>
                <w:szCs w:val="14"/>
                <w:color w:val="auto"/>
                <w:w w:val="94"/>
              </w:rPr>
              <w:t>Three Months Ended March 31, 2017</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56"/>
        </w:trPr>
        <w:tc>
          <w:tcPr>
            <w:tcW w:w="3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spacing w:after="0" w:line="157" w:lineRule="exact"/>
              <w:rPr>
                <w:sz w:val="20"/>
                <w:szCs w:val="20"/>
                <w:color w:val="auto"/>
              </w:rPr>
            </w:pPr>
            <w:r>
              <w:rPr>
                <w:rFonts w:ascii="Arial" w:cs="Arial" w:eastAsia="Arial" w:hAnsi="Arial"/>
                <w:sz w:val="14"/>
                <w:szCs w:val="14"/>
                <w:color w:val="auto"/>
                <w:w w:val="92"/>
              </w:rPr>
              <w:t>Depreciation and</w:t>
            </w:r>
          </w:p>
        </w:tc>
        <w:tc>
          <w:tcPr>
            <w:tcW w:w="128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93"/>
              </w:rPr>
              <w:t>Operating Income</w:t>
            </w:r>
          </w:p>
        </w:tc>
        <w:tc>
          <w:tcPr>
            <w:tcW w:w="200" w:type="dxa"/>
            <w:vAlign w:val="bottom"/>
          </w:tcPr>
          <w:p>
            <w:pPr>
              <w:spacing w:after="0"/>
              <w:rPr>
                <w:sz w:val="13"/>
                <w:szCs w:val="13"/>
                <w:color w:val="auto"/>
              </w:rPr>
            </w:pPr>
          </w:p>
        </w:tc>
        <w:tc>
          <w:tcPr>
            <w:tcW w:w="1020" w:type="dxa"/>
            <w:vAlign w:val="bottom"/>
          </w:tcPr>
          <w:p>
            <w:pPr>
              <w:jc w:val="center"/>
              <w:ind w:right="73"/>
              <w:spacing w:after="0" w:line="157" w:lineRule="exact"/>
              <w:rPr>
                <w:sz w:val="20"/>
                <w:szCs w:val="20"/>
                <w:color w:val="auto"/>
              </w:rPr>
            </w:pPr>
            <w:r>
              <w:rPr>
                <w:rFonts w:ascii="Arial" w:cs="Arial" w:eastAsia="Arial" w:hAnsi="Arial"/>
                <w:sz w:val="14"/>
                <w:szCs w:val="14"/>
                <w:color w:val="auto"/>
                <w:w w:val="96"/>
              </w:rPr>
              <w:t>Capital</w:t>
            </w:r>
          </w:p>
        </w:tc>
        <w:tc>
          <w:tcPr>
            <w:tcW w:w="160" w:type="dxa"/>
            <w:vAlign w:val="bottom"/>
          </w:tcPr>
          <w:p>
            <w:pPr>
              <w:spacing w:after="0"/>
              <w:rPr>
                <w:sz w:val="13"/>
                <w:szCs w:val="13"/>
                <w:color w:val="auto"/>
              </w:rPr>
            </w:pPr>
          </w:p>
        </w:tc>
        <w:tc>
          <w:tcPr>
            <w:tcW w:w="1140" w:type="dxa"/>
            <w:vAlign w:val="bottom"/>
          </w:tcPr>
          <w:p>
            <w:pPr>
              <w:jc w:val="center"/>
              <w:ind w:right="33"/>
              <w:spacing w:after="0" w:line="157" w:lineRule="exact"/>
              <w:rPr>
                <w:sz w:val="20"/>
                <w:szCs w:val="20"/>
                <w:color w:val="auto"/>
              </w:rPr>
            </w:pPr>
            <w:r>
              <w:rPr>
                <w:rFonts w:ascii="Arial" w:cs="Arial" w:eastAsia="Arial" w:hAnsi="Arial"/>
                <w:sz w:val="14"/>
                <w:szCs w:val="14"/>
                <w:color w:val="auto"/>
                <w:w w:val="91"/>
              </w:rPr>
              <w:t>Cash Paid for</w:t>
            </w:r>
          </w:p>
        </w:tc>
      </w:tr>
      <w:tr>
        <w:trPr>
          <w:trHeight w:val="188"/>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rPr>
              <w:t>Revenue</w:t>
            </w:r>
            <w:r>
              <w:rPr>
                <w:rFonts w:ascii="Arial" w:cs="Arial" w:eastAsia="Arial" w:hAnsi="Arial"/>
                <w:sz w:val="8"/>
                <w:szCs w:val="8"/>
                <w:color w:val="auto"/>
              </w:rPr>
              <w:t>(e)</w:t>
            </w: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Adjusted EBITDA</w:t>
            </w:r>
            <w:r>
              <w:rPr>
                <w:rFonts w:ascii="Arial" w:cs="Arial" w:eastAsia="Arial" w:hAnsi="Arial"/>
                <w:sz w:val="8"/>
                <w:szCs w:val="8"/>
                <w:color w:val="auto"/>
              </w:rPr>
              <w:t>(f)</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color w:val="auto"/>
                <w:w w:val="97"/>
              </w:rPr>
              <w:t>Amortization</w:t>
            </w: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91"/>
              <w:spacing w:after="0"/>
              <w:rPr>
                <w:sz w:val="20"/>
                <w:szCs w:val="20"/>
                <w:color w:val="auto"/>
              </w:rPr>
            </w:pPr>
            <w:r>
              <w:rPr>
                <w:rFonts w:ascii="Arial" w:cs="Arial" w:eastAsia="Arial" w:hAnsi="Arial"/>
                <w:sz w:val="14"/>
                <w:szCs w:val="14"/>
                <w:color w:val="auto"/>
                <w:w w:val="92"/>
              </w:rPr>
              <w:t>(Loss)</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color w:val="auto"/>
                <w:w w:val="92"/>
              </w:rPr>
              <w:t>Expenditures</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color w:val="auto"/>
                <w:w w:val="91"/>
              </w:rPr>
              <w:t>Intangible Assets</w:t>
            </w:r>
          </w:p>
        </w:tc>
      </w:tr>
      <w:tr>
        <w:trPr>
          <w:trHeight w:val="282"/>
        </w:trPr>
        <w:tc>
          <w:tcPr>
            <w:tcW w:w="3880" w:type="dxa"/>
            <w:vAlign w:val="bottom"/>
          </w:tcPr>
          <w:p>
            <w:pPr>
              <w:ind w:left="40"/>
              <w:spacing w:after="0" w:line="282" w:lineRule="exact"/>
              <w:rPr>
                <w:sz w:val="20"/>
                <w:szCs w:val="20"/>
                <w:color w:val="auto"/>
              </w:rPr>
            </w:pPr>
            <w:r>
              <w:rPr>
                <w:rFonts w:ascii="Arial" w:cs="Arial" w:eastAsia="Arial" w:hAnsi="Arial"/>
                <w:sz w:val="18"/>
                <w:szCs w:val="18"/>
                <w:color w:val="auto"/>
              </w:rPr>
              <w:t>Cable Communications</w:t>
            </w:r>
            <w:r>
              <w:rPr>
                <w:rFonts w:ascii="Arial" w:cs="Arial" w:eastAsia="Arial" w:hAnsi="Arial"/>
                <w:sz w:val="25"/>
                <w:szCs w:val="25"/>
                <w:color w:val="auto"/>
                <w:vertAlign w:val="superscript"/>
              </w:rPr>
              <w:t>(a)</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12,912</w:t>
            </w:r>
          </w:p>
        </w:tc>
        <w:tc>
          <w:tcPr>
            <w:tcW w:w="460" w:type="dxa"/>
            <w:vAlign w:val="bottom"/>
          </w:tcPr>
          <w:p>
            <w:pPr>
              <w:ind w:left="4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5,198</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1,980</w:t>
            </w:r>
          </w:p>
        </w:tc>
        <w:tc>
          <w:tcPr>
            <w:tcW w:w="32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3,218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1,781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352</w:t>
            </w:r>
          </w:p>
        </w:tc>
      </w:tr>
      <w:tr>
        <w:trPr>
          <w:trHeight w:val="230"/>
        </w:trPr>
        <w:tc>
          <w:tcPr>
            <w:tcW w:w="3880" w:type="dxa"/>
            <w:vAlign w:val="bottom"/>
          </w:tcPr>
          <w:p>
            <w:pPr>
              <w:ind w:left="40"/>
              <w:spacing w:after="0"/>
              <w:rPr>
                <w:sz w:val="20"/>
                <w:szCs w:val="20"/>
                <w:color w:val="auto"/>
              </w:rPr>
            </w:pPr>
            <w:r>
              <w:rPr>
                <w:rFonts w:ascii="Arial" w:cs="Arial" w:eastAsia="Arial" w:hAnsi="Arial"/>
                <w:sz w:val="18"/>
                <w:szCs w:val="18"/>
                <w:color w:val="auto"/>
              </w:rPr>
              <w:t>NBCUniversal</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0"/>
        </w:trPr>
        <w:tc>
          <w:tcPr>
            <w:tcW w:w="3880" w:type="dxa"/>
            <w:vAlign w:val="bottom"/>
          </w:tcPr>
          <w:p>
            <w:pPr>
              <w:ind w:left="380"/>
              <w:spacing w:after="0"/>
              <w:rPr>
                <w:sz w:val="20"/>
                <w:szCs w:val="20"/>
                <w:color w:val="auto"/>
              </w:rPr>
            </w:pPr>
            <w:r>
              <w:rPr>
                <w:rFonts w:ascii="Arial" w:cs="Arial" w:eastAsia="Arial" w:hAnsi="Arial"/>
                <w:sz w:val="18"/>
                <w:szCs w:val="18"/>
                <w:color w:val="auto"/>
              </w:rPr>
              <w:t>Cable Networks</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2,641</w:t>
            </w:r>
          </w:p>
        </w:tc>
        <w:tc>
          <w:tcPr>
            <w:tcW w:w="46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1,116</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214</w:t>
            </w:r>
          </w:p>
        </w:tc>
        <w:tc>
          <w:tcPr>
            <w:tcW w:w="3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902</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w:t>
            </w:r>
          </w:p>
        </w:tc>
      </w:tr>
      <w:tr>
        <w:trPr>
          <w:trHeight w:val="270"/>
        </w:trPr>
        <w:tc>
          <w:tcPr>
            <w:tcW w:w="3880" w:type="dxa"/>
            <w:vAlign w:val="bottom"/>
          </w:tcPr>
          <w:p>
            <w:pPr>
              <w:ind w:left="380"/>
              <w:spacing w:after="0"/>
              <w:rPr>
                <w:sz w:val="20"/>
                <w:szCs w:val="20"/>
                <w:color w:val="auto"/>
              </w:rPr>
            </w:pPr>
            <w:r>
              <w:rPr>
                <w:rFonts w:ascii="Arial" w:cs="Arial" w:eastAsia="Arial" w:hAnsi="Arial"/>
                <w:sz w:val="18"/>
                <w:szCs w:val="18"/>
                <w:color w:val="auto"/>
              </w:rPr>
              <w:t>Broadcast Television</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2,208</w:t>
            </w:r>
          </w:p>
        </w:tc>
        <w:tc>
          <w:tcPr>
            <w:tcW w:w="46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290</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w:t>
            </w:r>
          </w:p>
        </w:tc>
      </w:tr>
      <w:tr>
        <w:trPr>
          <w:trHeight w:val="270"/>
        </w:trPr>
        <w:tc>
          <w:tcPr>
            <w:tcW w:w="3880" w:type="dxa"/>
            <w:vAlign w:val="bottom"/>
          </w:tcPr>
          <w:p>
            <w:pPr>
              <w:ind w:left="380"/>
              <w:spacing w:after="0"/>
              <w:rPr>
                <w:sz w:val="20"/>
                <w:szCs w:val="20"/>
                <w:color w:val="auto"/>
              </w:rPr>
            </w:pPr>
            <w:r>
              <w:rPr>
                <w:rFonts w:ascii="Arial" w:cs="Arial" w:eastAsia="Arial" w:hAnsi="Arial"/>
                <w:sz w:val="18"/>
                <w:szCs w:val="18"/>
                <w:color w:val="auto"/>
              </w:rPr>
              <w:t>Filmed Entertainment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1,981</w:t>
            </w:r>
          </w:p>
        </w:tc>
        <w:tc>
          <w:tcPr>
            <w:tcW w:w="46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368</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347</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5</w:t>
            </w:r>
          </w:p>
        </w:tc>
      </w:tr>
      <w:tr>
        <w:trPr>
          <w:trHeight w:val="270"/>
        </w:trPr>
        <w:tc>
          <w:tcPr>
            <w:tcW w:w="3880" w:type="dxa"/>
            <w:vAlign w:val="bottom"/>
          </w:tcPr>
          <w:p>
            <w:pPr>
              <w:ind w:left="380"/>
              <w:spacing w:after="0"/>
              <w:rPr>
                <w:sz w:val="20"/>
                <w:szCs w:val="20"/>
                <w:color w:val="auto"/>
              </w:rPr>
            </w:pPr>
            <w:r>
              <w:rPr>
                <w:rFonts w:ascii="Arial" w:cs="Arial" w:eastAsia="Arial" w:hAnsi="Arial"/>
                <w:sz w:val="18"/>
                <w:szCs w:val="18"/>
                <w:color w:val="auto"/>
              </w:rPr>
              <w:t>Theme Parks</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1,118</w:t>
            </w:r>
          </w:p>
        </w:tc>
        <w:tc>
          <w:tcPr>
            <w:tcW w:w="46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397</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142</w:t>
            </w:r>
          </w:p>
        </w:tc>
        <w:tc>
          <w:tcPr>
            <w:tcW w:w="3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255</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229</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13</w:t>
            </w:r>
          </w:p>
        </w:tc>
      </w:tr>
      <w:tr>
        <w:trPr>
          <w:trHeight w:val="310"/>
        </w:trPr>
        <w:tc>
          <w:tcPr>
            <w:tcW w:w="3880" w:type="dxa"/>
            <w:vAlign w:val="bottom"/>
          </w:tcPr>
          <w:p>
            <w:pPr>
              <w:ind w:left="38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25"/>
                <w:szCs w:val="25"/>
                <w:color w:val="auto"/>
                <w:vertAlign w:val="superscript"/>
              </w:rPr>
              <w:t>(b)</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4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(185)</w:t>
            </w: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(284)</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24"/>
                <w:szCs w:val="24"/>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31</w:t>
            </w:r>
          </w:p>
        </w:tc>
      </w:tr>
      <w:tr>
        <w:trPr>
          <w:trHeight w:val="257"/>
        </w:trPr>
        <w:tc>
          <w:tcPr>
            <w:tcW w:w="3880" w:type="dxa"/>
            <w:vAlign w:val="bottom"/>
            <w:tcBorders>
              <w:bottom w:val="single" w:sz="8" w:color="auto"/>
            </w:tcBorders>
          </w:tcPr>
          <w:p>
            <w:pPr>
              <w:ind w:left="38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(c)</w:t>
            </w: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3880" w:type="dxa"/>
            <w:vAlign w:val="bottom"/>
          </w:tcPr>
          <w:p>
            <w:pPr>
              <w:ind w:left="40"/>
              <w:spacing w:after="0"/>
              <w:rPr>
                <w:sz w:val="20"/>
                <w:szCs w:val="20"/>
                <w:color w:val="auto"/>
              </w:rPr>
            </w:pPr>
            <w:r>
              <w:rPr>
                <w:rFonts w:ascii="Arial" w:cs="Arial" w:eastAsia="Arial" w:hAnsi="Arial"/>
                <w:sz w:val="18"/>
                <w:szCs w:val="18"/>
                <w:color w:val="auto"/>
              </w:rPr>
              <w:t>NBCUniversal</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7,868</w:t>
            </w:r>
          </w:p>
        </w:tc>
        <w:tc>
          <w:tcPr>
            <w:tcW w:w="46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508</w:t>
            </w:r>
          </w:p>
        </w:tc>
        <w:tc>
          <w:tcPr>
            <w:tcW w:w="32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1,509</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285</w:t>
            </w:r>
          </w:p>
        </w:tc>
        <w:tc>
          <w:tcPr>
            <w:tcW w:w="160" w:type="dxa"/>
            <w:vAlign w:val="bottom"/>
          </w:tcPr>
          <w:p>
            <w:pPr>
              <w:spacing w:after="0"/>
              <w:rPr>
                <w:sz w:val="20"/>
                <w:szCs w:val="20"/>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55</w:t>
            </w:r>
          </w:p>
        </w:tc>
      </w:tr>
      <w:tr>
        <w:trPr>
          <w:trHeight w:val="310"/>
        </w:trPr>
        <w:tc>
          <w:tcPr>
            <w:tcW w:w="3880" w:type="dxa"/>
            <w:vAlign w:val="bottom"/>
          </w:tcPr>
          <w:p>
            <w:pPr>
              <w:ind w:left="40"/>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25"/>
                <w:szCs w:val="25"/>
                <w:color w:val="auto"/>
                <w:vertAlign w:val="superscript"/>
              </w:rPr>
              <w:t>(d)</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208</w:t>
            </w:r>
          </w:p>
        </w:tc>
        <w:tc>
          <w:tcPr>
            <w:tcW w:w="4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(194)</w:t>
            </w: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(208)</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24"/>
                <w:szCs w:val="24"/>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9</w:t>
            </w:r>
          </w:p>
        </w:tc>
      </w:tr>
      <w:tr>
        <w:trPr>
          <w:trHeight w:val="257"/>
        </w:trPr>
        <w:tc>
          <w:tcPr>
            <w:tcW w:w="3880" w:type="dxa"/>
            <w:vAlign w:val="bottom"/>
            <w:tcBorders>
              <w:bottom w:val="single" w:sz="8" w:color="auto"/>
            </w:tcBorders>
          </w:tcPr>
          <w:p>
            <w:pPr>
              <w:ind w:left="4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(c)</w:t>
            </w: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w:t>
            </w: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3880" w:type="dxa"/>
            <w:vAlign w:val="bottom"/>
          </w:tcPr>
          <w:p>
            <w:pPr>
              <w:ind w:left="40"/>
              <w:spacing w:after="0"/>
              <w:rPr>
                <w:sz w:val="20"/>
                <w:szCs w:val="20"/>
                <w:color w:val="auto"/>
              </w:rPr>
            </w:pPr>
            <w:r>
              <w:rPr>
                <w:rFonts w:ascii="Arial" w:cs="Arial" w:eastAsia="Arial" w:hAnsi="Arial"/>
                <w:sz w:val="18"/>
                <w:szCs w:val="18"/>
                <w:b w:val="1"/>
                <w:bCs w:val="1"/>
                <w:color w:val="auto"/>
              </w:rPr>
              <w:t>Comcast Consolidated</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20,463</w:t>
            </w:r>
          </w:p>
        </w:tc>
        <w:tc>
          <w:tcPr>
            <w:tcW w:w="46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7,032</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2,502</w:t>
            </w:r>
          </w:p>
        </w:tc>
        <w:tc>
          <w:tcPr>
            <w:tcW w:w="320" w:type="dxa"/>
            <w:vAlign w:val="bottom"/>
          </w:tcPr>
          <w:p>
            <w:pPr>
              <w:jc w:val="right"/>
              <w:ind w:right="96"/>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4,530</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2,078</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b w:val="1"/>
                <w:bCs w:val="1"/>
                <w:color w:val="auto"/>
              </w:rPr>
              <w:t>416</w:t>
            </w:r>
          </w:p>
        </w:tc>
      </w:tr>
      <w:tr>
        <w:trPr>
          <w:trHeight w:val="34"/>
        </w:trPr>
        <w:tc>
          <w:tcPr>
            <w:tcW w:w="3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494"/>
        </w:trPr>
        <w:tc>
          <w:tcPr>
            <w:tcW w:w="38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3"/>
          </w:tcPr>
          <w:p>
            <w:pPr>
              <w:jc w:val="right"/>
              <w:ind w:right="71"/>
              <w:spacing w:after="0"/>
              <w:rPr>
                <w:sz w:val="20"/>
                <w:szCs w:val="20"/>
                <w:color w:val="auto"/>
              </w:rPr>
            </w:pPr>
            <w:r>
              <w:rPr>
                <w:rFonts w:ascii="Arial" w:cs="Arial" w:eastAsia="Arial" w:hAnsi="Arial"/>
                <w:sz w:val="14"/>
                <w:szCs w:val="14"/>
                <w:color w:val="auto"/>
                <w:w w:val="94"/>
              </w:rPr>
              <w:t>Three Months Ended March 31, 2016</w:t>
            </w: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56"/>
        </w:trPr>
        <w:tc>
          <w:tcPr>
            <w:tcW w:w="3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spacing w:after="0" w:line="157" w:lineRule="exact"/>
              <w:rPr>
                <w:sz w:val="20"/>
                <w:szCs w:val="20"/>
                <w:color w:val="auto"/>
              </w:rPr>
            </w:pPr>
            <w:r>
              <w:rPr>
                <w:rFonts w:ascii="Arial" w:cs="Arial" w:eastAsia="Arial" w:hAnsi="Arial"/>
                <w:sz w:val="14"/>
                <w:szCs w:val="14"/>
                <w:color w:val="auto"/>
                <w:w w:val="92"/>
              </w:rPr>
              <w:t>Depreciation and</w:t>
            </w:r>
          </w:p>
        </w:tc>
        <w:tc>
          <w:tcPr>
            <w:tcW w:w="128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93"/>
              </w:rPr>
              <w:t>Operating Income</w:t>
            </w:r>
          </w:p>
        </w:tc>
        <w:tc>
          <w:tcPr>
            <w:tcW w:w="200" w:type="dxa"/>
            <w:vAlign w:val="bottom"/>
          </w:tcPr>
          <w:p>
            <w:pPr>
              <w:spacing w:after="0"/>
              <w:rPr>
                <w:sz w:val="13"/>
                <w:szCs w:val="13"/>
                <w:color w:val="auto"/>
              </w:rPr>
            </w:pPr>
          </w:p>
        </w:tc>
        <w:tc>
          <w:tcPr>
            <w:tcW w:w="1020" w:type="dxa"/>
            <w:vAlign w:val="bottom"/>
          </w:tcPr>
          <w:p>
            <w:pPr>
              <w:jc w:val="center"/>
              <w:ind w:right="73"/>
              <w:spacing w:after="0" w:line="157" w:lineRule="exact"/>
              <w:rPr>
                <w:sz w:val="20"/>
                <w:szCs w:val="20"/>
                <w:color w:val="auto"/>
              </w:rPr>
            </w:pPr>
            <w:r>
              <w:rPr>
                <w:rFonts w:ascii="Arial" w:cs="Arial" w:eastAsia="Arial" w:hAnsi="Arial"/>
                <w:sz w:val="14"/>
                <w:szCs w:val="14"/>
                <w:color w:val="auto"/>
                <w:w w:val="96"/>
              </w:rPr>
              <w:t>Capital</w:t>
            </w:r>
          </w:p>
        </w:tc>
        <w:tc>
          <w:tcPr>
            <w:tcW w:w="160" w:type="dxa"/>
            <w:vAlign w:val="bottom"/>
          </w:tcPr>
          <w:p>
            <w:pPr>
              <w:spacing w:after="0"/>
              <w:rPr>
                <w:sz w:val="13"/>
                <w:szCs w:val="13"/>
                <w:color w:val="auto"/>
              </w:rPr>
            </w:pPr>
          </w:p>
        </w:tc>
        <w:tc>
          <w:tcPr>
            <w:tcW w:w="1140" w:type="dxa"/>
            <w:vAlign w:val="bottom"/>
          </w:tcPr>
          <w:p>
            <w:pPr>
              <w:jc w:val="center"/>
              <w:ind w:right="33"/>
              <w:spacing w:after="0" w:line="157" w:lineRule="exact"/>
              <w:rPr>
                <w:sz w:val="20"/>
                <w:szCs w:val="20"/>
                <w:color w:val="auto"/>
              </w:rPr>
            </w:pPr>
            <w:r>
              <w:rPr>
                <w:rFonts w:ascii="Arial" w:cs="Arial" w:eastAsia="Arial" w:hAnsi="Arial"/>
                <w:sz w:val="14"/>
                <w:szCs w:val="14"/>
                <w:color w:val="auto"/>
                <w:w w:val="91"/>
              </w:rPr>
              <w:t>Cash Paid for</w:t>
            </w:r>
          </w:p>
        </w:tc>
      </w:tr>
      <w:tr>
        <w:trPr>
          <w:trHeight w:val="188"/>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rPr>
              <w:t>Revenue</w:t>
            </w:r>
            <w:r>
              <w:rPr>
                <w:rFonts w:ascii="Arial" w:cs="Arial" w:eastAsia="Arial" w:hAnsi="Arial"/>
                <w:sz w:val="8"/>
                <w:szCs w:val="8"/>
                <w:color w:val="auto"/>
              </w:rPr>
              <w:t>(e)</w:t>
            </w: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Adjusted EBITDA</w:t>
            </w:r>
            <w:r>
              <w:rPr>
                <w:rFonts w:ascii="Arial" w:cs="Arial" w:eastAsia="Arial" w:hAnsi="Arial"/>
                <w:sz w:val="8"/>
                <w:szCs w:val="8"/>
                <w:color w:val="auto"/>
              </w:rPr>
              <w:t>(f)</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color w:val="auto"/>
                <w:w w:val="97"/>
              </w:rPr>
              <w:t>Amortization</w:t>
            </w: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91"/>
              <w:spacing w:after="0"/>
              <w:rPr>
                <w:sz w:val="20"/>
                <w:szCs w:val="20"/>
                <w:color w:val="auto"/>
              </w:rPr>
            </w:pPr>
            <w:r>
              <w:rPr>
                <w:rFonts w:ascii="Arial" w:cs="Arial" w:eastAsia="Arial" w:hAnsi="Arial"/>
                <w:sz w:val="14"/>
                <w:szCs w:val="14"/>
                <w:color w:val="auto"/>
                <w:w w:val="92"/>
              </w:rPr>
              <w:t>(Loss)</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color w:val="auto"/>
                <w:w w:val="92"/>
              </w:rPr>
              <w:t>Expenditures</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color w:val="auto"/>
                <w:w w:val="91"/>
              </w:rPr>
              <w:t>Intangible Assets</w:t>
            </w:r>
          </w:p>
        </w:tc>
      </w:tr>
      <w:tr>
        <w:trPr>
          <w:trHeight w:val="282"/>
        </w:trPr>
        <w:tc>
          <w:tcPr>
            <w:tcW w:w="3880" w:type="dxa"/>
            <w:vAlign w:val="bottom"/>
          </w:tcPr>
          <w:p>
            <w:pPr>
              <w:ind w:left="40"/>
              <w:spacing w:after="0" w:line="282" w:lineRule="exact"/>
              <w:rPr>
                <w:sz w:val="20"/>
                <w:szCs w:val="20"/>
                <w:color w:val="auto"/>
              </w:rPr>
            </w:pPr>
            <w:r>
              <w:rPr>
                <w:rFonts w:ascii="Arial" w:cs="Arial" w:eastAsia="Arial" w:hAnsi="Arial"/>
                <w:sz w:val="18"/>
                <w:szCs w:val="18"/>
                <w:color w:val="auto"/>
              </w:rPr>
              <w:t>Cable Communications</w:t>
            </w:r>
            <w:r>
              <w:rPr>
                <w:rFonts w:ascii="Arial" w:cs="Arial" w:eastAsia="Arial" w:hAnsi="Arial"/>
                <w:sz w:val="25"/>
                <w:szCs w:val="25"/>
                <w:color w:val="auto"/>
                <w:vertAlign w:val="superscript"/>
              </w:rPr>
              <w:t>(a)</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12,204</w:t>
            </w:r>
          </w:p>
        </w:tc>
        <w:tc>
          <w:tcPr>
            <w:tcW w:w="460" w:type="dxa"/>
            <w:vAlign w:val="bottom"/>
          </w:tcPr>
          <w:p>
            <w:pPr>
              <w:ind w:left="4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4,889</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1,843</w:t>
            </w:r>
          </w:p>
        </w:tc>
        <w:tc>
          <w:tcPr>
            <w:tcW w:w="32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3,046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1,576</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324</w:t>
            </w:r>
          </w:p>
        </w:tc>
      </w:tr>
      <w:tr>
        <w:trPr>
          <w:trHeight w:val="230"/>
        </w:trPr>
        <w:tc>
          <w:tcPr>
            <w:tcW w:w="3880" w:type="dxa"/>
            <w:vAlign w:val="bottom"/>
          </w:tcPr>
          <w:p>
            <w:pPr>
              <w:ind w:left="40"/>
              <w:spacing w:after="0"/>
              <w:rPr>
                <w:sz w:val="20"/>
                <w:szCs w:val="20"/>
                <w:color w:val="auto"/>
              </w:rPr>
            </w:pPr>
            <w:r>
              <w:rPr>
                <w:rFonts w:ascii="Arial" w:cs="Arial" w:eastAsia="Arial" w:hAnsi="Arial"/>
                <w:sz w:val="18"/>
                <w:szCs w:val="18"/>
                <w:color w:val="auto"/>
              </w:rPr>
              <w:t>NBCUniversal</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0"/>
        </w:trPr>
        <w:tc>
          <w:tcPr>
            <w:tcW w:w="3880" w:type="dxa"/>
            <w:vAlign w:val="bottom"/>
          </w:tcPr>
          <w:p>
            <w:pPr>
              <w:ind w:left="380"/>
              <w:spacing w:after="0"/>
              <w:rPr>
                <w:sz w:val="20"/>
                <w:szCs w:val="20"/>
                <w:color w:val="auto"/>
              </w:rPr>
            </w:pPr>
            <w:r>
              <w:rPr>
                <w:rFonts w:ascii="Arial" w:cs="Arial" w:eastAsia="Arial" w:hAnsi="Arial"/>
                <w:sz w:val="18"/>
                <w:szCs w:val="18"/>
                <w:color w:val="auto"/>
              </w:rPr>
              <w:t>Cable Networks</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2,453</w:t>
            </w:r>
          </w:p>
        </w:tc>
        <w:tc>
          <w:tcPr>
            <w:tcW w:w="46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956</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190</w:t>
            </w:r>
          </w:p>
        </w:tc>
        <w:tc>
          <w:tcPr>
            <w:tcW w:w="3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766</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w:t>
            </w:r>
          </w:p>
        </w:tc>
      </w:tr>
      <w:tr>
        <w:trPr>
          <w:trHeight w:val="270"/>
        </w:trPr>
        <w:tc>
          <w:tcPr>
            <w:tcW w:w="3880" w:type="dxa"/>
            <w:vAlign w:val="bottom"/>
          </w:tcPr>
          <w:p>
            <w:pPr>
              <w:ind w:left="380"/>
              <w:spacing w:after="0"/>
              <w:rPr>
                <w:sz w:val="20"/>
                <w:szCs w:val="20"/>
                <w:color w:val="auto"/>
              </w:rPr>
            </w:pPr>
            <w:r>
              <w:rPr>
                <w:rFonts w:ascii="Arial" w:cs="Arial" w:eastAsia="Arial" w:hAnsi="Arial"/>
                <w:sz w:val="18"/>
                <w:szCs w:val="18"/>
                <w:color w:val="auto"/>
              </w:rPr>
              <w:t>Broadcast Television</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2,084</w:t>
            </w:r>
          </w:p>
        </w:tc>
        <w:tc>
          <w:tcPr>
            <w:tcW w:w="46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284</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252</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w:t>
            </w:r>
          </w:p>
        </w:tc>
      </w:tr>
      <w:tr>
        <w:trPr>
          <w:trHeight w:val="270"/>
        </w:trPr>
        <w:tc>
          <w:tcPr>
            <w:tcW w:w="3880" w:type="dxa"/>
            <w:vAlign w:val="bottom"/>
          </w:tcPr>
          <w:p>
            <w:pPr>
              <w:ind w:left="380"/>
              <w:spacing w:after="0"/>
              <w:rPr>
                <w:sz w:val="20"/>
                <w:szCs w:val="20"/>
                <w:color w:val="auto"/>
              </w:rPr>
            </w:pPr>
            <w:r>
              <w:rPr>
                <w:rFonts w:ascii="Arial" w:cs="Arial" w:eastAsia="Arial" w:hAnsi="Arial"/>
                <w:sz w:val="18"/>
                <w:szCs w:val="18"/>
                <w:color w:val="auto"/>
              </w:rPr>
              <w:t>Filmed Entertainment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1,383</w:t>
            </w:r>
          </w:p>
        </w:tc>
        <w:tc>
          <w:tcPr>
            <w:tcW w:w="46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167</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159</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w:t>
            </w:r>
          </w:p>
        </w:tc>
      </w:tr>
      <w:tr>
        <w:trPr>
          <w:trHeight w:val="270"/>
        </w:trPr>
        <w:tc>
          <w:tcPr>
            <w:tcW w:w="3880" w:type="dxa"/>
            <w:vAlign w:val="bottom"/>
          </w:tcPr>
          <w:p>
            <w:pPr>
              <w:ind w:left="380"/>
              <w:spacing w:after="0"/>
              <w:rPr>
                <w:sz w:val="20"/>
                <w:szCs w:val="20"/>
                <w:color w:val="auto"/>
              </w:rPr>
            </w:pPr>
            <w:r>
              <w:rPr>
                <w:rFonts w:ascii="Arial" w:cs="Arial" w:eastAsia="Arial" w:hAnsi="Arial"/>
                <w:sz w:val="18"/>
                <w:szCs w:val="18"/>
                <w:color w:val="auto"/>
              </w:rPr>
              <w:t>Theme Parks</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1,026</w:t>
            </w:r>
          </w:p>
        </w:tc>
        <w:tc>
          <w:tcPr>
            <w:tcW w:w="46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375</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w:t>
            </w:r>
          </w:p>
        </w:tc>
        <w:tc>
          <w:tcPr>
            <w:tcW w:w="3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277</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9</w:t>
            </w:r>
          </w:p>
        </w:tc>
      </w:tr>
      <w:tr>
        <w:trPr>
          <w:trHeight w:val="310"/>
        </w:trPr>
        <w:tc>
          <w:tcPr>
            <w:tcW w:w="3880" w:type="dxa"/>
            <w:vAlign w:val="bottom"/>
          </w:tcPr>
          <w:p>
            <w:pPr>
              <w:ind w:left="38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25"/>
                <w:szCs w:val="25"/>
                <w:color w:val="auto"/>
                <w:vertAlign w:val="superscript"/>
              </w:rPr>
              <w:t>(b)</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4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(160)</w:t>
            </w: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(246)</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w:t>
            </w:r>
          </w:p>
        </w:tc>
        <w:tc>
          <w:tcPr>
            <w:tcW w:w="160" w:type="dxa"/>
            <w:vAlign w:val="bottom"/>
          </w:tcPr>
          <w:p>
            <w:pPr>
              <w:spacing w:after="0"/>
              <w:rPr>
                <w:sz w:val="24"/>
                <w:szCs w:val="24"/>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36</w:t>
            </w:r>
          </w:p>
        </w:tc>
      </w:tr>
      <w:tr>
        <w:trPr>
          <w:trHeight w:val="257"/>
        </w:trPr>
        <w:tc>
          <w:tcPr>
            <w:tcW w:w="3880" w:type="dxa"/>
            <w:vAlign w:val="bottom"/>
            <w:tcBorders>
              <w:bottom w:val="single" w:sz="8" w:color="auto"/>
            </w:tcBorders>
          </w:tcPr>
          <w:p>
            <w:pPr>
              <w:ind w:left="38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(c)</w:t>
            </w: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3880" w:type="dxa"/>
            <w:vAlign w:val="bottom"/>
          </w:tcPr>
          <w:p>
            <w:pPr>
              <w:ind w:left="40"/>
              <w:spacing w:after="0"/>
              <w:rPr>
                <w:sz w:val="20"/>
                <w:szCs w:val="20"/>
                <w:color w:val="auto"/>
              </w:rPr>
            </w:pPr>
            <w:r>
              <w:rPr>
                <w:rFonts w:ascii="Arial" w:cs="Arial" w:eastAsia="Arial" w:hAnsi="Arial"/>
                <w:sz w:val="18"/>
                <w:szCs w:val="18"/>
                <w:color w:val="auto"/>
              </w:rPr>
              <w:t>NBCUniversal</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6,861</w:t>
            </w:r>
          </w:p>
        </w:tc>
        <w:tc>
          <w:tcPr>
            <w:tcW w:w="46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1,622</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414</w:t>
            </w:r>
          </w:p>
        </w:tc>
        <w:tc>
          <w:tcPr>
            <w:tcW w:w="32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1,208</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295</w:t>
            </w:r>
          </w:p>
        </w:tc>
        <w:tc>
          <w:tcPr>
            <w:tcW w:w="160" w:type="dxa"/>
            <w:vAlign w:val="bottom"/>
          </w:tcPr>
          <w:p>
            <w:pPr>
              <w:spacing w:after="0"/>
              <w:rPr>
                <w:sz w:val="20"/>
                <w:szCs w:val="20"/>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52</w:t>
            </w:r>
          </w:p>
        </w:tc>
      </w:tr>
      <w:tr>
        <w:trPr>
          <w:trHeight w:val="310"/>
        </w:trPr>
        <w:tc>
          <w:tcPr>
            <w:tcW w:w="3880" w:type="dxa"/>
            <w:vAlign w:val="bottom"/>
          </w:tcPr>
          <w:p>
            <w:pPr>
              <w:ind w:left="40"/>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25"/>
                <w:szCs w:val="25"/>
                <w:color w:val="auto"/>
                <w:vertAlign w:val="superscript"/>
              </w:rPr>
              <w:t>(d)</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199</w:t>
            </w:r>
          </w:p>
        </w:tc>
        <w:tc>
          <w:tcPr>
            <w:tcW w:w="4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(154)</w:t>
            </w: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(175)</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24"/>
                <w:szCs w:val="24"/>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w:t>
            </w:r>
          </w:p>
        </w:tc>
      </w:tr>
      <w:tr>
        <w:trPr>
          <w:trHeight w:val="257"/>
        </w:trPr>
        <w:tc>
          <w:tcPr>
            <w:tcW w:w="3880" w:type="dxa"/>
            <w:vAlign w:val="bottom"/>
            <w:tcBorders>
              <w:bottom w:val="single" w:sz="8" w:color="auto"/>
            </w:tcBorders>
          </w:tcPr>
          <w:p>
            <w:pPr>
              <w:ind w:left="4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(c)</w:t>
            </w: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3880" w:type="dxa"/>
            <w:vAlign w:val="bottom"/>
          </w:tcPr>
          <w:p>
            <w:pPr>
              <w:ind w:left="40"/>
              <w:spacing w:after="0"/>
              <w:rPr>
                <w:sz w:val="20"/>
                <w:szCs w:val="20"/>
                <w:color w:val="auto"/>
              </w:rPr>
            </w:pPr>
            <w:r>
              <w:rPr>
                <w:rFonts w:ascii="Arial" w:cs="Arial" w:eastAsia="Arial" w:hAnsi="Arial"/>
                <w:sz w:val="18"/>
                <w:szCs w:val="18"/>
                <w:b w:val="1"/>
                <w:bCs w:val="1"/>
                <w:color w:val="auto"/>
              </w:rPr>
              <w:t>Comcast Consolidated</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18,790</w:t>
            </w:r>
          </w:p>
        </w:tc>
        <w:tc>
          <w:tcPr>
            <w:tcW w:w="46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6,367</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2,278</w:t>
            </w:r>
          </w:p>
        </w:tc>
        <w:tc>
          <w:tcPr>
            <w:tcW w:w="320" w:type="dxa"/>
            <w:vAlign w:val="bottom"/>
          </w:tcPr>
          <w:p>
            <w:pPr>
              <w:jc w:val="right"/>
              <w:ind w:right="96"/>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4,089</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1,885</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b w:val="1"/>
                <w:bCs w:val="1"/>
                <w:color w:val="auto"/>
              </w:rPr>
              <w:t>378</w:t>
            </w:r>
          </w:p>
        </w:tc>
      </w:tr>
      <w:tr>
        <w:trPr>
          <w:trHeight w:val="34"/>
        </w:trPr>
        <w:tc>
          <w:tcPr>
            <w:tcW w:w="3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1" w:right="2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89"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For the three months ended March 31, 2017 and 2016, Cable Communications segment revenue was derived from the following sources:</w:t>
      </w:r>
    </w:p>
    <w:p>
      <w:pPr>
        <w:spacing w:after="0" w:line="163" w:lineRule="exact"/>
        <w:rPr>
          <w:sz w:val="20"/>
          <w:szCs w:val="20"/>
          <w:color w:val="auto"/>
        </w:rPr>
      </w:pPr>
    </w:p>
    <w:p>
      <w:pPr>
        <w:jc w:val="center"/>
        <w:ind w:left="7500"/>
        <w:spacing w:after="0"/>
        <w:rPr>
          <w:sz w:val="20"/>
          <w:szCs w:val="20"/>
          <w:color w:val="auto"/>
        </w:rPr>
      </w:pPr>
      <w:r>
        <w:rPr>
          <w:rFonts w:ascii="Arial" w:cs="Arial" w:eastAsia="Arial" w:hAnsi="Arial"/>
          <w:sz w:val="14"/>
          <w:szCs w:val="14"/>
          <w:color w:val="auto"/>
        </w:rPr>
        <w:t>Three Months Ended</w:t>
      </w:r>
    </w:p>
    <w:p>
      <w:pPr>
        <w:jc w:val="center"/>
        <w:ind w:left="7500"/>
        <w:spacing w:after="0"/>
        <w:rPr>
          <w:sz w:val="20"/>
          <w:szCs w:val="20"/>
          <w:color w:val="auto"/>
        </w:rPr>
      </w:pPr>
      <w:r>
        <w:rPr>
          <w:rFonts w:ascii="Arial" w:cs="Arial" w:eastAsia="Arial" w:hAnsi="Arial"/>
          <w:sz w:val="14"/>
          <w:szCs w:val="14"/>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5107940</wp:posOffset>
            </wp:positionH>
            <wp:positionV relativeFrom="paragraph">
              <wp:posOffset>13335</wp:posOffset>
            </wp:positionV>
            <wp:extent cx="17837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23" w:lineRule="exact"/>
        <w:rPr>
          <w:sz w:val="20"/>
          <w:szCs w:val="20"/>
          <w:color w:val="auto"/>
        </w:rPr>
      </w:pPr>
    </w:p>
    <w:tbl>
      <w:tblPr>
        <w:tblLayout w:type="fixed"/>
        <w:tblInd w:w="340" w:type="dxa"/>
        <w:tblCellMar>
          <w:top w:w="0" w:type="dxa"/>
          <w:left w:w="0" w:type="dxa"/>
          <w:bottom w:w="0" w:type="dxa"/>
          <w:right w:w="0" w:type="dxa"/>
        </w:tblCellMar>
      </w:tblPr>
      <w:tr>
        <w:trPr>
          <w:trHeight w:val="188"/>
        </w:trPr>
        <w:tc>
          <w:tcPr>
            <w:tcW w:w="8600" w:type="dxa"/>
            <w:vAlign w:val="bottom"/>
            <w:tcBorders>
              <w:bottom w:val="single" w:sz="8" w:color="auto"/>
            </w:tcBorders>
          </w:tcPr>
          <w:p>
            <w:pPr>
              <w:ind w:left="8260"/>
              <w:spacing w:after="0"/>
              <w:rPr>
                <w:sz w:val="20"/>
                <w:szCs w:val="20"/>
                <w:color w:val="auto"/>
              </w:rPr>
            </w:pPr>
            <w:r>
              <w:rPr>
                <w:rFonts w:ascii="Arial" w:cs="Arial" w:eastAsia="Arial" w:hAnsi="Arial"/>
                <w:sz w:val="14"/>
                <w:szCs w:val="14"/>
                <w:color w:val="auto"/>
              </w:rPr>
              <w:t>2017</w:t>
            </w:r>
          </w:p>
        </w:tc>
        <w:tc>
          <w:tcPr>
            <w:tcW w:w="7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2016</w:t>
            </w:r>
          </w:p>
        </w:tc>
      </w:tr>
      <w:tr>
        <w:trPr>
          <w:trHeight w:val="190"/>
        </w:trPr>
        <w:tc>
          <w:tcPr>
            <w:tcW w:w="8600" w:type="dxa"/>
            <w:vAlign w:val="bottom"/>
          </w:tcPr>
          <w:p>
            <w:pPr>
              <w:ind w:left="20"/>
              <w:spacing w:after="0"/>
              <w:rPr>
                <w:sz w:val="20"/>
                <w:szCs w:val="20"/>
                <w:color w:val="auto"/>
              </w:rPr>
            </w:pPr>
            <w:r>
              <w:rPr>
                <w:rFonts w:ascii="Arial" w:cs="Arial" w:eastAsia="Arial" w:hAnsi="Arial"/>
                <w:sz w:val="14"/>
                <w:szCs w:val="14"/>
                <w:color w:val="auto"/>
              </w:rPr>
              <w:t>Residential:</w:t>
            </w:r>
          </w:p>
        </w:tc>
        <w:tc>
          <w:tcPr>
            <w:tcW w:w="7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70"/>
        </w:trPr>
        <w:tc>
          <w:tcPr>
            <w:tcW w:w="8600" w:type="dxa"/>
            <w:vAlign w:val="bottom"/>
          </w:tcPr>
          <w:p>
            <w:pPr>
              <w:ind w:left="380"/>
              <w:spacing w:after="0"/>
              <w:rPr>
                <w:sz w:val="20"/>
                <w:szCs w:val="20"/>
                <w:color w:val="auto"/>
              </w:rPr>
            </w:pPr>
            <w:r>
              <w:rPr>
                <w:rFonts w:ascii="Arial" w:cs="Arial" w:eastAsia="Arial" w:hAnsi="Arial"/>
                <w:sz w:val="14"/>
                <w:szCs w:val="14"/>
                <w:color w:val="auto"/>
              </w:rPr>
              <w:t>Video</w:t>
            </w:r>
          </w:p>
        </w:tc>
        <w:tc>
          <w:tcPr>
            <w:tcW w:w="780" w:type="dxa"/>
            <w:vAlign w:val="bottom"/>
          </w:tcPr>
          <w:p>
            <w:pPr>
              <w:jc w:val="right"/>
              <w:ind w:right="228"/>
              <w:spacing w:after="0"/>
              <w:rPr>
                <w:sz w:val="20"/>
                <w:szCs w:val="20"/>
                <w:color w:val="auto"/>
              </w:rPr>
            </w:pPr>
            <w:r>
              <w:rPr>
                <w:rFonts w:ascii="Arial" w:cs="Arial" w:eastAsia="Arial" w:hAnsi="Arial"/>
                <w:sz w:val="14"/>
                <w:szCs w:val="14"/>
                <w:color w:val="auto"/>
              </w:rPr>
              <w:t>44.7%</w:t>
            </w:r>
          </w:p>
        </w:tc>
        <w:tc>
          <w:tcPr>
            <w:tcW w:w="1140" w:type="dxa"/>
            <w:vAlign w:val="bottom"/>
          </w:tcPr>
          <w:p>
            <w:pPr>
              <w:jc w:val="right"/>
              <w:spacing w:after="0"/>
              <w:rPr>
                <w:sz w:val="20"/>
                <w:szCs w:val="20"/>
                <w:color w:val="auto"/>
              </w:rPr>
            </w:pPr>
            <w:r>
              <w:rPr>
                <w:rFonts w:ascii="Arial" w:cs="Arial" w:eastAsia="Arial" w:hAnsi="Arial"/>
                <w:sz w:val="14"/>
                <w:szCs w:val="14"/>
                <w:color w:val="auto"/>
              </w:rPr>
              <w:t>45.4%</w:t>
            </w:r>
          </w:p>
        </w:tc>
      </w:tr>
      <w:tr>
        <w:trPr>
          <w:trHeight w:val="203"/>
        </w:trPr>
        <w:tc>
          <w:tcPr>
            <w:tcW w:w="8600" w:type="dxa"/>
            <w:vAlign w:val="bottom"/>
          </w:tcPr>
          <w:p>
            <w:pPr>
              <w:ind w:left="380"/>
              <w:spacing w:after="0"/>
              <w:rPr>
                <w:sz w:val="20"/>
                <w:szCs w:val="20"/>
                <w:color w:val="auto"/>
              </w:rPr>
            </w:pPr>
            <w:r>
              <w:rPr>
                <w:rFonts w:ascii="Arial" w:cs="Arial" w:eastAsia="Arial" w:hAnsi="Arial"/>
                <w:sz w:val="14"/>
                <w:szCs w:val="14"/>
                <w:color w:val="auto"/>
              </w:rPr>
              <w:t>High-speed Internet</w:t>
            </w:r>
          </w:p>
        </w:tc>
        <w:tc>
          <w:tcPr>
            <w:tcW w:w="780" w:type="dxa"/>
            <w:vAlign w:val="bottom"/>
          </w:tcPr>
          <w:p>
            <w:pPr>
              <w:jc w:val="right"/>
              <w:ind w:right="228"/>
              <w:spacing w:after="0"/>
              <w:rPr>
                <w:sz w:val="20"/>
                <w:szCs w:val="20"/>
                <w:color w:val="auto"/>
              </w:rPr>
            </w:pPr>
            <w:r>
              <w:rPr>
                <w:rFonts w:ascii="Arial" w:cs="Arial" w:eastAsia="Arial" w:hAnsi="Arial"/>
                <w:sz w:val="14"/>
                <w:szCs w:val="14"/>
                <w:color w:val="auto"/>
              </w:rPr>
              <w:t>27.9%</w:t>
            </w:r>
          </w:p>
        </w:tc>
        <w:tc>
          <w:tcPr>
            <w:tcW w:w="1140" w:type="dxa"/>
            <w:vAlign w:val="bottom"/>
          </w:tcPr>
          <w:p>
            <w:pPr>
              <w:jc w:val="right"/>
              <w:spacing w:after="0"/>
              <w:rPr>
                <w:sz w:val="20"/>
                <w:szCs w:val="20"/>
                <w:color w:val="auto"/>
              </w:rPr>
            </w:pPr>
            <w:r>
              <w:rPr>
                <w:rFonts w:ascii="Arial" w:cs="Arial" w:eastAsia="Arial" w:hAnsi="Arial"/>
                <w:sz w:val="14"/>
                <w:szCs w:val="14"/>
                <w:color w:val="auto"/>
              </w:rPr>
              <w:t>26.8%</w:t>
            </w:r>
          </w:p>
        </w:tc>
      </w:tr>
      <w:tr>
        <w:trPr>
          <w:trHeight w:val="203"/>
        </w:trPr>
        <w:tc>
          <w:tcPr>
            <w:tcW w:w="8600" w:type="dxa"/>
            <w:vAlign w:val="bottom"/>
          </w:tcPr>
          <w:p>
            <w:pPr>
              <w:ind w:left="380"/>
              <w:spacing w:after="0"/>
              <w:rPr>
                <w:sz w:val="20"/>
                <w:szCs w:val="20"/>
                <w:color w:val="auto"/>
              </w:rPr>
            </w:pPr>
            <w:r>
              <w:rPr>
                <w:rFonts w:ascii="Arial" w:cs="Arial" w:eastAsia="Arial" w:hAnsi="Arial"/>
                <w:sz w:val="14"/>
                <w:szCs w:val="14"/>
                <w:color w:val="auto"/>
              </w:rPr>
              <w:t>Voice</w:t>
            </w:r>
          </w:p>
        </w:tc>
        <w:tc>
          <w:tcPr>
            <w:tcW w:w="780" w:type="dxa"/>
            <w:vAlign w:val="bottom"/>
          </w:tcPr>
          <w:p>
            <w:pPr>
              <w:jc w:val="right"/>
              <w:ind w:right="228"/>
              <w:spacing w:after="0"/>
              <w:rPr>
                <w:sz w:val="20"/>
                <w:szCs w:val="20"/>
                <w:color w:val="auto"/>
              </w:rPr>
            </w:pPr>
            <w:r>
              <w:rPr>
                <w:rFonts w:ascii="Arial" w:cs="Arial" w:eastAsia="Arial" w:hAnsi="Arial"/>
                <w:sz w:val="14"/>
                <w:szCs w:val="14"/>
                <w:color w:val="auto"/>
              </w:rPr>
              <w:t>6.7%</w:t>
            </w:r>
          </w:p>
        </w:tc>
        <w:tc>
          <w:tcPr>
            <w:tcW w:w="1140" w:type="dxa"/>
            <w:vAlign w:val="bottom"/>
          </w:tcPr>
          <w:p>
            <w:pPr>
              <w:jc w:val="right"/>
              <w:spacing w:after="0"/>
              <w:rPr>
                <w:sz w:val="20"/>
                <w:szCs w:val="20"/>
                <w:color w:val="auto"/>
              </w:rPr>
            </w:pPr>
            <w:r>
              <w:rPr>
                <w:rFonts w:ascii="Arial" w:cs="Arial" w:eastAsia="Arial" w:hAnsi="Arial"/>
                <w:sz w:val="14"/>
                <w:szCs w:val="14"/>
                <w:color w:val="auto"/>
              </w:rPr>
              <w:t>7.3%</w:t>
            </w:r>
          </w:p>
        </w:tc>
      </w:tr>
      <w:tr>
        <w:trPr>
          <w:trHeight w:val="203"/>
        </w:trPr>
        <w:tc>
          <w:tcPr>
            <w:tcW w:w="8600" w:type="dxa"/>
            <w:vAlign w:val="bottom"/>
          </w:tcPr>
          <w:p>
            <w:pPr>
              <w:ind w:left="20"/>
              <w:spacing w:after="0"/>
              <w:rPr>
                <w:sz w:val="20"/>
                <w:szCs w:val="20"/>
                <w:color w:val="auto"/>
              </w:rPr>
            </w:pPr>
            <w:r>
              <w:rPr>
                <w:rFonts w:ascii="Arial" w:cs="Arial" w:eastAsia="Arial" w:hAnsi="Arial"/>
                <w:sz w:val="14"/>
                <w:szCs w:val="14"/>
                <w:color w:val="auto"/>
              </w:rPr>
              <w:t>Business services</w:t>
            </w:r>
          </w:p>
        </w:tc>
        <w:tc>
          <w:tcPr>
            <w:tcW w:w="780" w:type="dxa"/>
            <w:vAlign w:val="bottom"/>
          </w:tcPr>
          <w:p>
            <w:pPr>
              <w:jc w:val="right"/>
              <w:ind w:right="228"/>
              <w:spacing w:after="0"/>
              <w:rPr>
                <w:sz w:val="20"/>
                <w:szCs w:val="20"/>
                <w:color w:val="auto"/>
              </w:rPr>
            </w:pPr>
            <w:r>
              <w:rPr>
                <w:rFonts w:ascii="Arial" w:cs="Arial" w:eastAsia="Arial" w:hAnsi="Arial"/>
                <w:sz w:val="14"/>
                <w:szCs w:val="14"/>
                <w:color w:val="auto"/>
              </w:rPr>
              <w:t>11.5%</w:t>
            </w:r>
          </w:p>
        </w:tc>
        <w:tc>
          <w:tcPr>
            <w:tcW w:w="1140" w:type="dxa"/>
            <w:vAlign w:val="bottom"/>
          </w:tcPr>
          <w:p>
            <w:pPr>
              <w:jc w:val="right"/>
              <w:spacing w:after="0"/>
              <w:rPr>
                <w:sz w:val="20"/>
                <w:szCs w:val="20"/>
                <w:color w:val="auto"/>
              </w:rPr>
            </w:pPr>
            <w:r>
              <w:rPr>
                <w:rFonts w:ascii="Arial" w:cs="Arial" w:eastAsia="Arial" w:hAnsi="Arial"/>
                <w:sz w:val="14"/>
                <w:szCs w:val="14"/>
                <w:color w:val="auto"/>
              </w:rPr>
              <w:t>10.7%</w:t>
            </w:r>
          </w:p>
        </w:tc>
      </w:tr>
      <w:tr>
        <w:trPr>
          <w:trHeight w:val="203"/>
        </w:trPr>
        <w:tc>
          <w:tcPr>
            <w:tcW w:w="8600" w:type="dxa"/>
            <w:vAlign w:val="bottom"/>
          </w:tcPr>
          <w:p>
            <w:pPr>
              <w:ind w:left="20"/>
              <w:spacing w:after="0"/>
              <w:rPr>
                <w:sz w:val="20"/>
                <w:szCs w:val="20"/>
                <w:color w:val="auto"/>
              </w:rPr>
            </w:pPr>
            <w:r>
              <w:rPr>
                <w:rFonts w:ascii="Arial" w:cs="Arial" w:eastAsia="Arial" w:hAnsi="Arial"/>
                <w:sz w:val="14"/>
                <w:szCs w:val="14"/>
                <w:color w:val="auto"/>
              </w:rPr>
              <w:t>Advertising</w:t>
            </w:r>
          </w:p>
        </w:tc>
        <w:tc>
          <w:tcPr>
            <w:tcW w:w="780" w:type="dxa"/>
            <w:vAlign w:val="bottom"/>
          </w:tcPr>
          <w:p>
            <w:pPr>
              <w:jc w:val="right"/>
              <w:ind w:right="228"/>
              <w:spacing w:after="0"/>
              <w:rPr>
                <w:sz w:val="20"/>
                <w:szCs w:val="20"/>
                <w:color w:val="auto"/>
              </w:rPr>
            </w:pPr>
            <w:r>
              <w:rPr>
                <w:rFonts w:ascii="Arial" w:cs="Arial" w:eastAsia="Arial" w:hAnsi="Arial"/>
                <w:sz w:val="14"/>
                <w:szCs w:val="14"/>
                <w:color w:val="auto"/>
              </w:rPr>
              <w:t>4.0%</w:t>
            </w:r>
          </w:p>
        </w:tc>
        <w:tc>
          <w:tcPr>
            <w:tcW w:w="114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209"/>
        </w:trPr>
        <w:tc>
          <w:tcPr>
            <w:tcW w:w="8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w:t>
            </w:r>
          </w:p>
        </w:tc>
        <w:tc>
          <w:tcPr>
            <w:tcW w:w="7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5.2%</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r>
      <w:tr>
        <w:trPr>
          <w:trHeight w:val="209"/>
        </w:trPr>
        <w:tc>
          <w:tcPr>
            <w:tcW w:w="8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w:t>
            </w:r>
          </w:p>
        </w:tc>
        <w:tc>
          <w:tcPr>
            <w:tcW w:w="7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w w:val="96"/>
              </w:rPr>
              <w:t>100.0%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r>
    </w:tbl>
    <w:p>
      <w:pPr>
        <w:spacing w:after="0" w:line="49" w:lineRule="exact"/>
        <w:rPr>
          <w:sz w:val="20"/>
          <w:szCs w:val="20"/>
          <w:color w:val="auto"/>
        </w:rPr>
      </w:pPr>
    </w:p>
    <w:p>
      <w:pPr>
        <w:ind w:left="340" w:right="20"/>
        <w:spacing w:after="0" w:line="273" w:lineRule="auto"/>
        <w:rPr>
          <w:sz w:val="20"/>
          <w:szCs w:val="20"/>
          <w:color w:val="auto"/>
        </w:rPr>
      </w:pPr>
      <w:r>
        <w:rPr>
          <w:rFonts w:ascii="Arial" w:cs="Arial" w:eastAsia="Arial" w:hAnsi="Arial"/>
          <w:sz w:val="14"/>
          <w:szCs w:val="14"/>
          <w:color w:val="auto"/>
        </w:rPr>
        <w:t>Subscription revenue received from customers who purchase bundled services at a discounted rate is allocated proportionally to each cable service based on the individual service’s price on a stand-alone basis.</w:t>
      </w:r>
    </w:p>
    <w:p>
      <w:pPr>
        <w:spacing w:after="0" w:line="25" w:lineRule="exact"/>
        <w:rPr>
          <w:sz w:val="20"/>
          <w:szCs w:val="20"/>
          <w:color w:val="auto"/>
        </w:rPr>
      </w:pPr>
    </w:p>
    <w:p>
      <w:pPr>
        <w:ind w:left="340"/>
        <w:spacing w:after="0"/>
        <w:rPr>
          <w:sz w:val="20"/>
          <w:szCs w:val="20"/>
          <w:color w:val="auto"/>
        </w:rPr>
      </w:pPr>
      <w:r>
        <w:rPr>
          <w:rFonts w:ascii="Arial" w:cs="Arial" w:eastAsia="Arial" w:hAnsi="Arial"/>
          <w:sz w:val="13"/>
          <w:szCs w:val="13"/>
          <w:color w:val="auto"/>
        </w:rPr>
        <w:t>For the three months ended March 31, 2017 and 2016, 2.8% and 2.9%, respectively, of Cable Communications segment revenue was derived from franchise and other regulatory fees.</w:t>
      </w:r>
    </w:p>
    <w:p>
      <w:pPr>
        <w:spacing w:after="0" w:line="80"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NBCUniversal Headquarters and Other activities include costs associated with overhead, allocations, personnel costs and headquarter initiatives.</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Included in Eliminations are transactions that our segments enter into with one another. The most common types of transactions are the following:</w:t>
      </w:r>
    </w:p>
    <w:p>
      <w:pPr>
        <w:spacing w:after="0" w:line="68" w:lineRule="exact"/>
        <w:rPr>
          <w:rFonts w:ascii="Arial" w:cs="Arial" w:eastAsia="Arial" w:hAnsi="Arial"/>
          <w:sz w:val="14"/>
          <w:szCs w:val="14"/>
          <w:color w:val="auto"/>
        </w:rPr>
      </w:pPr>
    </w:p>
    <w:p>
      <w:pPr>
        <w:ind w:left="980" w:hanging="81"/>
        <w:spacing w:after="0" w:line="273" w:lineRule="auto"/>
        <w:tabs>
          <w:tab w:leader="none" w:pos="980" w:val="left"/>
        </w:tabs>
        <w:numPr>
          <w:ilvl w:val="1"/>
          <w:numId w:val="7"/>
        </w:numPr>
        <w:rPr>
          <w:rFonts w:ascii="Arial" w:cs="Arial" w:eastAsia="Arial" w:hAnsi="Arial"/>
          <w:sz w:val="14"/>
          <w:szCs w:val="14"/>
          <w:color w:val="auto"/>
        </w:rPr>
      </w:pPr>
      <w:r>
        <w:rPr>
          <w:rFonts w:ascii="Arial" w:cs="Arial" w:eastAsia="Arial" w:hAnsi="Arial"/>
          <w:sz w:val="14"/>
          <w:szCs w:val="14"/>
          <w:color w:val="auto"/>
        </w:rPr>
        <w:t>our Cable Networks segment generates revenue by selling programming to our Cable Communications segment, which represents a substantial majority of the revenue elimination amount</w:t>
      </w:r>
    </w:p>
    <w:p>
      <w:pPr>
        <w:spacing w:after="0" w:line="25" w:lineRule="exact"/>
        <w:rPr>
          <w:rFonts w:ascii="Arial" w:cs="Arial" w:eastAsia="Arial" w:hAnsi="Arial"/>
          <w:sz w:val="14"/>
          <w:szCs w:val="14"/>
          <w:color w:val="auto"/>
        </w:rPr>
      </w:pPr>
    </w:p>
    <w:p>
      <w:pPr>
        <w:ind w:left="980" w:hanging="81"/>
        <w:spacing w:after="0"/>
        <w:tabs>
          <w:tab w:leader="none" w:pos="980" w:val="left"/>
        </w:tabs>
        <w:numPr>
          <w:ilvl w:val="1"/>
          <w:numId w:val="7"/>
        </w:numPr>
        <w:rPr>
          <w:rFonts w:ascii="Arial" w:cs="Arial" w:eastAsia="Arial" w:hAnsi="Arial"/>
          <w:sz w:val="14"/>
          <w:szCs w:val="14"/>
          <w:color w:val="auto"/>
        </w:rPr>
      </w:pPr>
      <w:r>
        <w:rPr>
          <w:rFonts w:ascii="Arial" w:cs="Arial" w:eastAsia="Arial" w:hAnsi="Arial"/>
          <w:sz w:val="14"/>
          <w:szCs w:val="14"/>
          <w:color w:val="auto"/>
        </w:rPr>
        <w:t>our Broadcast Television segment generates revenue from the fees received under retransmission consent agreements with our Cable Communications segment</w:t>
      </w:r>
    </w:p>
    <w:p>
      <w:pPr>
        <w:spacing w:after="0" w:line="68" w:lineRule="exact"/>
        <w:rPr>
          <w:rFonts w:ascii="Arial" w:cs="Arial" w:eastAsia="Arial" w:hAnsi="Arial"/>
          <w:sz w:val="14"/>
          <w:szCs w:val="14"/>
          <w:color w:val="auto"/>
        </w:rPr>
      </w:pPr>
    </w:p>
    <w:p>
      <w:pPr>
        <w:ind w:left="980" w:hanging="81"/>
        <w:spacing w:after="0"/>
        <w:tabs>
          <w:tab w:leader="none" w:pos="980" w:val="left"/>
        </w:tabs>
        <w:numPr>
          <w:ilvl w:val="1"/>
          <w:numId w:val="7"/>
        </w:numPr>
        <w:rPr>
          <w:rFonts w:ascii="Arial" w:cs="Arial" w:eastAsia="Arial" w:hAnsi="Arial"/>
          <w:sz w:val="14"/>
          <w:szCs w:val="14"/>
          <w:color w:val="auto"/>
        </w:rPr>
      </w:pPr>
      <w:r>
        <w:rPr>
          <w:rFonts w:ascii="Arial" w:cs="Arial" w:eastAsia="Arial" w:hAnsi="Arial"/>
          <w:sz w:val="14"/>
          <w:szCs w:val="14"/>
          <w:color w:val="auto"/>
        </w:rPr>
        <w:t>our Cable Communications segment generates revenue by selling advertising and by selling the use of satellite feeds to our Cable Networks segment</w:t>
      </w:r>
    </w:p>
    <w:p>
      <w:pPr>
        <w:spacing w:after="0" w:line="68" w:lineRule="exact"/>
        <w:rPr>
          <w:rFonts w:ascii="Arial" w:cs="Arial" w:eastAsia="Arial" w:hAnsi="Arial"/>
          <w:sz w:val="14"/>
          <w:szCs w:val="14"/>
          <w:color w:val="auto"/>
        </w:rPr>
      </w:pPr>
    </w:p>
    <w:p>
      <w:pPr>
        <w:ind w:left="980" w:hanging="81"/>
        <w:spacing w:after="0"/>
        <w:tabs>
          <w:tab w:leader="none" w:pos="980" w:val="left"/>
        </w:tabs>
        <w:numPr>
          <w:ilvl w:val="1"/>
          <w:numId w:val="7"/>
        </w:numPr>
        <w:rPr>
          <w:rFonts w:ascii="Arial" w:cs="Arial" w:eastAsia="Arial" w:hAnsi="Arial"/>
          <w:sz w:val="14"/>
          <w:szCs w:val="14"/>
          <w:color w:val="auto"/>
        </w:rPr>
      </w:pPr>
      <w:r>
        <w:rPr>
          <w:rFonts w:ascii="Arial" w:cs="Arial" w:eastAsia="Arial" w:hAnsi="Arial"/>
          <w:sz w:val="14"/>
          <w:szCs w:val="14"/>
          <w:color w:val="auto"/>
        </w:rPr>
        <w:t>our Filmed Entertainment and Broadcast Television segments generate revenue from the licensing of film and television content to our Cable Networks segment</w:t>
      </w:r>
    </w:p>
    <w:p>
      <w:pPr>
        <w:spacing w:after="0" w:line="68" w:lineRule="exact"/>
        <w:rPr>
          <w:rFonts w:ascii="Arial" w:cs="Arial" w:eastAsia="Arial" w:hAnsi="Arial"/>
          <w:sz w:val="14"/>
          <w:szCs w:val="14"/>
          <w:color w:val="auto"/>
        </w:rPr>
      </w:pPr>
    </w:p>
    <w:p>
      <w:pPr>
        <w:ind w:left="340" w:right="20" w:hanging="332"/>
        <w:spacing w:after="0" w:line="312" w:lineRule="auto"/>
        <w:tabs>
          <w:tab w:leader="none" w:pos="340" w:val="left"/>
        </w:tabs>
        <w:numPr>
          <w:ilvl w:val="0"/>
          <w:numId w:val="7"/>
        </w:numPr>
        <w:rPr>
          <w:rFonts w:ascii="Arial" w:cs="Arial" w:eastAsia="Arial" w:hAnsi="Arial"/>
          <w:sz w:val="13"/>
          <w:szCs w:val="13"/>
          <w:color w:val="auto"/>
        </w:rPr>
      </w:pPr>
      <w:r>
        <w:rPr>
          <w:rFonts w:ascii="Arial" w:cs="Arial" w:eastAsia="Arial" w:hAnsi="Arial"/>
          <w:sz w:val="13"/>
          <w:szCs w:val="13"/>
          <w:color w:val="auto"/>
        </w:rPr>
        <w:t>Corporate and Other activities include costs associated with overhead and personnel, the costs of corporate initiatives and branding, including our new wireless phone service, and the operations of Comcast Spectacor, which owns the Philadelphia Flyers and the Wells Fargo Center arena in Philadelphia, Pennsylvania and operates arena management-related businesses.</w:t>
      </w:r>
    </w:p>
    <w:p>
      <w:pPr>
        <w:spacing w:after="0" w:line="2" w:lineRule="exact"/>
        <w:rPr>
          <w:rFonts w:ascii="Arial" w:cs="Arial" w:eastAsia="Arial" w:hAnsi="Arial"/>
          <w:sz w:val="13"/>
          <w:szCs w:val="13"/>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No single customer accounted for a significant amount of revenue in any period.</w:t>
      </w:r>
    </w:p>
    <w:p>
      <w:pPr>
        <w:spacing w:after="0" w:line="68" w:lineRule="exact"/>
        <w:rPr>
          <w:rFonts w:ascii="Arial" w:cs="Arial" w:eastAsia="Arial" w:hAnsi="Arial"/>
          <w:sz w:val="14"/>
          <w:szCs w:val="14"/>
          <w:color w:val="auto"/>
        </w:rPr>
      </w:pPr>
    </w:p>
    <w:p>
      <w:pPr>
        <w:jc w:val="both"/>
        <w:ind w:left="340" w:hanging="332"/>
        <w:spacing w:after="0" w:line="244"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We use Adjusted EBITDA as the measure of profit or loss for our operating segments. Adjusted EBITDA is defined as net income attributable to Comcast Corporation before net (income) loss attributable to noncontrolling interests and redeemable subsidiary preferred stock, income tax expense, other income (expense) items, net, and depreciation and amortization, and excluding impairment charges related to fixed and intangible assets and gains or losses on the sale of long-lived assets, if any. Other income (expense) items, net include interest expense, investment income (loss), equity in net income (losses) of investees, and other income (expense), net (as stated in our condensed consolidated statement of income). This measure eliminates the significant level of noncash depreciation and amortization expense that results from the capital-intensive nature of certain of our businesses and from intangible assets recognized in business combinations. Additionally, it is unaffected by our capital and tax structures and by our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that of other companies in our industries, although our measure may not be directly comparable to similar measures used by other companies. This measure should not be considered a substitute for operating income (loss), net income (loss), net income (loss) attributable to Comcast Corporation, net cash provided by operating activities, or other measures of performance or liquidity we have reported in accordance with GAAP. Our reconciliation of the aggregate amount of Adjusted EBITDA for our reportable segments to consolidated income before income taxes is presented in the table below.</w:t>
      </w:r>
    </w:p>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20" w:type="dxa"/>
            <w:vAlign w:val="bottom"/>
            <w:gridSpan w:val="3"/>
          </w:tcPr>
          <w:p>
            <w:pPr>
              <w:jc w:val="right"/>
              <w:ind w:right="688"/>
              <w:spacing w:after="0"/>
              <w:rPr>
                <w:sz w:val="20"/>
                <w:szCs w:val="20"/>
                <w:color w:val="auto"/>
              </w:rPr>
            </w:pPr>
            <w:r>
              <w:rPr>
                <w:rFonts w:ascii="Arial" w:cs="Arial" w:eastAsia="Arial" w:hAnsi="Arial"/>
                <w:sz w:val="14"/>
                <w:szCs w:val="14"/>
                <w:color w:val="auto"/>
              </w:rPr>
              <w:t>Three Months Ended</w:t>
            </w:r>
          </w:p>
        </w:tc>
      </w:tr>
      <w:tr>
        <w:trPr>
          <w:trHeight w:val="188"/>
        </w:trPr>
        <w:tc>
          <w:tcPr>
            <w:tcW w:w="77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color w:val="auto"/>
              </w:rPr>
              <w:t>March 31</w:t>
            </w:r>
          </w:p>
        </w:tc>
        <w:tc>
          <w:tcPr>
            <w:tcW w:w="960" w:type="dxa"/>
            <w:vAlign w:val="bottom"/>
            <w:tcBorders>
              <w:bottom w:val="single" w:sz="8" w:color="auto"/>
            </w:tcBorders>
          </w:tcPr>
          <w:p>
            <w:pPr>
              <w:spacing w:after="0"/>
              <w:rPr>
                <w:sz w:val="16"/>
                <w:szCs w:val="16"/>
                <w:color w:val="auto"/>
              </w:rPr>
            </w:pPr>
          </w:p>
        </w:tc>
      </w:tr>
      <w:tr>
        <w:trPr>
          <w:trHeight w:val="196"/>
        </w:trPr>
        <w:tc>
          <w:tcPr>
            <w:tcW w:w="77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2017</w:t>
            </w: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2016</w:t>
            </w:r>
          </w:p>
        </w:tc>
      </w:tr>
      <w:tr>
        <w:trPr>
          <w:trHeight w:val="204"/>
        </w:trPr>
        <w:tc>
          <w:tcPr>
            <w:tcW w:w="7780" w:type="dxa"/>
            <w:vAlign w:val="bottom"/>
          </w:tcPr>
          <w:p>
            <w:pPr>
              <w:ind w:left="20"/>
              <w:spacing w:after="0"/>
              <w:rPr>
                <w:sz w:val="20"/>
                <w:szCs w:val="20"/>
                <w:color w:val="auto"/>
              </w:rPr>
            </w:pPr>
            <w:r>
              <w:rPr>
                <w:rFonts w:ascii="Arial" w:cs="Arial" w:eastAsia="Arial" w:hAnsi="Arial"/>
                <w:sz w:val="14"/>
                <w:szCs w:val="14"/>
                <w:color w:val="auto"/>
              </w:rPr>
              <w:t>Adjusted EBITDA</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7,032</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6,367</w:t>
            </w:r>
          </w:p>
        </w:tc>
      </w:tr>
      <w:tr>
        <w:trPr>
          <w:trHeight w:val="203"/>
        </w:trPr>
        <w:tc>
          <w:tcPr>
            <w:tcW w:w="7780" w:type="dxa"/>
            <w:vAlign w:val="bottom"/>
          </w:tcPr>
          <w:p>
            <w:pPr>
              <w:ind w:left="20"/>
              <w:spacing w:after="0"/>
              <w:rPr>
                <w:sz w:val="20"/>
                <w:szCs w:val="20"/>
                <w:color w:val="auto"/>
              </w:rPr>
            </w:pPr>
            <w:r>
              <w:rPr>
                <w:rFonts w:ascii="Arial" w:cs="Arial" w:eastAsia="Arial" w:hAnsi="Arial"/>
                <w:sz w:val="14"/>
                <w:szCs w:val="14"/>
                <w:color w:val="auto"/>
              </w:rPr>
              <w:t>Depreciation</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(1,915)</w:t>
            </w:r>
          </w:p>
        </w:tc>
        <w:tc>
          <w:tcPr>
            <w:tcW w:w="4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(1,785)</w:t>
            </w:r>
          </w:p>
        </w:tc>
      </w:tr>
      <w:tr>
        <w:trPr>
          <w:trHeight w:val="203"/>
        </w:trPr>
        <w:tc>
          <w:tcPr>
            <w:tcW w:w="7780" w:type="dxa"/>
            <w:vAlign w:val="bottom"/>
          </w:tcPr>
          <w:p>
            <w:pPr>
              <w:ind w:left="20"/>
              <w:spacing w:after="0"/>
              <w:rPr>
                <w:sz w:val="20"/>
                <w:szCs w:val="20"/>
                <w:color w:val="auto"/>
              </w:rPr>
            </w:pPr>
            <w:r>
              <w:rPr>
                <w:rFonts w:ascii="Arial" w:cs="Arial" w:eastAsia="Arial" w:hAnsi="Arial"/>
                <w:sz w:val="14"/>
                <w:szCs w:val="14"/>
                <w:color w:val="auto"/>
              </w:rPr>
              <w:t>Amortization</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(587)</w:t>
            </w:r>
          </w:p>
        </w:tc>
        <w:tc>
          <w:tcPr>
            <w:tcW w:w="4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(493)</w:t>
            </w:r>
          </w:p>
        </w:tc>
      </w:tr>
      <w:tr>
        <w:trPr>
          <w:trHeight w:val="209"/>
        </w:trPr>
        <w:tc>
          <w:tcPr>
            <w:tcW w:w="77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income (expense) items, net</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(625)</w:t>
            </w: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(554)</w:t>
            </w:r>
          </w:p>
        </w:tc>
      </w:tr>
      <w:tr>
        <w:trPr>
          <w:trHeight w:val="223"/>
        </w:trPr>
        <w:tc>
          <w:tcPr>
            <w:tcW w:w="77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 before income taxes</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3,905</w:t>
            </w: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3,535</w:t>
            </w: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 Condensed Consolidating Financial Information</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Comcast (“Comcast Parent”), Comcast Cable Communications, LLC (“CCCL Parent”), and NBCUniversal (“NBCUniversal Media Parent”) have fully and unconditionally guaranteed each other’s debt securities, including the Comcast revolving credit facility.</w:t>
      </w:r>
    </w:p>
    <w:p>
      <w:pPr>
        <w:spacing w:after="0" w:line="2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Comcast Parent and CCCL Parent also fully and unconditionally guarantee NBCUniversal Enterprise’s $3.3 billion principal amount of senior notes, revolving credit facility and commercial paper program. NBCUniversal Media Parent does not guarantee the NBCUniversal Enterprise senior notes, revolving credit facility or commercial paper program.</w:t>
      </w:r>
    </w:p>
    <w:p>
      <w:pPr>
        <w:spacing w:after="0" w:line="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Comcast Parent provides an unconditional subordinated guarantee of the $185 million principal amount currently outstanding of Comcast Holdings’ ZONES due October 2029. Neither CCCL Parent nor NBCUniversal Media Parent guarantee the Comcast Holdings’ ZONES due October 2029. None of Comcast Parent, CCCL Parent nor NBCUniversal Media Parent guarantee the $62 million principal amount currently outstanding of Comcast Holdings’ ZONES due November 2029 or the $3.4 billion of Universal Studios Japan term loans.</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2017</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center"/>
              <w:ind w:right="72"/>
              <w:spacing w:after="0"/>
              <w:rPr>
                <w:sz w:val="20"/>
                <w:szCs w:val="20"/>
                <w:color w:val="auto"/>
              </w:rPr>
            </w:pPr>
            <w:r>
              <w:rPr>
                <w:rFonts w:ascii="Arial" w:cs="Arial" w:eastAsia="Arial" w:hAnsi="Arial"/>
                <w:sz w:val="14"/>
                <w:szCs w:val="14"/>
                <w:color w:val="auto"/>
                <w:w w:val="99"/>
              </w:rPr>
              <w:t>Elimination</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49"/>
        </w:trPr>
        <w:tc>
          <w:tcPr>
            <w:tcW w:w="2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ind w:right="52"/>
              <w:spacing w:after="0" w:line="149" w:lineRule="exact"/>
              <w:rPr>
                <w:sz w:val="20"/>
                <w:szCs w:val="20"/>
                <w:color w:val="auto"/>
              </w:rPr>
            </w:pPr>
            <w:r>
              <w:rPr>
                <w:rFonts w:ascii="Arial" w:cs="Arial" w:eastAsia="Arial" w:hAnsi="Arial"/>
                <w:sz w:val="14"/>
                <w:szCs w:val="14"/>
                <w:color w:val="auto"/>
                <w:w w:val="92"/>
              </w:rPr>
              <w:t>Non-</w:t>
            </w:r>
          </w:p>
        </w:tc>
        <w:tc>
          <w:tcPr>
            <w:tcW w:w="220" w:type="dxa"/>
            <w:vAlign w:val="bottom"/>
          </w:tcPr>
          <w:p>
            <w:pPr>
              <w:spacing w:after="0"/>
              <w:rPr>
                <w:sz w:val="12"/>
                <w:szCs w:val="12"/>
                <w:color w:val="auto"/>
              </w:rPr>
            </w:pPr>
          </w:p>
        </w:tc>
        <w:tc>
          <w:tcPr>
            <w:tcW w:w="10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85"/>
              </w:rPr>
              <w:t>and</w:t>
            </w:r>
          </w:p>
        </w:tc>
        <w:tc>
          <w:tcPr>
            <w:tcW w:w="180" w:type="dxa"/>
            <w:vAlign w:val="bottom"/>
          </w:tcPr>
          <w:p>
            <w:pPr>
              <w:spacing w:after="0"/>
              <w:rPr>
                <w:sz w:val="12"/>
                <w:szCs w:val="12"/>
                <w:color w:val="auto"/>
              </w:rPr>
            </w:pPr>
          </w:p>
        </w:tc>
        <w:tc>
          <w:tcPr>
            <w:tcW w:w="10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92"/>
              </w:rPr>
              <w:t>Consolidated</w:t>
            </w:r>
          </w:p>
        </w:tc>
      </w:tr>
      <w:tr>
        <w:trPr>
          <w:trHeight w:val="149"/>
        </w:trPr>
        <w:tc>
          <w:tcPr>
            <w:tcW w:w="2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ind w:right="251"/>
              <w:spacing w:after="0" w:line="149" w:lineRule="exact"/>
              <w:rPr>
                <w:sz w:val="20"/>
                <w:szCs w:val="20"/>
                <w:color w:val="auto"/>
              </w:rPr>
            </w:pPr>
            <w:r>
              <w:rPr>
                <w:rFonts w:ascii="Arial" w:cs="Arial" w:eastAsia="Arial" w:hAnsi="Arial"/>
                <w:sz w:val="14"/>
                <w:szCs w:val="14"/>
                <w:color w:val="auto"/>
              </w:rPr>
              <w:t>Comcast</w:t>
            </w:r>
          </w:p>
        </w:tc>
        <w:tc>
          <w:tcPr>
            <w:tcW w:w="280" w:type="dxa"/>
            <w:vAlign w:val="bottom"/>
          </w:tcPr>
          <w:p>
            <w:pPr>
              <w:spacing w:after="0"/>
              <w:rPr>
                <w:sz w:val="12"/>
                <w:szCs w:val="12"/>
                <w:color w:val="auto"/>
              </w:rPr>
            </w:pPr>
          </w:p>
        </w:tc>
        <w:tc>
          <w:tcPr>
            <w:tcW w:w="980" w:type="dxa"/>
            <w:vAlign w:val="bottom"/>
          </w:tcPr>
          <w:p>
            <w:pPr>
              <w:jc w:val="right"/>
              <w:ind w:right="251"/>
              <w:spacing w:after="0" w:line="149" w:lineRule="exact"/>
              <w:rPr>
                <w:sz w:val="20"/>
                <w:szCs w:val="20"/>
                <w:color w:val="auto"/>
              </w:rPr>
            </w:pPr>
            <w:r>
              <w:rPr>
                <w:rFonts w:ascii="Arial" w:cs="Arial" w:eastAsia="Arial" w:hAnsi="Arial"/>
                <w:sz w:val="14"/>
                <w:szCs w:val="14"/>
                <w:color w:val="auto"/>
              </w:rPr>
              <w:t>Comcast</w:t>
            </w:r>
          </w:p>
        </w:tc>
        <w:tc>
          <w:tcPr>
            <w:tcW w:w="280" w:type="dxa"/>
            <w:vAlign w:val="bottom"/>
          </w:tcPr>
          <w:p>
            <w:pPr>
              <w:spacing w:after="0"/>
              <w:rPr>
                <w:sz w:val="12"/>
                <w:szCs w:val="12"/>
                <w:color w:val="auto"/>
              </w:rPr>
            </w:pPr>
          </w:p>
        </w:tc>
        <w:tc>
          <w:tcPr>
            <w:tcW w:w="860" w:type="dxa"/>
            <w:vAlign w:val="bottom"/>
          </w:tcPr>
          <w:p>
            <w:pPr>
              <w:jc w:val="right"/>
              <w:ind w:right="251"/>
              <w:spacing w:after="0" w:line="149" w:lineRule="exact"/>
              <w:rPr>
                <w:sz w:val="20"/>
                <w:szCs w:val="20"/>
                <w:color w:val="auto"/>
              </w:rPr>
            </w:pPr>
            <w:r>
              <w:rPr>
                <w:rFonts w:ascii="Arial" w:cs="Arial" w:eastAsia="Arial" w:hAnsi="Arial"/>
                <w:sz w:val="14"/>
                <w:szCs w:val="14"/>
                <w:color w:val="auto"/>
              </w:rPr>
              <w:t>CCCL</w:t>
            </w:r>
          </w:p>
        </w:tc>
        <w:tc>
          <w:tcPr>
            <w:tcW w:w="200" w:type="dxa"/>
            <w:vAlign w:val="bottom"/>
          </w:tcPr>
          <w:p>
            <w:pPr>
              <w:spacing w:after="0"/>
              <w:rPr>
                <w:sz w:val="12"/>
                <w:szCs w:val="12"/>
                <w:color w:val="auto"/>
              </w:rPr>
            </w:pPr>
          </w:p>
        </w:tc>
        <w:tc>
          <w:tcPr>
            <w:tcW w:w="1060" w:type="dxa"/>
            <w:vAlign w:val="bottom"/>
          </w:tcPr>
          <w:p>
            <w:pPr>
              <w:jc w:val="right"/>
              <w:ind w:right="71"/>
              <w:spacing w:after="0" w:line="149" w:lineRule="exact"/>
              <w:rPr>
                <w:sz w:val="20"/>
                <w:szCs w:val="20"/>
                <w:color w:val="auto"/>
              </w:rPr>
            </w:pPr>
            <w:r>
              <w:rPr>
                <w:rFonts w:ascii="Arial" w:cs="Arial" w:eastAsia="Arial" w:hAnsi="Arial"/>
                <w:sz w:val="14"/>
                <w:szCs w:val="14"/>
                <w:color w:val="auto"/>
              </w:rPr>
              <w:t>NBCUniversal</w:t>
            </w:r>
          </w:p>
        </w:tc>
        <w:tc>
          <w:tcPr>
            <w:tcW w:w="220" w:type="dxa"/>
            <w:vAlign w:val="bottom"/>
          </w:tcPr>
          <w:p>
            <w:pPr>
              <w:spacing w:after="0"/>
              <w:rPr>
                <w:sz w:val="12"/>
                <w:szCs w:val="12"/>
                <w:color w:val="auto"/>
              </w:rPr>
            </w:pPr>
          </w:p>
        </w:tc>
        <w:tc>
          <w:tcPr>
            <w:tcW w:w="1020" w:type="dxa"/>
            <w:vAlign w:val="bottom"/>
          </w:tcPr>
          <w:p>
            <w:pPr>
              <w:jc w:val="center"/>
              <w:ind w:right="52"/>
              <w:spacing w:after="0" w:line="149" w:lineRule="exact"/>
              <w:rPr>
                <w:sz w:val="20"/>
                <w:szCs w:val="20"/>
                <w:color w:val="auto"/>
              </w:rPr>
            </w:pPr>
            <w:r>
              <w:rPr>
                <w:rFonts w:ascii="Arial" w:cs="Arial" w:eastAsia="Arial" w:hAnsi="Arial"/>
                <w:sz w:val="14"/>
                <w:szCs w:val="14"/>
                <w:color w:val="auto"/>
                <w:w w:val="95"/>
              </w:rPr>
              <w:t>Guarantor</w:t>
            </w:r>
          </w:p>
        </w:tc>
        <w:tc>
          <w:tcPr>
            <w:tcW w:w="220" w:type="dxa"/>
            <w:vAlign w:val="bottom"/>
          </w:tcPr>
          <w:p>
            <w:pPr>
              <w:spacing w:after="0"/>
              <w:rPr>
                <w:sz w:val="12"/>
                <w:szCs w:val="12"/>
                <w:color w:val="auto"/>
              </w:rPr>
            </w:pPr>
          </w:p>
        </w:tc>
        <w:tc>
          <w:tcPr>
            <w:tcW w:w="10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94"/>
              </w:rPr>
              <w:t>Consolidation</w:t>
            </w:r>
          </w:p>
        </w:tc>
        <w:tc>
          <w:tcPr>
            <w:tcW w:w="180" w:type="dxa"/>
            <w:vAlign w:val="bottom"/>
          </w:tcPr>
          <w:p>
            <w:pPr>
              <w:spacing w:after="0"/>
              <w:rPr>
                <w:sz w:val="12"/>
                <w:szCs w:val="12"/>
                <w:color w:val="auto"/>
              </w:rPr>
            </w:pPr>
          </w:p>
        </w:tc>
        <w:tc>
          <w:tcPr>
            <w:tcW w:w="108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0"/>
              </w:rPr>
              <w:t>Comcast</w:t>
            </w:r>
          </w:p>
        </w:tc>
      </w:tr>
      <w:tr>
        <w:trPr>
          <w:trHeight w:val="188"/>
        </w:trPr>
        <w:tc>
          <w:tcPr>
            <w:tcW w:w="27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color w:val="auto"/>
              </w:rPr>
              <w:t>Parent</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Holdings</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Parent</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w w:val="98"/>
              </w:rPr>
              <w:t>Media Parent</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color w:val="auto"/>
                <w:w w:val="94"/>
              </w:rPr>
              <w:t>Subsidiaries</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color w:val="auto"/>
                <w:w w:val="93"/>
              </w:rPr>
              <w:t>Adjustments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color w:val="auto"/>
                <w:w w:val="95"/>
              </w:rPr>
              <w:t>Corporation</w:t>
            </w:r>
          </w:p>
        </w:tc>
      </w:tr>
      <w:tr>
        <w:trPr>
          <w:trHeight w:val="243"/>
        </w:trPr>
        <w:tc>
          <w:tcPr>
            <w:tcW w:w="272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0"/>
        </w:trPr>
        <w:tc>
          <w:tcPr>
            <w:tcW w:w="272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3,752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4,022</w:t>
            </w:r>
          </w:p>
        </w:tc>
      </w:tr>
      <w:tr>
        <w:trPr>
          <w:trHeight w:val="270"/>
        </w:trPr>
        <w:tc>
          <w:tcPr>
            <w:tcW w:w="2720" w:type="dxa"/>
            <w:vAlign w:val="bottom"/>
          </w:tcPr>
          <w:p>
            <w:pPr>
              <w:ind w:left="180"/>
              <w:spacing w:after="0"/>
              <w:rPr>
                <w:sz w:val="20"/>
                <w:szCs w:val="20"/>
                <w:color w:val="auto"/>
              </w:rPr>
            </w:pPr>
            <w:r>
              <w:rPr>
                <w:rFonts w:ascii="Arial" w:cs="Arial" w:eastAsia="Arial" w:hAnsi="Arial"/>
                <w:sz w:val="18"/>
                <w:szCs w:val="18"/>
                <w:color w:val="auto"/>
              </w:rPr>
              <w:t>Receivables, net</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7,525</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7,525</w:t>
            </w:r>
          </w:p>
        </w:tc>
      </w:tr>
      <w:tr>
        <w:trPr>
          <w:trHeight w:val="270"/>
        </w:trPr>
        <w:tc>
          <w:tcPr>
            <w:tcW w:w="2720" w:type="dxa"/>
            <w:vAlign w:val="bottom"/>
          </w:tcPr>
          <w:p>
            <w:pPr>
              <w:ind w:left="180"/>
              <w:spacing w:after="0"/>
              <w:rPr>
                <w:sz w:val="20"/>
                <w:szCs w:val="20"/>
                <w:color w:val="auto"/>
              </w:rPr>
            </w:pPr>
            <w:r>
              <w:rPr>
                <w:rFonts w:ascii="Arial" w:cs="Arial" w:eastAsia="Arial" w:hAnsi="Arial"/>
                <w:sz w:val="18"/>
                <w:szCs w:val="18"/>
                <w:color w:val="auto"/>
              </w:rPr>
              <w:t>Programming rights</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1,479</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1,479</w:t>
            </w:r>
          </w:p>
        </w:tc>
      </w:tr>
      <w:tr>
        <w:trPr>
          <w:trHeight w:val="270"/>
        </w:trPr>
        <w:tc>
          <w:tcPr>
            <w:tcW w:w="272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2,063</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2,219</w:t>
            </w:r>
          </w:p>
        </w:tc>
      </w:tr>
      <w:tr>
        <w:trPr>
          <w:trHeight w:val="27"/>
        </w:trPr>
        <w:tc>
          <w:tcPr>
            <w:tcW w:w="2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72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330</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14,819</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15,245</w:t>
            </w:r>
          </w:p>
        </w:tc>
      </w:tr>
      <w:tr>
        <w:trPr>
          <w:trHeight w:val="270"/>
        </w:trPr>
        <w:tc>
          <w:tcPr>
            <w:tcW w:w="2720" w:type="dxa"/>
            <w:vAlign w:val="bottom"/>
          </w:tcPr>
          <w:p>
            <w:pPr>
              <w:ind w:left="40"/>
              <w:spacing w:after="0"/>
              <w:rPr>
                <w:sz w:val="20"/>
                <w:szCs w:val="20"/>
                <w:color w:val="auto"/>
              </w:rPr>
            </w:pPr>
            <w:r>
              <w:rPr>
                <w:rFonts w:ascii="Arial" w:cs="Arial" w:eastAsia="Arial" w:hAnsi="Arial"/>
                <w:sz w:val="18"/>
                <w:szCs w:val="18"/>
                <w:color w:val="auto"/>
              </w:rPr>
              <w:t>Film and television costs</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6,968</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6,968</w:t>
            </w:r>
          </w:p>
        </w:tc>
      </w:tr>
      <w:tr>
        <w:trPr>
          <w:trHeight w:val="270"/>
        </w:trPr>
        <w:tc>
          <w:tcPr>
            <w:tcW w:w="272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657</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5,187</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5,938</w:t>
            </w:r>
          </w:p>
        </w:tc>
      </w:tr>
      <w:tr>
        <w:trPr>
          <w:trHeight w:val="256"/>
        </w:trPr>
        <w:tc>
          <w:tcPr>
            <w:tcW w:w="2720" w:type="dxa"/>
            <w:vAlign w:val="bottom"/>
          </w:tcPr>
          <w:p>
            <w:pPr>
              <w:ind w:left="40"/>
              <w:spacing w:after="0"/>
              <w:rPr>
                <w:sz w:val="20"/>
                <w:szCs w:val="20"/>
                <w:color w:val="auto"/>
              </w:rPr>
            </w:pPr>
            <w:r>
              <w:rPr>
                <w:rFonts w:ascii="Arial" w:cs="Arial" w:eastAsia="Arial" w:hAnsi="Arial"/>
                <w:sz w:val="18"/>
                <w:szCs w:val="18"/>
                <w:color w:val="auto"/>
              </w:rPr>
              <w:t>Investments in and amounts due</w:t>
            </w: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720" w:type="dxa"/>
            <w:vAlign w:val="bottom"/>
          </w:tcPr>
          <w:p>
            <w:pPr>
              <w:ind w:left="200"/>
              <w:spacing w:after="0"/>
              <w:rPr>
                <w:sz w:val="20"/>
                <w:szCs w:val="20"/>
                <w:color w:val="auto"/>
              </w:rPr>
            </w:pPr>
            <w:r>
              <w:rPr>
                <w:rFonts w:ascii="Arial" w:cs="Arial" w:eastAsia="Arial" w:hAnsi="Arial"/>
                <w:sz w:val="18"/>
                <w:szCs w:val="18"/>
                <w:color w:val="auto"/>
                <w:w w:val="93"/>
              </w:rPr>
              <w:t>from subsidiaries eliminated upon</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720" w:type="dxa"/>
            <w:vAlign w:val="bottom"/>
          </w:tcPr>
          <w:p>
            <w:pPr>
              <w:ind w:left="200"/>
              <w:spacing w:after="0"/>
              <w:rPr>
                <w:sz w:val="20"/>
                <w:szCs w:val="20"/>
                <w:color w:val="auto"/>
              </w:rPr>
            </w:pPr>
            <w:r>
              <w:rPr>
                <w:rFonts w:ascii="Arial" w:cs="Arial" w:eastAsia="Arial" w:hAnsi="Arial"/>
                <w:sz w:val="18"/>
                <w:szCs w:val="18"/>
                <w:color w:val="auto"/>
              </w:rPr>
              <w:t>consolidation</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100,103</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123,806</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120,362</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49,537</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104,918</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(498,726)</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272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364</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36,262</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36,626</w:t>
            </w:r>
          </w:p>
        </w:tc>
      </w:tr>
      <w:tr>
        <w:trPr>
          <w:trHeight w:val="270"/>
        </w:trPr>
        <w:tc>
          <w:tcPr>
            <w:tcW w:w="2720" w:type="dxa"/>
            <w:vAlign w:val="bottom"/>
          </w:tcPr>
          <w:p>
            <w:pPr>
              <w:ind w:left="40"/>
              <w:spacing w:after="0"/>
              <w:rPr>
                <w:sz w:val="20"/>
                <w:szCs w:val="20"/>
                <w:color w:val="auto"/>
              </w:rPr>
            </w:pPr>
            <w:r>
              <w:rPr>
                <w:rFonts w:ascii="Arial" w:cs="Arial" w:eastAsia="Arial" w:hAnsi="Arial"/>
                <w:sz w:val="18"/>
                <w:szCs w:val="18"/>
                <w:color w:val="auto"/>
              </w:rPr>
              <w:t>Franchise rights</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59,364</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59,364</w:t>
            </w:r>
          </w:p>
        </w:tc>
      </w:tr>
      <w:tr>
        <w:trPr>
          <w:trHeight w:val="270"/>
        </w:trPr>
        <w:tc>
          <w:tcPr>
            <w:tcW w:w="2720" w:type="dxa"/>
            <w:vAlign w:val="bottom"/>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36,592</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36,592</w:t>
            </w:r>
          </w:p>
        </w:tc>
      </w:tr>
      <w:tr>
        <w:trPr>
          <w:trHeight w:val="270"/>
        </w:trPr>
        <w:tc>
          <w:tcPr>
            <w:tcW w:w="2720" w:type="dxa"/>
            <w:vAlign w:val="bottom"/>
          </w:tcPr>
          <w:p>
            <w:pPr>
              <w:ind w:left="40"/>
              <w:spacing w:after="0"/>
              <w:rPr>
                <w:sz w:val="20"/>
                <w:szCs w:val="20"/>
                <w:color w:val="auto"/>
              </w:rPr>
            </w:pPr>
            <w:r>
              <w:rPr>
                <w:rFonts w:ascii="Arial" w:cs="Arial" w:eastAsia="Arial" w:hAnsi="Arial"/>
                <w:sz w:val="18"/>
                <w:szCs w:val="18"/>
                <w:color w:val="auto"/>
              </w:rPr>
              <w:t>Other intangible assets, net</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19,002</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19,014</w:t>
            </w:r>
          </w:p>
        </w:tc>
      </w:tr>
      <w:tr>
        <w:trPr>
          <w:trHeight w:val="270"/>
        </w:trPr>
        <w:tc>
          <w:tcPr>
            <w:tcW w:w="2720" w:type="dxa"/>
            <w:vAlign w:val="bottom"/>
          </w:tcPr>
          <w:p>
            <w:pPr>
              <w:ind w:left="40"/>
              <w:spacing w:after="0"/>
              <w:rPr>
                <w:sz w:val="20"/>
                <w:szCs w:val="20"/>
                <w:color w:val="auto"/>
              </w:rPr>
            </w:pPr>
            <w:r>
              <w:rPr>
                <w:rFonts w:ascii="Arial" w:cs="Arial" w:eastAsia="Arial" w:hAnsi="Arial"/>
                <w:sz w:val="18"/>
                <w:szCs w:val="18"/>
                <w:color w:val="auto"/>
              </w:rPr>
              <w:t>Other noncurrent assets, net</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1,115</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666</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1,876</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(1,005)</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2,732</w:t>
            </w:r>
          </w:p>
        </w:tc>
      </w:tr>
      <w:tr>
        <w:trPr>
          <w:trHeight w:val="27"/>
        </w:trPr>
        <w:tc>
          <w:tcPr>
            <w:tcW w:w="2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72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101,774</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124,472</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120,372</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50,604</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284,988</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(499,731)</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182,479</w:t>
            </w:r>
          </w:p>
        </w:tc>
      </w:tr>
      <w:tr>
        <w:trPr>
          <w:trHeight w:val="34"/>
        </w:trPr>
        <w:tc>
          <w:tcPr>
            <w:tcW w:w="2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2720" w:type="dxa"/>
            <w:vAlign w:val="bottom"/>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6"/>
        </w:trPr>
        <w:tc>
          <w:tcPr>
            <w:tcW w:w="2720" w:type="dxa"/>
            <w:vAlign w:val="bottom"/>
          </w:tcPr>
          <w:p>
            <w:pPr>
              <w:ind w:left="180"/>
              <w:spacing w:after="0"/>
              <w:rPr>
                <w:sz w:val="20"/>
                <w:szCs w:val="20"/>
                <w:color w:val="auto"/>
              </w:rPr>
            </w:pPr>
            <w:r>
              <w:rPr>
                <w:rFonts w:ascii="Arial" w:cs="Arial" w:eastAsia="Arial" w:hAnsi="Arial"/>
                <w:sz w:val="18"/>
                <w:szCs w:val="18"/>
                <w:color w:val="auto"/>
              </w:rPr>
              <w:t>Accounts payable and accrued</w:t>
            </w: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720" w:type="dxa"/>
            <w:vAlign w:val="bottom"/>
          </w:tcPr>
          <w:p>
            <w:pPr>
              <w:ind w:left="340"/>
              <w:spacing w:after="0"/>
              <w:rPr>
                <w:sz w:val="20"/>
                <w:szCs w:val="20"/>
                <w:color w:val="auto"/>
              </w:rPr>
            </w:pPr>
            <w:r>
              <w:rPr>
                <w:rFonts w:ascii="Arial" w:cs="Arial" w:eastAsia="Arial" w:hAnsi="Arial"/>
                <w:sz w:val="18"/>
                <w:szCs w:val="18"/>
                <w:color w:val="auto"/>
              </w:rPr>
              <w:t>expenses related</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720" w:type="dxa"/>
            <w:vAlign w:val="bottom"/>
          </w:tcPr>
          <w:p>
            <w:pPr>
              <w:ind w:left="340"/>
              <w:spacing w:after="0"/>
              <w:rPr>
                <w:sz w:val="20"/>
                <w:szCs w:val="20"/>
                <w:color w:val="auto"/>
              </w:rPr>
            </w:pPr>
            <w:r>
              <w:rPr>
                <w:rFonts w:ascii="Arial" w:cs="Arial" w:eastAsia="Arial" w:hAnsi="Arial"/>
                <w:sz w:val="18"/>
                <w:szCs w:val="18"/>
                <w:color w:val="auto"/>
              </w:rPr>
              <w:t>to trade creditors</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6,641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6,658</w:t>
            </w:r>
          </w:p>
        </w:tc>
      </w:tr>
      <w:tr>
        <w:trPr>
          <w:trHeight w:val="256"/>
        </w:trPr>
        <w:tc>
          <w:tcPr>
            <w:tcW w:w="2720" w:type="dxa"/>
            <w:vAlign w:val="bottom"/>
          </w:tcPr>
          <w:p>
            <w:pPr>
              <w:ind w:left="180"/>
              <w:spacing w:after="0"/>
              <w:rPr>
                <w:sz w:val="20"/>
                <w:szCs w:val="20"/>
                <w:color w:val="auto"/>
              </w:rPr>
            </w:pPr>
            <w:r>
              <w:rPr>
                <w:rFonts w:ascii="Arial" w:cs="Arial" w:eastAsia="Arial" w:hAnsi="Arial"/>
                <w:sz w:val="18"/>
                <w:szCs w:val="18"/>
                <w:color w:val="auto"/>
              </w:rPr>
              <w:t>Accrued participations and</w:t>
            </w: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720" w:type="dxa"/>
            <w:vAlign w:val="bottom"/>
          </w:tcPr>
          <w:p>
            <w:pPr>
              <w:ind w:left="340"/>
              <w:spacing w:after="0"/>
              <w:rPr>
                <w:sz w:val="20"/>
                <w:szCs w:val="20"/>
                <w:color w:val="auto"/>
              </w:rPr>
            </w:pPr>
            <w:r>
              <w:rPr>
                <w:rFonts w:ascii="Arial" w:cs="Arial" w:eastAsia="Arial" w:hAnsi="Arial"/>
                <w:sz w:val="18"/>
                <w:szCs w:val="18"/>
                <w:color w:val="auto"/>
              </w:rPr>
              <w:t>residuals</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1,811</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1,811</w:t>
            </w:r>
          </w:p>
        </w:tc>
      </w:tr>
      <w:tr>
        <w:trPr>
          <w:trHeight w:val="256"/>
        </w:trPr>
        <w:tc>
          <w:tcPr>
            <w:tcW w:w="2720" w:type="dxa"/>
            <w:vAlign w:val="bottom"/>
          </w:tcPr>
          <w:p>
            <w:pPr>
              <w:ind w:left="180"/>
              <w:spacing w:after="0"/>
              <w:rPr>
                <w:sz w:val="20"/>
                <w:szCs w:val="20"/>
                <w:color w:val="auto"/>
              </w:rPr>
            </w:pPr>
            <w:r>
              <w:rPr>
                <w:rFonts w:ascii="Arial" w:cs="Arial" w:eastAsia="Arial" w:hAnsi="Arial"/>
                <w:sz w:val="18"/>
                <w:szCs w:val="18"/>
                <w:color w:val="auto"/>
              </w:rPr>
              <w:t>Accrued expenses and other</w:t>
            </w: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720" w:type="dxa"/>
            <w:vAlign w:val="bottom"/>
          </w:tcPr>
          <w:p>
            <w:pPr>
              <w:ind w:left="34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1,582</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211</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361</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4,942</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7,096</w:t>
            </w:r>
          </w:p>
        </w:tc>
      </w:tr>
      <w:tr>
        <w:trPr>
          <w:trHeight w:val="270"/>
        </w:trPr>
        <w:tc>
          <w:tcPr>
            <w:tcW w:w="2720" w:type="dxa"/>
            <w:vAlign w:val="bottom"/>
          </w:tcPr>
          <w:p>
            <w:pPr>
              <w:ind w:left="180"/>
              <w:spacing w:after="0"/>
              <w:rPr>
                <w:sz w:val="20"/>
                <w:szCs w:val="20"/>
                <w:color w:val="auto"/>
              </w:rPr>
            </w:pPr>
            <w:r>
              <w:rPr>
                <w:rFonts w:ascii="Arial" w:cs="Arial" w:eastAsia="Arial" w:hAnsi="Arial"/>
                <w:sz w:val="18"/>
                <w:szCs w:val="18"/>
                <w:color w:val="auto"/>
                <w:w w:val="96"/>
              </w:rPr>
              <w:t>Current portion of long-term debt</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1,905</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550</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1,050</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3,509</w:t>
            </w:r>
          </w:p>
        </w:tc>
      </w:tr>
      <w:tr>
        <w:trPr>
          <w:trHeight w:val="27"/>
        </w:trPr>
        <w:tc>
          <w:tcPr>
            <w:tcW w:w="2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72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3,504</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761</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365</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14,444</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19,074</w:t>
            </w:r>
          </w:p>
        </w:tc>
      </w:tr>
      <w:tr>
        <w:trPr>
          <w:trHeight w:val="270"/>
        </w:trPr>
        <w:tc>
          <w:tcPr>
            <w:tcW w:w="2720" w:type="dxa"/>
            <w:vAlign w:val="bottom"/>
          </w:tcPr>
          <w:p>
            <w:pPr>
              <w:ind w:left="40"/>
              <w:spacing w:after="0"/>
              <w:rPr>
                <w:sz w:val="20"/>
                <w:szCs w:val="20"/>
                <w:color w:val="auto"/>
              </w:rPr>
            </w:pPr>
            <w:r>
              <w:rPr>
                <w:rFonts w:ascii="Arial" w:cs="Arial" w:eastAsia="Arial" w:hAnsi="Arial"/>
                <w:sz w:val="18"/>
                <w:szCs w:val="18"/>
                <w:color w:val="auto"/>
                <w:w w:val="93"/>
              </w:rPr>
              <w:t>Long-term debt, less current portion</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40,711</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143</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2,100</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8,204</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7,118</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58,276</w:t>
            </w:r>
          </w:p>
        </w:tc>
      </w:tr>
      <w:tr>
        <w:trPr>
          <w:trHeight w:val="270"/>
        </w:trPr>
        <w:tc>
          <w:tcPr>
            <w:tcW w:w="272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524</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35,760</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(1,005)</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35,348</w:t>
            </w:r>
          </w:p>
        </w:tc>
      </w:tr>
      <w:tr>
        <w:trPr>
          <w:trHeight w:val="270"/>
        </w:trPr>
        <w:tc>
          <w:tcPr>
            <w:tcW w:w="272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2,500</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1,103</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7,074</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10,677</w:t>
            </w:r>
          </w:p>
        </w:tc>
      </w:tr>
      <w:tr>
        <w:trPr>
          <w:trHeight w:val="256"/>
        </w:trPr>
        <w:tc>
          <w:tcPr>
            <w:tcW w:w="2720" w:type="dxa"/>
            <w:vAlign w:val="bottom"/>
          </w:tcPr>
          <w:p>
            <w:pPr>
              <w:ind w:left="40"/>
              <w:spacing w:after="0"/>
              <w:rPr>
                <w:sz w:val="20"/>
                <w:szCs w:val="20"/>
                <w:color w:val="auto"/>
              </w:rPr>
            </w:pPr>
            <w:r>
              <w:rPr>
                <w:rFonts w:ascii="Arial" w:cs="Arial" w:eastAsia="Arial" w:hAnsi="Arial"/>
                <w:sz w:val="18"/>
                <w:szCs w:val="18"/>
                <w:color w:val="auto"/>
                <w:w w:val="91"/>
              </w:rPr>
              <w:t>Redeemable noncontrolling interests</w:t>
            </w: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720" w:type="dxa"/>
            <w:vAlign w:val="bottom"/>
          </w:tcPr>
          <w:p>
            <w:pPr>
              <w:ind w:left="200"/>
              <w:spacing w:after="0"/>
              <w:rPr>
                <w:sz w:val="20"/>
                <w:szCs w:val="20"/>
                <w:color w:val="auto"/>
              </w:rPr>
            </w:pPr>
            <w:r>
              <w:rPr>
                <w:rFonts w:ascii="Arial" w:cs="Arial" w:eastAsia="Arial" w:hAnsi="Arial"/>
                <w:sz w:val="18"/>
                <w:szCs w:val="18"/>
                <w:color w:val="auto"/>
              </w:rPr>
              <w:t>and redeemable subsidiary</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720" w:type="dxa"/>
            <w:vAlign w:val="bottom"/>
          </w:tcPr>
          <w:p>
            <w:pPr>
              <w:ind w:left="200"/>
              <w:spacing w:after="0"/>
              <w:rPr>
                <w:sz w:val="20"/>
                <w:szCs w:val="20"/>
                <w:color w:val="auto"/>
              </w:rPr>
            </w:pPr>
            <w:r>
              <w:rPr>
                <w:rFonts w:ascii="Arial" w:cs="Arial" w:eastAsia="Arial" w:hAnsi="Arial"/>
                <w:sz w:val="18"/>
                <w:szCs w:val="18"/>
                <w:color w:val="auto"/>
              </w:rPr>
              <w:t>preferred stock</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1,456</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1,456</w:t>
            </w:r>
          </w:p>
        </w:tc>
      </w:tr>
      <w:tr>
        <w:trPr>
          <w:trHeight w:val="270"/>
        </w:trPr>
        <w:tc>
          <w:tcPr>
            <w:tcW w:w="2720" w:type="dxa"/>
            <w:vAlign w:val="bottom"/>
          </w:tcPr>
          <w:p>
            <w:pPr>
              <w:ind w:left="40"/>
              <w:spacing w:after="0"/>
              <w:rPr>
                <w:sz w:val="20"/>
                <w:szCs w:val="20"/>
                <w:color w:val="auto"/>
              </w:rPr>
            </w:pPr>
            <w:r>
              <w:rPr>
                <w:rFonts w:ascii="Arial" w:cs="Arial" w:eastAsia="Arial" w:hAnsi="Arial"/>
                <w:sz w:val="18"/>
                <w:szCs w:val="18"/>
                <w:color w:val="auto"/>
              </w:rPr>
              <w:t>Equity:</w:t>
            </w: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272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56</w:t>
            </w:r>
          </w:p>
        </w:tc>
      </w:tr>
      <w:tr>
        <w:trPr>
          <w:trHeight w:val="270"/>
        </w:trPr>
        <w:tc>
          <w:tcPr>
            <w:tcW w:w="2720" w:type="dxa"/>
            <w:vAlign w:val="bottom"/>
          </w:tcPr>
          <w:p>
            <w:pPr>
              <w:ind w:left="180"/>
              <w:spacing w:after="0"/>
              <w:rPr>
                <w:sz w:val="20"/>
                <w:szCs w:val="20"/>
                <w:color w:val="auto"/>
              </w:rPr>
            </w:pPr>
            <w:r>
              <w:rPr>
                <w:rFonts w:ascii="Arial" w:cs="Arial" w:eastAsia="Arial" w:hAnsi="Arial"/>
                <w:sz w:val="18"/>
                <w:szCs w:val="18"/>
                <w:color w:val="auto"/>
              </w:rPr>
              <w:t>Other shareholders’ equity</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55,003</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123,805</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117,511</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40,863</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216,547</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(498,726)</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55,003</w:t>
            </w:r>
          </w:p>
        </w:tc>
      </w:tr>
      <w:tr>
        <w:trPr>
          <w:trHeight w:val="27"/>
        </w:trPr>
        <w:tc>
          <w:tcPr>
            <w:tcW w:w="2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2"/>
        </w:trPr>
        <w:tc>
          <w:tcPr>
            <w:tcW w:w="2720" w:type="dxa"/>
            <w:vAlign w:val="bottom"/>
          </w:tcPr>
          <w:p>
            <w:pPr>
              <w:ind w:left="40"/>
              <w:spacing w:after="0"/>
              <w:rPr>
                <w:sz w:val="20"/>
                <w:szCs w:val="20"/>
                <w:color w:val="auto"/>
              </w:rPr>
            </w:pPr>
            <w:r>
              <w:rPr>
                <w:rFonts w:ascii="Arial" w:cs="Arial" w:eastAsia="Arial" w:hAnsi="Arial"/>
                <w:sz w:val="18"/>
                <w:szCs w:val="18"/>
                <w:color w:val="auto"/>
              </w:rPr>
              <w:t>Total Comcast Corporation</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2720" w:type="dxa"/>
            <w:vAlign w:val="bottom"/>
          </w:tcPr>
          <w:p>
            <w:pPr>
              <w:ind w:left="200"/>
              <w:spacing w:after="0"/>
              <w:rPr>
                <w:sz w:val="20"/>
                <w:szCs w:val="20"/>
                <w:color w:val="auto"/>
              </w:rPr>
            </w:pPr>
            <w:r>
              <w:rPr>
                <w:rFonts w:ascii="Arial" w:cs="Arial" w:eastAsia="Arial" w:hAnsi="Arial"/>
                <w:sz w:val="18"/>
                <w:szCs w:val="18"/>
                <w:color w:val="auto"/>
              </w:rPr>
              <w:t>shareholders’ equity</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55,059</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123,805</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117,511</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40,863</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216,547</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(498,726)</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55,059</w:t>
            </w:r>
          </w:p>
        </w:tc>
      </w:tr>
      <w:tr>
        <w:trPr>
          <w:trHeight w:val="270"/>
        </w:trPr>
        <w:tc>
          <w:tcPr>
            <w:tcW w:w="272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2,589</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2,589</w:t>
            </w:r>
          </w:p>
        </w:tc>
      </w:tr>
      <w:tr>
        <w:trPr>
          <w:trHeight w:val="27"/>
        </w:trPr>
        <w:tc>
          <w:tcPr>
            <w:tcW w:w="2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72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55,059</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123,805</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117,511</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40,863</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219,136</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(498,726)</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57,648</w:t>
            </w:r>
          </w:p>
        </w:tc>
      </w:tr>
      <w:tr>
        <w:trPr>
          <w:trHeight w:val="27"/>
        </w:trPr>
        <w:tc>
          <w:tcPr>
            <w:tcW w:w="2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72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101,774</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124,472</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120,372</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50,604</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284,988</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(499,731)</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182,479</w:t>
            </w:r>
          </w:p>
        </w:tc>
      </w:tr>
      <w:tr>
        <w:trPr>
          <w:trHeight w:val="34"/>
        </w:trPr>
        <w:tc>
          <w:tcPr>
            <w:tcW w:w="2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1" w:right="2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center"/>
              <w:ind w:right="72"/>
              <w:spacing w:after="0"/>
              <w:rPr>
                <w:sz w:val="20"/>
                <w:szCs w:val="20"/>
                <w:color w:val="auto"/>
              </w:rPr>
            </w:pPr>
            <w:r>
              <w:rPr>
                <w:rFonts w:ascii="Arial" w:cs="Arial" w:eastAsia="Arial" w:hAnsi="Arial"/>
                <w:sz w:val="14"/>
                <w:szCs w:val="14"/>
                <w:color w:val="auto"/>
                <w:w w:val="99"/>
              </w:rPr>
              <w:t>Elimination</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49"/>
        </w:trPr>
        <w:tc>
          <w:tcPr>
            <w:tcW w:w="2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ind w:right="52"/>
              <w:spacing w:after="0" w:line="149" w:lineRule="exact"/>
              <w:rPr>
                <w:sz w:val="20"/>
                <w:szCs w:val="20"/>
                <w:color w:val="auto"/>
              </w:rPr>
            </w:pPr>
            <w:r>
              <w:rPr>
                <w:rFonts w:ascii="Arial" w:cs="Arial" w:eastAsia="Arial" w:hAnsi="Arial"/>
                <w:sz w:val="14"/>
                <w:szCs w:val="14"/>
                <w:color w:val="auto"/>
                <w:w w:val="92"/>
              </w:rPr>
              <w:t>Non-</w:t>
            </w:r>
          </w:p>
        </w:tc>
        <w:tc>
          <w:tcPr>
            <w:tcW w:w="220" w:type="dxa"/>
            <w:vAlign w:val="bottom"/>
          </w:tcPr>
          <w:p>
            <w:pPr>
              <w:spacing w:after="0"/>
              <w:rPr>
                <w:sz w:val="12"/>
                <w:szCs w:val="12"/>
                <w:color w:val="auto"/>
              </w:rPr>
            </w:pPr>
          </w:p>
        </w:tc>
        <w:tc>
          <w:tcPr>
            <w:tcW w:w="10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85"/>
              </w:rPr>
              <w:t>and</w:t>
            </w:r>
          </w:p>
        </w:tc>
        <w:tc>
          <w:tcPr>
            <w:tcW w:w="180" w:type="dxa"/>
            <w:vAlign w:val="bottom"/>
          </w:tcPr>
          <w:p>
            <w:pPr>
              <w:spacing w:after="0"/>
              <w:rPr>
                <w:sz w:val="12"/>
                <w:szCs w:val="12"/>
                <w:color w:val="auto"/>
              </w:rPr>
            </w:pPr>
          </w:p>
        </w:tc>
        <w:tc>
          <w:tcPr>
            <w:tcW w:w="10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92"/>
              </w:rPr>
              <w:t>Consolidated</w:t>
            </w:r>
          </w:p>
        </w:tc>
      </w:tr>
      <w:tr>
        <w:trPr>
          <w:trHeight w:val="149"/>
        </w:trPr>
        <w:tc>
          <w:tcPr>
            <w:tcW w:w="2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ind w:right="251"/>
              <w:spacing w:after="0" w:line="149" w:lineRule="exact"/>
              <w:rPr>
                <w:sz w:val="20"/>
                <w:szCs w:val="20"/>
                <w:color w:val="auto"/>
              </w:rPr>
            </w:pPr>
            <w:r>
              <w:rPr>
                <w:rFonts w:ascii="Arial" w:cs="Arial" w:eastAsia="Arial" w:hAnsi="Arial"/>
                <w:sz w:val="14"/>
                <w:szCs w:val="14"/>
                <w:color w:val="auto"/>
              </w:rPr>
              <w:t>Comcast</w:t>
            </w:r>
          </w:p>
        </w:tc>
        <w:tc>
          <w:tcPr>
            <w:tcW w:w="280" w:type="dxa"/>
            <w:vAlign w:val="bottom"/>
          </w:tcPr>
          <w:p>
            <w:pPr>
              <w:spacing w:after="0"/>
              <w:rPr>
                <w:sz w:val="12"/>
                <w:szCs w:val="12"/>
                <w:color w:val="auto"/>
              </w:rPr>
            </w:pPr>
          </w:p>
        </w:tc>
        <w:tc>
          <w:tcPr>
            <w:tcW w:w="980" w:type="dxa"/>
            <w:vAlign w:val="bottom"/>
          </w:tcPr>
          <w:p>
            <w:pPr>
              <w:jc w:val="right"/>
              <w:ind w:right="251"/>
              <w:spacing w:after="0" w:line="149" w:lineRule="exact"/>
              <w:rPr>
                <w:sz w:val="20"/>
                <w:szCs w:val="20"/>
                <w:color w:val="auto"/>
              </w:rPr>
            </w:pPr>
            <w:r>
              <w:rPr>
                <w:rFonts w:ascii="Arial" w:cs="Arial" w:eastAsia="Arial" w:hAnsi="Arial"/>
                <w:sz w:val="14"/>
                <w:szCs w:val="14"/>
                <w:color w:val="auto"/>
              </w:rPr>
              <w:t>Comcast</w:t>
            </w:r>
          </w:p>
        </w:tc>
        <w:tc>
          <w:tcPr>
            <w:tcW w:w="320" w:type="dxa"/>
            <w:vAlign w:val="bottom"/>
          </w:tcPr>
          <w:p>
            <w:pPr>
              <w:spacing w:after="0"/>
              <w:rPr>
                <w:sz w:val="12"/>
                <w:szCs w:val="12"/>
                <w:color w:val="auto"/>
              </w:rPr>
            </w:pPr>
          </w:p>
        </w:tc>
        <w:tc>
          <w:tcPr>
            <w:tcW w:w="940" w:type="dxa"/>
            <w:vAlign w:val="bottom"/>
          </w:tcPr>
          <w:p>
            <w:pPr>
              <w:jc w:val="right"/>
              <w:ind w:right="311"/>
              <w:spacing w:after="0" w:line="149" w:lineRule="exact"/>
              <w:rPr>
                <w:sz w:val="20"/>
                <w:szCs w:val="20"/>
                <w:color w:val="auto"/>
              </w:rPr>
            </w:pPr>
            <w:r>
              <w:rPr>
                <w:rFonts w:ascii="Arial" w:cs="Arial" w:eastAsia="Arial" w:hAnsi="Arial"/>
                <w:sz w:val="14"/>
                <w:szCs w:val="14"/>
                <w:color w:val="auto"/>
              </w:rPr>
              <w:t>CCCL</w:t>
            </w:r>
          </w:p>
        </w:tc>
        <w:tc>
          <w:tcPr>
            <w:tcW w:w="200" w:type="dxa"/>
            <w:vAlign w:val="bottom"/>
          </w:tcPr>
          <w:p>
            <w:pPr>
              <w:spacing w:after="0"/>
              <w:rPr>
                <w:sz w:val="12"/>
                <w:szCs w:val="12"/>
                <w:color w:val="auto"/>
              </w:rPr>
            </w:pPr>
          </w:p>
        </w:tc>
        <w:tc>
          <w:tcPr>
            <w:tcW w:w="1060" w:type="dxa"/>
            <w:vAlign w:val="bottom"/>
          </w:tcPr>
          <w:p>
            <w:pPr>
              <w:jc w:val="right"/>
              <w:ind w:right="71"/>
              <w:spacing w:after="0" w:line="149" w:lineRule="exact"/>
              <w:rPr>
                <w:sz w:val="20"/>
                <w:szCs w:val="20"/>
                <w:color w:val="auto"/>
              </w:rPr>
            </w:pPr>
            <w:r>
              <w:rPr>
                <w:rFonts w:ascii="Arial" w:cs="Arial" w:eastAsia="Arial" w:hAnsi="Arial"/>
                <w:sz w:val="14"/>
                <w:szCs w:val="14"/>
                <w:color w:val="auto"/>
              </w:rPr>
              <w:t>NBCUniversal</w:t>
            </w:r>
          </w:p>
        </w:tc>
        <w:tc>
          <w:tcPr>
            <w:tcW w:w="220" w:type="dxa"/>
            <w:vAlign w:val="bottom"/>
          </w:tcPr>
          <w:p>
            <w:pPr>
              <w:spacing w:after="0"/>
              <w:rPr>
                <w:sz w:val="12"/>
                <w:szCs w:val="12"/>
                <w:color w:val="auto"/>
              </w:rPr>
            </w:pPr>
          </w:p>
        </w:tc>
        <w:tc>
          <w:tcPr>
            <w:tcW w:w="1020" w:type="dxa"/>
            <w:vAlign w:val="bottom"/>
          </w:tcPr>
          <w:p>
            <w:pPr>
              <w:jc w:val="center"/>
              <w:ind w:right="52"/>
              <w:spacing w:after="0" w:line="149" w:lineRule="exact"/>
              <w:rPr>
                <w:sz w:val="20"/>
                <w:szCs w:val="20"/>
                <w:color w:val="auto"/>
              </w:rPr>
            </w:pPr>
            <w:r>
              <w:rPr>
                <w:rFonts w:ascii="Arial" w:cs="Arial" w:eastAsia="Arial" w:hAnsi="Arial"/>
                <w:sz w:val="14"/>
                <w:szCs w:val="14"/>
                <w:color w:val="auto"/>
                <w:w w:val="95"/>
              </w:rPr>
              <w:t>Guarantor</w:t>
            </w:r>
          </w:p>
        </w:tc>
        <w:tc>
          <w:tcPr>
            <w:tcW w:w="220" w:type="dxa"/>
            <w:vAlign w:val="bottom"/>
          </w:tcPr>
          <w:p>
            <w:pPr>
              <w:spacing w:after="0"/>
              <w:rPr>
                <w:sz w:val="12"/>
                <w:szCs w:val="12"/>
                <w:color w:val="auto"/>
              </w:rPr>
            </w:pPr>
          </w:p>
        </w:tc>
        <w:tc>
          <w:tcPr>
            <w:tcW w:w="10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94"/>
              </w:rPr>
              <w:t>Consolidation</w:t>
            </w:r>
          </w:p>
        </w:tc>
        <w:tc>
          <w:tcPr>
            <w:tcW w:w="180" w:type="dxa"/>
            <w:vAlign w:val="bottom"/>
          </w:tcPr>
          <w:p>
            <w:pPr>
              <w:spacing w:after="0"/>
              <w:rPr>
                <w:sz w:val="12"/>
                <w:szCs w:val="12"/>
                <w:color w:val="auto"/>
              </w:rPr>
            </w:pPr>
          </w:p>
        </w:tc>
        <w:tc>
          <w:tcPr>
            <w:tcW w:w="108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0"/>
              </w:rPr>
              <w:t>Comcast</w:t>
            </w:r>
          </w:p>
        </w:tc>
      </w:tr>
      <w:tr>
        <w:trPr>
          <w:trHeight w:val="188"/>
        </w:trPr>
        <w:tc>
          <w:tcPr>
            <w:tcW w:w="2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color w:val="auto"/>
              </w:rPr>
              <w:t>Parent</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Holdings</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color w:val="auto"/>
              </w:rPr>
              <w:t>Parent</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w w:val="98"/>
              </w:rPr>
              <w:t>Media Parent</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color w:val="auto"/>
                <w:w w:val="94"/>
              </w:rPr>
              <w:t>Subsidiaries</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color w:val="auto"/>
                <w:w w:val="93"/>
              </w:rPr>
              <w:t>Adjustments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color w:val="auto"/>
                <w:w w:val="95"/>
              </w:rPr>
              <w:t>Corporation</w:t>
            </w:r>
          </w:p>
        </w:tc>
      </w:tr>
      <w:tr>
        <w:trPr>
          <w:trHeight w:val="243"/>
        </w:trPr>
        <w:tc>
          <w:tcPr>
            <w:tcW w:w="262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482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2,819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3,301</w:t>
            </w: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Receivables, net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7,955</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7,955</w:t>
            </w: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Programming rights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1,250</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1,250</w:t>
            </w: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151</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3,668</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3,855</w:t>
            </w:r>
          </w:p>
        </w:tc>
      </w:tr>
      <w:tr>
        <w:trPr>
          <w:trHeight w:val="27"/>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151</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518</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15,692</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16,361</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Film and television costs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7,252</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7,252</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651</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4,521</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5,247</w:t>
            </w:r>
          </w:p>
        </w:tc>
      </w:tr>
      <w:tr>
        <w:trPr>
          <w:trHeight w:val="256"/>
        </w:trPr>
        <w:tc>
          <w:tcPr>
            <w:tcW w:w="2620" w:type="dxa"/>
            <w:vAlign w:val="bottom"/>
          </w:tcPr>
          <w:p>
            <w:pPr>
              <w:ind w:left="40"/>
              <w:spacing w:after="0"/>
              <w:rPr>
                <w:sz w:val="20"/>
                <w:szCs w:val="20"/>
                <w:color w:val="auto"/>
              </w:rPr>
            </w:pPr>
            <w:r>
              <w:rPr>
                <w:rFonts w:ascii="Arial" w:cs="Arial" w:eastAsia="Arial" w:hAnsi="Arial"/>
                <w:sz w:val="18"/>
                <w:szCs w:val="18"/>
                <w:color w:val="auto"/>
                <w:w w:val="98"/>
              </w:rPr>
              <w:t>Investments in and amounts due</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620" w:type="dxa"/>
            <w:vAlign w:val="bottom"/>
          </w:tcPr>
          <w:p>
            <w:pPr>
              <w:ind w:left="200"/>
              <w:spacing w:after="0"/>
              <w:rPr>
                <w:sz w:val="20"/>
                <w:szCs w:val="20"/>
                <w:color w:val="auto"/>
              </w:rPr>
            </w:pPr>
            <w:r>
              <w:rPr>
                <w:rFonts w:ascii="Arial" w:cs="Arial" w:eastAsia="Arial" w:hAnsi="Arial"/>
                <w:sz w:val="18"/>
                <w:szCs w:val="18"/>
                <w:color w:val="auto"/>
              </w:rPr>
              <w:t>from subsidiaries eliminated</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620" w:type="dxa"/>
            <w:vAlign w:val="bottom"/>
          </w:tcPr>
          <w:p>
            <w:pPr>
              <w:ind w:left="200"/>
              <w:spacing w:after="0"/>
              <w:rPr>
                <w:sz w:val="20"/>
                <w:szCs w:val="20"/>
                <w:color w:val="auto"/>
              </w:rPr>
            </w:pPr>
            <w:r>
              <w:rPr>
                <w:rFonts w:ascii="Arial" w:cs="Arial" w:eastAsia="Arial" w:hAnsi="Arial"/>
                <w:sz w:val="18"/>
                <w:szCs w:val="18"/>
                <w:color w:val="auto"/>
              </w:rPr>
              <w:t>upon consolidation</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98,350</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120,071</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117,696</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47,393</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97,704</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(481,214)</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298</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35,955</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36,253</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Franchise rights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59,364</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59,364</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35,980</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35,980</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Other intangible assets, net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17,261</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17,274</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Other noncurrent assets, net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1,138</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638</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1,921</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(1,017)</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2,769</w:t>
            </w:r>
          </w:p>
        </w:tc>
      </w:tr>
      <w:tr>
        <w:trPr>
          <w:trHeight w:val="27"/>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100,025</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120,709</w:t>
            </w:r>
          </w:p>
        </w:tc>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117,696</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48,651</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275,650</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(482,231)</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180,500</w:t>
            </w:r>
          </w:p>
        </w:tc>
      </w:tr>
      <w:tr>
        <w:trPr>
          <w:trHeight w:val="34"/>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2620" w:type="dxa"/>
            <w:vAlign w:val="bottom"/>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6"/>
        </w:trPr>
        <w:tc>
          <w:tcPr>
            <w:tcW w:w="2620" w:type="dxa"/>
            <w:vAlign w:val="bottom"/>
          </w:tcPr>
          <w:p>
            <w:pPr>
              <w:ind w:left="180"/>
              <w:spacing w:after="0"/>
              <w:rPr>
                <w:sz w:val="20"/>
                <w:szCs w:val="20"/>
                <w:color w:val="auto"/>
              </w:rPr>
            </w:pPr>
            <w:r>
              <w:rPr>
                <w:rFonts w:ascii="Arial" w:cs="Arial" w:eastAsia="Arial" w:hAnsi="Arial"/>
                <w:sz w:val="18"/>
                <w:szCs w:val="18"/>
                <w:color w:val="auto"/>
                <w:w w:val="98"/>
              </w:rPr>
              <w:t>Accounts payable and accrued</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620" w:type="dxa"/>
            <w:vAlign w:val="bottom"/>
          </w:tcPr>
          <w:p>
            <w:pPr>
              <w:ind w:left="340"/>
              <w:spacing w:after="0"/>
              <w:rPr>
                <w:sz w:val="20"/>
                <w:szCs w:val="20"/>
                <w:color w:val="auto"/>
              </w:rPr>
            </w:pPr>
            <w:r>
              <w:rPr>
                <w:rFonts w:ascii="Arial" w:cs="Arial" w:eastAsia="Arial" w:hAnsi="Arial"/>
                <w:sz w:val="18"/>
                <w:szCs w:val="18"/>
                <w:color w:val="auto"/>
              </w:rPr>
              <w:t>expenses related</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620" w:type="dxa"/>
            <w:vAlign w:val="bottom"/>
          </w:tcPr>
          <w:p>
            <w:pPr>
              <w:ind w:left="340"/>
              <w:spacing w:after="0"/>
              <w:rPr>
                <w:sz w:val="20"/>
                <w:szCs w:val="20"/>
                <w:color w:val="auto"/>
              </w:rPr>
            </w:pPr>
            <w:r>
              <w:rPr>
                <w:rFonts w:ascii="Arial" w:cs="Arial" w:eastAsia="Arial" w:hAnsi="Arial"/>
                <w:sz w:val="18"/>
                <w:szCs w:val="18"/>
                <w:color w:val="auto"/>
              </w:rPr>
              <w:t>to trade creditors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6,892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6,915</w:t>
            </w:r>
          </w:p>
        </w:tc>
      </w:tr>
      <w:tr>
        <w:trPr>
          <w:trHeight w:val="256"/>
        </w:trPr>
        <w:tc>
          <w:tcPr>
            <w:tcW w:w="2620" w:type="dxa"/>
            <w:vAlign w:val="bottom"/>
          </w:tcPr>
          <w:p>
            <w:pPr>
              <w:ind w:left="180"/>
              <w:spacing w:after="0"/>
              <w:rPr>
                <w:sz w:val="20"/>
                <w:szCs w:val="20"/>
                <w:color w:val="auto"/>
              </w:rPr>
            </w:pPr>
            <w:r>
              <w:rPr>
                <w:rFonts w:ascii="Arial" w:cs="Arial" w:eastAsia="Arial" w:hAnsi="Arial"/>
                <w:sz w:val="18"/>
                <w:szCs w:val="18"/>
                <w:color w:val="auto"/>
              </w:rPr>
              <w:t>Accrued participations and</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20" w:type="dxa"/>
            <w:vAlign w:val="bottom"/>
          </w:tcPr>
          <w:p>
            <w:pPr>
              <w:ind w:left="340"/>
              <w:spacing w:after="0"/>
              <w:rPr>
                <w:sz w:val="20"/>
                <w:szCs w:val="20"/>
                <w:color w:val="auto"/>
              </w:rPr>
            </w:pPr>
            <w:r>
              <w:rPr>
                <w:rFonts w:ascii="Arial" w:cs="Arial" w:eastAsia="Arial" w:hAnsi="Arial"/>
                <w:sz w:val="18"/>
                <w:szCs w:val="18"/>
                <w:color w:val="auto"/>
              </w:rPr>
              <w:t>residuals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1,726</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1,726</w:t>
            </w:r>
          </w:p>
        </w:tc>
      </w:tr>
      <w:tr>
        <w:trPr>
          <w:trHeight w:val="256"/>
        </w:trPr>
        <w:tc>
          <w:tcPr>
            <w:tcW w:w="2620" w:type="dxa"/>
            <w:vAlign w:val="bottom"/>
          </w:tcPr>
          <w:p>
            <w:pPr>
              <w:ind w:left="180"/>
              <w:spacing w:after="0"/>
              <w:rPr>
                <w:sz w:val="20"/>
                <w:szCs w:val="20"/>
                <w:color w:val="auto"/>
              </w:rPr>
            </w:pPr>
            <w:r>
              <w:rPr>
                <w:rFonts w:ascii="Arial" w:cs="Arial" w:eastAsia="Arial" w:hAnsi="Arial"/>
                <w:sz w:val="18"/>
                <w:szCs w:val="18"/>
                <w:color w:val="auto"/>
              </w:rPr>
              <w:t>Accrued expenses and other</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20" w:type="dxa"/>
            <w:vAlign w:val="bottom"/>
          </w:tcPr>
          <w:p>
            <w:pPr>
              <w:ind w:left="3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1,726</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341</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302</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5,045</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7,414</w:t>
            </w: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w w:val="92"/>
              </w:rPr>
              <w:t>Current portion of long-term debt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3,739</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550</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1,187</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5,480</w:t>
            </w:r>
          </w:p>
        </w:tc>
      </w:tr>
      <w:tr>
        <w:trPr>
          <w:trHeight w:val="27"/>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5,488</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891</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306</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14,850</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21,535</w:t>
            </w:r>
          </w:p>
        </w:tc>
      </w:tr>
      <w:tr>
        <w:trPr>
          <w:trHeight w:val="256"/>
        </w:trPr>
        <w:tc>
          <w:tcPr>
            <w:tcW w:w="2620" w:type="dxa"/>
            <w:vAlign w:val="bottom"/>
          </w:tcPr>
          <w:p>
            <w:pPr>
              <w:ind w:left="40"/>
              <w:spacing w:after="0"/>
              <w:rPr>
                <w:sz w:val="20"/>
                <w:szCs w:val="20"/>
                <w:color w:val="auto"/>
              </w:rPr>
            </w:pPr>
            <w:r>
              <w:rPr>
                <w:rFonts w:ascii="Arial" w:cs="Arial" w:eastAsia="Arial" w:hAnsi="Arial"/>
                <w:sz w:val="18"/>
                <w:szCs w:val="18"/>
                <w:color w:val="auto"/>
              </w:rPr>
              <w:t>Long-term debt, less current</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20" w:type="dxa"/>
            <w:vAlign w:val="bottom"/>
          </w:tcPr>
          <w:p>
            <w:pPr>
              <w:ind w:left="200"/>
              <w:spacing w:after="0"/>
              <w:rPr>
                <w:sz w:val="20"/>
                <w:szCs w:val="20"/>
                <w:color w:val="auto"/>
              </w:rPr>
            </w:pPr>
            <w:r>
              <w:rPr>
                <w:rFonts w:ascii="Arial" w:cs="Arial" w:eastAsia="Arial" w:hAnsi="Arial"/>
                <w:sz w:val="18"/>
                <w:szCs w:val="18"/>
                <w:color w:val="auto"/>
              </w:rPr>
              <w:t>portion</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38,123</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141</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2,100</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8,208</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6,994</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55,566</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542</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35,259</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(1,017)</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34,854</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2,471</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1,166</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7,288</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10,925</w:t>
            </w:r>
          </w:p>
        </w:tc>
      </w:tr>
      <w:tr>
        <w:trPr>
          <w:trHeight w:val="256"/>
        </w:trPr>
        <w:tc>
          <w:tcPr>
            <w:tcW w:w="2620" w:type="dxa"/>
            <w:vAlign w:val="bottom"/>
          </w:tcPr>
          <w:p>
            <w:pPr>
              <w:ind w:left="40"/>
              <w:spacing w:after="0"/>
              <w:rPr>
                <w:sz w:val="20"/>
                <w:szCs w:val="20"/>
                <w:color w:val="auto"/>
              </w:rPr>
            </w:pPr>
            <w:r>
              <w:rPr>
                <w:rFonts w:ascii="Arial" w:cs="Arial" w:eastAsia="Arial" w:hAnsi="Arial"/>
                <w:sz w:val="18"/>
                <w:szCs w:val="18"/>
                <w:color w:val="auto"/>
              </w:rPr>
              <w:t>Redeemable noncontrolling</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620" w:type="dxa"/>
            <w:vAlign w:val="bottom"/>
          </w:tcPr>
          <w:p>
            <w:pPr>
              <w:ind w:left="200"/>
              <w:spacing w:after="0"/>
              <w:rPr>
                <w:sz w:val="20"/>
                <w:szCs w:val="20"/>
                <w:color w:val="auto"/>
              </w:rPr>
            </w:pPr>
            <w:r>
              <w:rPr>
                <w:rFonts w:ascii="Arial" w:cs="Arial" w:eastAsia="Arial" w:hAnsi="Arial"/>
                <w:sz w:val="18"/>
                <w:szCs w:val="18"/>
                <w:color w:val="auto"/>
              </w:rPr>
              <w:t>interests and redeemable</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620" w:type="dxa"/>
            <w:vAlign w:val="bottom"/>
          </w:tcPr>
          <w:p>
            <w:pPr>
              <w:ind w:left="200"/>
              <w:spacing w:after="0"/>
              <w:rPr>
                <w:sz w:val="20"/>
                <w:szCs w:val="20"/>
                <w:color w:val="auto"/>
              </w:rPr>
            </w:pPr>
            <w:r>
              <w:rPr>
                <w:rFonts w:ascii="Arial" w:cs="Arial" w:eastAsia="Arial" w:hAnsi="Arial"/>
                <w:sz w:val="18"/>
                <w:szCs w:val="18"/>
                <w:color w:val="auto"/>
              </w:rPr>
              <w:t>subsidiary preferred stock</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1,446</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1,446</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Equity:</w:t>
            </w: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56</w:t>
            </w: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Other shareholders’ equity</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53,887</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120,026</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114,705</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38,901</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207,582</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(481,214)</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53,887</w:t>
            </w:r>
          </w:p>
        </w:tc>
      </w:tr>
      <w:tr>
        <w:trPr>
          <w:trHeight w:val="27"/>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2"/>
        </w:trPr>
        <w:tc>
          <w:tcPr>
            <w:tcW w:w="2620" w:type="dxa"/>
            <w:vAlign w:val="bottom"/>
          </w:tcPr>
          <w:p>
            <w:pPr>
              <w:ind w:left="40"/>
              <w:spacing w:after="0"/>
              <w:rPr>
                <w:sz w:val="20"/>
                <w:szCs w:val="20"/>
                <w:color w:val="auto"/>
              </w:rPr>
            </w:pPr>
            <w:r>
              <w:rPr>
                <w:rFonts w:ascii="Arial" w:cs="Arial" w:eastAsia="Arial" w:hAnsi="Arial"/>
                <w:sz w:val="18"/>
                <w:szCs w:val="18"/>
                <w:color w:val="auto"/>
              </w:rPr>
              <w:t>Total Comcast Corporation</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2620" w:type="dxa"/>
            <w:vAlign w:val="bottom"/>
          </w:tcPr>
          <w:p>
            <w:pPr>
              <w:ind w:left="200"/>
              <w:spacing w:after="0"/>
              <w:rPr>
                <w:sz w:val="20"/>
                <w:szCs w:val="20"/>
                <w:color w:val="auto"/>
              </w:rPr>
            </w:pPr>
            <w:r>
              <w:rPr>
                <w:rFonts w:ascii="Arial" w:cs="Arial" w:eastAsia="Arial" w:hAnsi="Arial"/>
                <w:sz w:val="18"/>
                <w:szCs w:val="18"/>
                <w:color w:val="auto"/>
              </w:rPr>
              <w:t>shareholders’ equity</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53,943</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120,026</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114,705</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38,901</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207,582</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(481,214)</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53,943</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2,231</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2,231</w:t>
            </w:r>
          </w:p>
        </w:tc>
      </w:tr>
      <w:tr>
        <w:trPr>
          <w:trHeight w:val="27"/>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53,943</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120,026</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114,705</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38,901</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209,813</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(481,214)</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56,174</w:t>
            </w:r>
          </w:p>
        </w:tc>
      </w:tr>
      <w:tr>
        <w:trPr>
          <w:trHeight w:val="27"/>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100,025</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120,709</w:t>
            </w:r>
          </w:p>
        </w:tc>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117,696</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48,651</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275,650</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(482,231)</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180,500</w:t>
            </w:r>
          </w:p>
        </w:tc>
      </w:tr>
      <w:tr>
        <w:trPr>
          <w:trHeight w:val="34"/>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1" w:right="2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2017</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73"/>
              <w:spacing w:after="0"/>
              <w:rPr>
                <w:sz w:val="20"/>
                <w:szCs w:val="20"/>
                <w:color w:val="auto"/>
              </w:rPr>
            </w:pPr>
            <w:r>
              <w:rPr>
                <w:rFonts w:ascii="Arial" w:cs="Arial" w:eastAsia="Arial" w:hAnsi="Arial"/>
                <w:sz w:val="14"/>
                <w:szCs w:val="14"/>
                <w:color w:val="auto"/>
                <w:w w:val="99"/>
              </w:rPr>
              <w:t>Elimination</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49"/>
        </w:trPr>
        <w:tc>
          <w:tcPr>
            <w:tcW w:w="2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2"/>
              </w:rPr>
              <w:t>Non-</w:t>
            </w:r>
          </w:p>
        </w:tc>
        <w:tc>
          <w:tcPr>
            <w:tcW w:w="180" w:type="dxa"/>
            <w:vAlign w:val="bottom"/>
          </w:tcPr>
          <w:p>
            <w:pPr>
              <w:spacing w:after="0"/>
              <w:rPr>
                <w:sz w:val="12"/>
                <w:szCs w:val="12"/>
                <w:color w:val="auto"/>
              </w:rPr>
            </w:pPr>
          </w:p>
        </w:tc>
        <w:tc>
          <w:tcPr>
            <w:tcW w:w="1080" w:type="dxa"/>
            <w:vAlign w:val="bottom"/>
          </w:tcPr>
          <w:p>
            <w:pPr>
              <w:jc w:val="center"/>
              <w:ind w:right="73"/>
              <w:spacing w:after="0" w:line="149" w:lineRule="exact"/>
              <w:rPr>
                <w:sz w:val="20"/>
                <w:szCs w:val="20"/>
                <w:color w:val="auto"/>
              </w:rPr>
            </w:pPr>
            <w:r>
              <w:rPr>
                <w:rFonts w:ascii="Arial" w:cs="Arial" w:eastAsia="Arial" w:hAnsi="Arial"/>
                <w:sz w:val="14"/>
                <w:szCs w:val="14"/>
                <w:color w:val="auto"/>
                <w:w w:val="85"/>
              </w:rPr>
              <w:t>and</w:t>
            </w:r>
          </w:p>
        </w:tc>
        <w:tc>
          <w:tcPr>
            <w:tcW w:w="180" w:type="dxa"/>
            <w:vAlign w:val="bottom"/>
          </w:tcPr>
          <w:p>
            <w:pPr>
              <w:spacing w:after="0"/>
              <w:rPr>
                <w:sz w:val="12"/>
                <w:szCs w:val="12"/>
                <w:color w:val="auto"/>
              </w:rPr>
            </w:pPr>
          </w:p>
        </w:tc>
        <w:tc>
          <w:tcPr>
            <w:tcW w:w="10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92"/>
              </w:rPr>
              <w:t>Consolidated</w:t>
            </w:r>
          </w:p>
        </w:tc>
      </w:tr>
      <w:tr>
        <w:trPr>
          <w:trHeight w:val="149"/>
        </w:trPr>
        <w:tc>
          <w:tcPr>
            <w:tcW w:w="2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Comcast</w:t>
            </w:r>
          </w:p>
        </w:tc>
        <w:tc>
          <w:tcPr>
            <w:tcW w:w="240" w:type="dxa"/>
            <w:vAlign w:val="bottom"/>
          </w:tcPr>
          <w:p>
            <w:pPr>
              <w:spacing w:after="0"/>
              <w:rPr>
                <w:sz w:val="12"/>
                <w:szCs w:val="12"/>
                <w:color w:val="auto"/>
              </w:rPr>
            </w:pPr>
          </w:p>
        </w:tc>
        <w:tc>
          <w:tcPr>
            <w:tcW w:w="10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Comcast</w:t>
            </w:r>
          </w:p>
        </w:tc>
        <w:tc>
          <w:tcPr>
            <w:tcW w:w="300" w:type="dxa"/>
            <w:vAlign w:val="bottom"/>
          </w:tcPr>
          <w:p>
            <w:pPr>
              <w:spacing w:after="0"/>
              <w:rPr>
                <w:sz w:val="12"/>
                <w:szCs w:val="12"/>
                <w:color w:val="auto"/>
              </w:rPr>
            </w:pP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CCCL</w:t>
            </w:r>
          </w:p>
        </w:tc>
        <w:tc>
          <w:tcPr>
            <w:tcW w:w="180" w:type="dxa"/>
            <w:vAlign w:val="bottom"/>
          </w:tcPr>
          <w:p>
            <w:pPr>
              <w:spacing w:after="0"/>
              <w:rPr>
                <w:sz w:val="12"/>
                <w:szCs w:val="12"/>
                <w:color w:val="auto"/>
              </w:rPr>
            </w:pPr>
          </w:p>
        </w:tc>
        <w:tc>
          <w:tcPr>
            <w:tcW w:w="10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NBCUniversal</w:t>
            </w:r>
          </w:p>
        </w:tc>
        <w:tc>
          <w:tcPr>
            <w:tcW w:w="200" w:type="dxa"/>
            <w:vAlign w:val="bottom"/>
          </w:tcPr>
          <w:p>
            <w:pPr>
              <w:spacing w:after="0"/>
              <w:rPr>
                <w:sz w:val="12"/>
                <w:szCs w:val="12"/>
                <w:color w:val="auto"/>
              </w:rPr>
            </w:pPr>
          </w:p>
        </w:tc>
        <w:tc>
          <w:tcPr>
            <w:tcW w:w="106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5"/>
              </w:rPr>
              <w:t>Guarantor</w:t>
            </w:r>
          </w:p>
        </w:tc>
        <w:tc>
          <w:tcPr>
            <w:tcW w:w="180" w:type="dxa"/>
            <w:vAlign w:val="bottom"/>
          </w:tcPr>
          <w:p>
            <w:pPr>
              <w:spacing w:after="0"/>
              <w:rPr>
                <w:sz w:val="12"/>
                <w:szCs w:val="12"/>
                <w:color w:val="auto"/>
              </w:rPr>
            </w:pPr>
          </w:p>
        </w:tc>
        <w:tc>
          <w:tcPr>
            <w:tcW w:w="1080" w:type="dxa"/>
            <w:vAlign w:val="bottom"/>
          </w:tcPr>
          <w:p>
            <w:pPr>
              <w:jc w:val="center"/>
              <w:ind w:right="73"/>
              <w:spacing w:after="0" w:line="149" w:lineRule="exact"/>
              <w:rPr>
                <w:sz w:val="20"/>
                <w:szCs w:val="20"/>
                <w:color w:val="auto"/>
              </w:rPr>
            </w:pPr>
            <w:r>
              <w:rPr>
                <w:rFonts w:ascii="Arial" w:cs="Arial" w:eastAsia="Arial" w:hAnsi="Arial"/>
                <w:sz w:val="14"/>
                <w:szCs w:val="14"/>
                <w:color w:val="auto"/>
                <w:w w:val="94"/>
              </w:rPr>
              <w:t>Consolidation</w:t>
            </w:r>
          </w:p>
        </w:tc>
        <w:tc>
          <w:tcPr>
            <w:tcW w:w="180" w:type="dxa"/>
            <w:vAlign w:val="bottom"/>
          </w:tcPr>
          <w:p>
            <w:pPr>
              <w:spacing w:after="0"/>
              <w:rPr>
                <w:sz w:val="12"/>
                <w:szCs w:val="12"/>
                <w:color w:val="auto"/>
              </w:rPr>
            </w:pPr>
          </w:p>
        </w:tc>
        <w:tc>
          <w:tcPr>
            <w:tcW w:w="108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0"/>
              </w:rPr>
              <w:t>Comcast</w:t>
            </w:r>
          </w:p>
        </w:tc>
      </w:tr>
      <w:tr>
        <w:trPr>
          <w:trHeight w:val="188"/>
        </w:trPr>
        <w:tc>
          <w:tcPr>
            <w:tcW w:w="2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Parent</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color w:val="auto"/>
              </w:rPr>
              <w:t>Holdings</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rPr>
              <w:t>Parent</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w w:val="98"/>
              </w:rPr>
              <w:t>Media Parent</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color w:val="auto"/>
                <w:w w:val="94"/>
              </w:rPr>
              <w:t>Subsidiaries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color w:val="auto"/>
                <w:w w:val="93"/>
              </w:rPr>
              <w:t>Adjustments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color w:val="auto"/>
                <w:w w:val="95"/>
              </w:rPr>
              <w:t>Corporation</w:t>
            </w: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Service revenue</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20,463</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20,463</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Management fee revenue</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275</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270</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(545)</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275</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270</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20,463</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(545)</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20,463</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Programming and production</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6,074</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6,074</w:t>
            </w:r>
          </w:p>
        </w:tc>
      </w:tr>
      <w:tr>
        <w:trPr>
          <w:trHeight w:val="256"/>
        </w:trPr>
        <w:tc>
          <w:tcPr>
            <w:tcW w:w="2580" w:type="dxa"/>
            <w:vAlign w:val="bottom"/>
          </w:tcPr>
          <w:p>
            <w:pPr>
              <w:ind w:left="180"/>
              <w:spacing w:after="0"/>
              <w:rPr>
                <w:sz w:val="20"/>
                <w:szCs w:val="20"/>
                <w:color w:val="auto"/>
              </w:rPr>
            </w:pPr>
            <w:r>
              <w:rPr>
                <w:rFonts w:ascii="Arial" w:cs="Arial" w:eastAsia="Arial" w:hAnsi="Arial"/>
                <w:sz w:val="18"/>
                <w:szCs w:val="18"/>
                <w:color w:val="auto"/>
              </w:rPr>
              <w:t>Other operating and</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580" w:type="dxa"/>
            <w:vAlign w:val="bottom"/>
          </w:tcPr>
          <w:p>
            <w:pPr>
              <w:ind w:left="340"/>
              <w:spacing w:after="0"/>
              <w:rPr>
                <w:sz w:val="20"/>
                <w:szCs w:val="20"/>
                <w:color w:val="auto"/>
              </w:rPr>
            </w:pPr>
            <w:r>
              <w:rPr>
                <w:rFonts w:ascii="Arial" w:cs="Arial" w:eastAsia="Arial" w:hAnsi="Arial"/>
                <w:sz w:val="18"/>
                <w:szCs w:val="18"/>
                <w:color w:val="auto"/>
              </w:rPr>
              <w:t>administrative</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170</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270</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306</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5,626</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(545)</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5,827</w:t>
            </w:r>
          </w:p>
        </w:tc>
      </w:tr>
      <w:tr>
        <w:trPr>
          <w:trHeight w:val="256"/>
        </w:trPr>
        <w:tc>
          <w:tcPr>
            <w:tcW w:w="2580" w:type="dxa"/>
            <w:vAlign w:val="bottom"/>
          </w:tcPr>
          <w:p>
            <w:pPr>
              <w:ind w:left="180"/>
              <w:spacing w:after="0"/>
              <w:rPr>
                <w:sz w:val="20"/>
                <w:szCs w:val="20"/>
                <w:color w:val="auto"/>
              </w:rPr>
            </w:pPr>
            <w:r>
              <w:rPr>
                <w:rFonts w:ascii="Arial" w:cs="Arial" w:eastAsia="Arial" w:hAnsi="Arial"/>
                <w:sz w:val="18"/>
                <w:szCs w:val="18"/>
                <w:color w:val="auto"/>
              </w:rPr>
              <w:t>Advertising, marketing and</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580" w:type="dxa"/>
            <w:vAlign w:val="bottom"/>
          </w:tcPr>
          <w:p>
            <w:pPr>
              <w:ind w:left="340"/>
              <w:spacing w:after="0"/>
              <w:rPr>
                <w:sz w:val="20"/>
                <w:szCs w:val="20"/>
                <w:color w:val="auto"/>
              </w:rPr>
            </w:pPr>
            <w:r>
              <w:rPr>
                <w:rFonts w:ascii="Arial" w:cs="Arial" w:eastAsia="Arial" w:hAnsi="Arial"/>
                <w:sz w:val="18"/>
                <w:szCs w:val="18"/>
                <w:color w:val="auto"/>
              </w:rPr>
              <w:t>promotion</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1,530</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1,530</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1,908</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1,915</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585</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587</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179</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270</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306</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15,723</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(545)</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15,933</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96</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(306)</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4,740</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4,530</w:t>
            </w:r>
          </w:p>
        </w:tc>
      </w:tr>
      <w:tr>
        <w:trPr>
          <w:trHeight w:val="270"/>
        </w:trPr>
        <w:tc>
          <w:tcPr>
            <w:tcW w:w="258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(517)</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(755)</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Investment income (loss), net</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59</w:t>
            </w:r>
          </w:p>
        </w:tc>
      </w:tr>
      <w:tr>
        <w:trPr>
          <w:trHeight w:val="256"/>
        </w:trPr>
        <w:tc>
          <w:tcPr>
            <w:tcW w:w="2580" w:type="dxa"/>
            <w:vAlign w:val="bottom"/>
          </w:tcPr>
          <w:p>
            <w:pPr>
              <w:ind w:left="180"/>
              <w:spacing w:after="0"/>
              <w:rPr>
                <w:sz w:val="20"/>
                <w:szCs w:val="20"/>
                <w:color w:val="auto"/>
              </w:rPr>
            </w:pPr>
            <w:r>
              <w:rPr>
                <w:rFonts w:ascii="Arial" w:cs="Arial" w:eastAsia="Arial" w:hAnsi="Arial"/>
                <w:sz w:val="18"/>
                <w:szCs w:val="18"/>
                <w:color w:val="auto"/>
                <w:w w:val="95"/>
              </w:rPr>
              <w:t>Equity in net income (losses) of</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580" w:type="dxa"/>
            <w:vAlign w:val="bottom"/>
          </w:tcPr>
          <w:p>
            <w:pPr>
              <w:ind w:left="340"/>
              <w:spacing w:after="0"/>
              <w:rPr>
                <w:sz w:val="20"/>
                <w:szCs w:val="20"/>
                <w:color w:val="auto"/>
              </w:rPr>
            </w:pPr>
            <w:r>
              <w:rPr>
                <w:rFonts w:ascii="Arial" w:cs="Arial" w:eastAsia="Arial" w:hAnsi="Arial"/>
                <w:sz w:val="18"/>
                <w:szCs w:val="18"/>
                <w:color w:val="auto"/>
              </w:rPr>
              <w:t>investees, net</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2,839</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2,650</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2,320</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1,597</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1,236</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(10,606)</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36</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35</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2,323</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2,675</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2,260</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1,509</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1,214</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(10,606)</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(625)</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w w:val="91"/>
              </w:rPr>
              <w:t>Income (loss) before income taxes</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2,419</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2,675</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2,260</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1,203</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5,954</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(10,606)</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3,905</w:t>
            </w:r>
          </w:p>
        </w:tc>
      </w:tr>
      <w:tr>
        <w:trPr>
          <w:trHeight w:val="270"/>
        </w:trPr>
        <w:tc>
          <w:tcPr>
            <w:tcW w:w="258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147</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(1,414)</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(1,258)</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2,566</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2,666</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2,281</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1,200</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4,540</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(10,606)</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2,647</w:t>
            </w:r>
          </w:p>
        </w:tc>
      </w:tr>
      <w:tr>
        <w:trPr>
          <w:trHeight w:val="256"/>
        </w:trPr>
        <w:tc>
          <w:tcPr>
            <w:tcW w:w="2580" w:type="dxa"/>
            <w:vAlign w:val="bottom"/>
          </w:tcPr>
          <w:p>
            <w:pPr>
              <w:ind w:left="40"/>
              <w:spacing w:after="0"/>
              <w:rPr>
                <w:sz w:val="20"/>
                <w:szCs w:val="20"/>
                <w:color w:val="auto"/>
              </w:rPr>
            </w:pPr>
            <w:r>
              <w:rPr>
                <w:rFonts w:ascii="Arial" w:cs="Arial" w:eastAsia="Arial" w:hAnsi="Arial"/>
                <w:sz w:val="18"/>
                <w:szCs w:val="18"/>
                <w:color w:val="auto"/>
                <w:w w:val="99"/>
              </w:rPr>
              <w:t>Net (income) loss attributable to</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580" w:type="dxa"/>
            <w:vAlign w:val="bottom"/>
          </w:tcPr>
          <w:p>
            <w:pPr>
              <w:ind w:left="200"/>
              <w:spacing w:after="0"/>
              <w:rPr>
                <w:sz w:val="20"/>
                <w:szCs w:val="20"/>
                <w:color w:val="auto"/>
              </w:rPr>
            </w:pPr>
            <w:r>
              <w:rPr>
                <w:rFonts w:ascii="Arial" w:cs="Arial" w:eastAsia="Arial" w:hAnsi="Arial"/>
                <w:sz w:val="18"/>
                <w:szCs w:val="18"/>
                <w:color w:val="auto"/>
              </w:rPr>
              <w:t>noncontrolling interests and</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580" w:type="dxa"/>
            <w:vAlign w:val="bottom"/>
          </w:tcPr>
          <w:p>
            <w:pPr>
              <w:ind w:left="200"/>
              <w:spacing w:after="0"/>
              <w:rPr>
                <w:sz w:val="20"/>
                <w:szCs w:val="20"/>
                <w:color w:val="auto"/>
              </w:rPr>
            </w:pPr>
            <w:r>
              <w:rPr>
                <w:rFonts w:ascii="Arial" w:cs="Arial" w:eastAsia="Arial" w:hAnsi="Arial"/>
                <w:sz w:val="18"/>
                <w:szCs w:val="18"/>
                <w:color w:val="auto"/>
                <w:w w:val="91"/>
              </w:rPr>
              <w:t>redeemable subsidiary preferred</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580" w:type="dxa"/>
            <w:vAlign w:val="bottom"/>
          </w:tcPr>
          <w:p>
            <w:pPr>
              <w:ind w:left="200"/>
              <w:spacing w:after="0"/>
              <w:rPr>
                <w:sz w:val="20"/>
                <w:szCs w:val="20"/>
                <w:color w:val="auto"/>
              </w:rPr>
            </w:pPr>
            <w:r>
              <w:rPr>
                <w:rFonts w:ascii="Arial" w:cs="Arial" w:eastAsia="Arial" w:hAnsi="Arial"/>
                <w:sz w:val="18"/>
                <w:szCs w:val="18"/>
                <w:color w:val="auto"/>
              </w:rPr>
              <w:t>stock</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w w:val="91"/>
              </w:rPr>
              <w:t>Net income (loss) attributable to</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580" w:type="dxa"/>
            <w:vAlign w:val="bottom"/>
          </w:tcPr>
          <w:p>
            <w:pPr>
              <w:ind w:left="200"/>
              <w:spacing w:after="0"/>
              <w:rPr>
                <w:sz w:val="20"/>
                <w:szCs w:val="20"/>
                <w:color w:val="auto"/>
              </w:rPr>
            </w:pPr>
            <w:r>
              <w:rPr>
                <w:rFonts w:ascii="Arial" w:cs="Arial" w:eastAsia="Arial" w:hAnsi="Arial"/>
                <w:sz w:val="18"/>
                <w:szCs w:val="18"/>
                <w:b w:val="1"/>
                <w:bCs w:val="1"/>
                <w:color w:val="auto"/>
              </w:rPr>
              <w:t>Comcast Corporation</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b w:val="1"/>
                <w:bCs w:val="1"/>
                <w:color w:val="auto"/>
              </w:rPr>
              <w:t>2,566</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2,666</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2,281</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1,200</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4,459</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(10,606)</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2,566</w:t>
            </w:r>
          </w:p>
        </w:tc>
      </w:tr>
      <w:tr>
        <w:trPr>
          <w:trHeight w:val="34"/>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5"/>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w w:val="98"/>
              </w:rPr>
              <w:t>Comprehensive income (loss)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16"/>
        </w:trPr>
        <w:tc>
          <w:tcPr>
            <w:tcW w:w="2580" w:type="dxa"/>
            <w:vAlign w:val="bottom"/>
          </w:tcPr>
          <w:p>
            <w:pPr>
              <w:ind w:left="200"/>
              <w:spacing w:after="0"/>
              <w:rPr>
                <w:sz w:val="20"/>
                <w:szCs w:val="20"/>
                <w:color w:val="auto"/>
              </w:rPr>
            </w:pPr>
            <w:r>
              <w:rPr>
                <w:rFonts w:ascii="Arial" w:cs="Arial" w:eastAsia="Arial" w:hAnsi="Arial"/>
                <w:sz w:val="18"/>
                <w:szCs w:val="18"/>
                <w:b w:val="1"/>
                <w:bCs w:val="1"/>
                <w:color w:val="auto"/>
              </w:rPr>
              <w:t>attributable to Comcast</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580" w:type="dxa"/>
            <w:vAlign w:val="bottom"/>
          </w:tcPr>
          <w:p>
            <w:pPr>
              <w:ind w:left="200"/>
              <w:spacing w:after="0"/>
              <w:rPr>
                <w:sz w:val="20"/>
                <w:szCs w:val="20"/>
                <w:color w:val="auto"/>
              </w:rPr>
            </w:pPr>
            <w:r>
              <w:rPr>
                <w:rFonts w:ascii="Arial" w:cs="Arial" w:eastAsia="Arial" w:hAnsi="Arial"/>
                <w:sz w:val="18"/>
                <w:szCs w:val="18"/>
                <w:b w:val="1"/>
                <w:bCs w:val="1"/>
                <w:color w:val="auto"/>
              </w:rPr>
              <w:t>Corporation</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b w:val="1"/>
                <w:bCs w:val="1"/>
                <w:color w:val="auto"/>
              </w:rPr>
              <w:t>2,810</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2,716</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2,282</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1,406</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4,703</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(11,107)</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2,810</w:t>
            </w:r>
          </w:p>
        </w:tc>
      </w:tr>
      <w:tr>
        <w:trPr>
          <w:trHeight w:val="34"/>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06"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31"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For the Three Months Ended March 31, 2016</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73"/>
              <w:spacing w:after="0"/>
              <w:rPr>
                <w:sz w:val="20"/>
                <w:szCs w:val="20"/>
                <w:color w:val="auto"/>
              </w:rPr>
            </w:pPr>
            <w:r>
              <w:rPr>
                <w:rFonts w:ascii="Arial" w:cs="Arial" w:eastAsia="Arial" w:hAnsi="Arial"/>
                <w:sz w:val="14"/>
                <w:szCs w:val="14"/>
                <w:color w:val="auto"/>
                <w:w w:val="99"/>
              </w:rPr>
              <w:t>Elimination</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49"/>
        </w:trPr>
        <w:tc>
          <w:tcPr>
            <w:tcW w:w="2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2"/>
              </w:rPr>
              <w:t>Non-</w:t>
            </w:r>
          </w:p>
        </w:tc>
        <w:tc>
          <w:tcPr>
            <w:tcW w:w="180" w:type="dxa"/>
            <w:vAlign w:val="bottom"/>
          </w:tcPr>
          <w:p>
            <w:pPr>
              <w:spacing w:after="0"/>
              <w:rPr>
                <w:sz w:val="12"/>
                <w:szCs w:val="12"/>
                <w:color w:val="auto"/>
              </w:rPr>
            </w:pPr>
          </w:p>
        </w:tc>
        <w:tc>
          <w:tcPr>
            <w:tcW w:w="1080" w:type="dxa"/>
            <w:vAlign w:val="bottom"/>
          </w:tcPr>
          <w:p>
            <w:pPr>
              <w:jc w:val="center"/>
              <w:ind w:right="73"/>
              <w:spacing w:after="0" w:line="149" w:lineRule="exact"/>
              <w:rPr>
                <w:sz w:val="20"/>
                <w:szCs w:val="20"/>
                <w:color w:val="auto"/>
              </w:rPr>
            </w:pPr>
            <w:r>
              <w:rPr>
                <w:rFonts w:ascii="Arial" w:cs="Arial" w:eastAsia="Arial" w:hAnsi="Arial"/>
                <w:sz w:val="14"/>
                <w:szCs w:val="14"/>
                <w:color w:val="auto"/>
                <w:w w:val="85"/>
              </w:rPr>
              <w:t>and</w:t>
            </w:r>
          </w:p>
        </w:tc>
        <w:tc>
          <w:tcPr>
            <w:tcW w:w="180" w:type="dxa"/>
            <w:vAlign w:val="bottom"/>
          </w:tcPr>
          <w:p>
            <w:pPr>
              <w:spacing w:after="0"/>
              <w:rPr>
                <w:sz w:val="12"/>
                <w:szCs w:val="12"/>
                <w:color w:val="auto"/>
              </w:rPr>
            </w:pPr>
          </w:p>
        </w:tc>
        <w:tc>
          <w:tcPr>
            <w:tcW w:w="10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92"/>
              </w:rPr>
              <w:t>Consolidated</w:t>
            </w:r>
          </w:p>
        </w:tc>
      </w:tr>
      <w:tr>
        <w:trPr>
          <w:trHeight w:val="149"/>
        </w:trPr>
        <w:tc>
          <w:tcPr>
            <w:tcW w:w="2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Comcast</w:t>
            </w:r>
          </w:p>
        </w:tc>
        <w:tc>
          <w:tcPr>
            <w:tcW w:w="240" w:type="dxa"/>
            <w:vAlign w:val="bottom"/>
          </w:tcPr>
          <w:p>
            <w:pPr>
              <w:spacing w:after="0"/>
              <w:rPr>
                <w:sz w:val="12"/>
                <w:szCs w:val="12"/>
                <w:color w:val="auto"/>
              </w:rPr>
            </w:pPr>
          </w:p>
        </w:tc>
        <w:tc>
          <w:tcPr>
            <w:tcW w:w="10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Comcast</w:t>
            </w:r>
          </w:p>
        </w:tc>
        <w:tc>
          <w:tcPr>
            <w:tcW w:w="300" w:type="dxa"/>
            <w:vAlign w:val="bottom"/>
          </w:tcPr>
          <w:p>
            <w:pPr>
              <w:spacing w:after="0"/>
              <w:rPr>
                <w:sz w:val="12"/>
                <w:szCs w:val="12"/>
                <w:color w:val="auto"/>
              </w:rPr>
            </w:pP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CCCL</w:t>
            </w:r>
          </w:p>
        </w:tc>
        <w:tc>
          <w:tcPr>
            <w:tcW w:w="180" w:type="dxa"/>
            <w:vAlign w:val="bottom"/>
          </w:tcPr>
          <w:p>
            <w:pPr>
              <w:spacing w:after="0"/>
              <w:rPr>
                <w:sz w:val="12"/>
                <w:szCs w:val="12"/>
                <w:color w:val="auto"/>
              </w:rPr>
            </w:pPr>
          </w:p>
        </w:tc>
        <w:tc>
          <w:tcPr>
            <w:tcW w:w="10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NBCUniversal</w:t>
            </w:r>
          </w:p>
        </w:tc>
        <w:tc>
          <w:tcPr>
            <w:tcW w:w="200" w:type="dxa"/>
            <w:vAlign w:val="bottom"/>
          </w:tcPr>
          <w:p>
            <w:pPr>
              <w:spacing w:after="0"/>
              <w:rPr>
                <w:sz w:val="12"/>
                <w:szCs w:val="12"/>
                <w:color w:val="auto"/>
              </w:rPr>
            </w:pPr>
          </w:p>
        </w:tc>
        <w:tc>
          <w:tcPr>
            <w:tcW w:w="106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5"/>
              </w:rPr>
              <w:t>Guarantor</w:t>
            </w:r>
          </w:p>
        </w:tc>
        <w:tc>
          <w:tcPr>
            <w:tcW w:w="180" w:type="dxa"/>
            <w:vAlign w:val="bottom"/>
          </w:tcPr>
          <w:p>
            <w:pPr>
              <w:spacing w:after="0"/>
              <w:rPr>
                <w:sz w:val="12"/>
                <w:szCs w:val="12"/>
                <w:color w:val="auto"/>
              </w:rPr>
            </w:pPr>
          </w:p>
        </w:tc>
        <w:tc>
          <w:tcPr>
            <w:tcW w:w="1080" w:type="dxa"/>
            <w:vAlign w:val="bottom"/>
          </w:tcPr>
          <w:p>
            <w:pPr>
              <w:jc w:val="center"/>
              <w:ind w:right="73"/>
              <w:spacing w:after="0" w:line="149" w:lineRule="exact"/>
              <w:rPr>
                <w:sz w:val="20"/>
                <w:szCs w:val="20"/>
                <w:color w:val="auto"/>
              </w:rPr>
            </w:pPr>
            <w:r>
              <w:rPr>
                <w:rFonts w:ascii="Arial" w:cs="Arial" w:eastAsia="Arial" w:hAnsi="Arial"/>
                <w:sz w:val="14"/>
                <w:szCs w:val="14"/>
                <w:color w:val="auto"/>
                <w:w w:val="94"/>
              </w:rPr>
              <w:t>Consolidation</w:t>
            </w:r>
          </w:p>
        </w:tc>
        <w:tc>
          <w:tcPr>
            <w:tcW w:w="180" w:type="dxa"/>
            <w:vAlign w:val="bottom"/>
          </w:tcPr>
          <w:p>
            <w:pPr>
              <w:spacing w:after="0"/>
              <w:rPr>
                <w:sz w:val="12"/>
                <w:szCs w:val="12"/>
                <w:color w:val="auto"/>
              </w:rPr>
            </w:pPr>
          </w:p>
        </w:tc>
        <w:tc>
          <w:tcPr>
            <w:tcW w:w="108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0"/>
              </w:rPr>
              <w:t>Comcast</w:t>
            </w:r>
          </w:p>
        </w:tc>
      </w:tr>
      <w:tr>
        <w:trPr>
          <w:trHeight w:val="188"/>
        </w:trPr>
        <w:tc>
          <w:tcPr>
            <w:tcW w:w="2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Parent</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color w:val="auto"/>
              </w:rPr>
              <w:t>Holdings</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rPr>
              <w:t>Parent</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w w:val="98"/>
              </w:rPr>
              <w:t>Media Parent</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color w:val="auto"/>
                <w:w w:val="94"/>
              </w:rPr>
              <w:t>Subsidiaries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color w:val="auto"/>
                <w:w w:val="93"/>
              </w:rPr>
              <w:t>Adjustments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color w:val="auto"/>
                <w:w w:val="95"/>
              </w:rPr>
              <w:t>Corporation</w:t>
            </w: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Service revenue</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18,790</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18,790</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Management fee revenue</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259</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254</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(513)</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259</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254</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18,790</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(513)</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18,790</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Programming and production</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5,431</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5,431</w:t>
            </w:r>
          </w:p>
        </w:tc>
      </w:tr>
      <w:tr>
        <w:trPr>
          <w:trHeight w:val="256"/>
        </w:trPr>
        <w:tc>
          <w:tcPr>
            <w:tcW w:w="2580" w:type="dxa"/>
            <w:vAlign w:val="bottom"/>
          </w:tcPr>
          <w:p>
            <w:pPr>
              <w:ind w:left="180"/>
              <w:spacing w:after="0"/>
              <w:rPr>
                <w:sz w:val="20"/>
                <w:szCs w:val="20"/>
                <w:color w:val="auto"/>
              </w:rPr>
            </w:pPr>
            <w:r>
              <w:rPr>
                <w:rFonts w:ascii="Arial" w:cs="Arial" w:eastAsia="Arial" w:hAnsi="Arial"/>
                <w:sz w:val="18"/>
                <w:szCs w:val="18"/>
                <w:color w:val="auto"/>
              </w:rPr>
              <w:t>Other operating and</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580" w:type="dxa"/>
            <w:vAlign w:val="bottom"/>
          </w:tcPr>
          <w:p>
            <w:pPr>
              <w:ind w:left="340"/>
              <w:spacing w:after="0"/>
              <w:rPr>
                <w:sz w:val="20"/>
                <w:szCs w:val="20"/>
                <w:color w:val="auto"/>
              </w:rPr>
            </w:pPr>
            <w:r>
              <w:rPr>
                <w:rFonts w:ascii="Arial" w:cs="Arial" w:eastAsia="Arial" w:hAnsi="Arial"/>
                <w:sz w:val="18"/>
                <w:szCs w:val="18"/>
                <w:color w:val="auto"/>
              </w:rPr>
              <w:t>administrative</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156</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254</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295</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5,334</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(513)</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5,526</w:t>
            </w:r>
          </w:p>
        </w:tc>
      </w:tr>
      <w:tr>
        <w:trPr>
          <w:trHeight w:val="256"/>
        </w:trPr>
        <w:tc>
          <w:tcPr>
            <w:tcW w:w="2580" w:type="dxa"/>
            <w:vAlign w:val="bottom"/>
          </w:tcPr>
          <w:p>
            <w:pPr>
              <w:ind w:left="180"/>
              <w:spacing w:after="0"/>
              <w:rPr>
                <w:sz w:val="20"/>
                <w:szCs w:val="20"/>
                <w:color w:val="auto"/>
              </w:rPr>
            </w:pPr>
            <w:r>
              <w:rPr>
                <w:rFonts w:ascii="Arial" w:cs="Arial" w:eastAsia="Arial" w:hAnsi="Arial"/>
                <w:sz w:val="18"/>
                <w:szCs w:val="18"/>
                <w:color w:val="auto"/>
              </w:rPr>
              <w:t>Advertising, marketing and</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580" w:type="dxa"/>
            <w:vAlign w:val="bottom"/>
          </w:tcPr>
          <w:p>
            <w:pPr>
              <w:ind w:left="340"/>
              <w:spacing w:after="0"/>
              <w:rPr>
                <w:sz w:val="20"/>
                <w:szCs w:val="20"/>
                <w:color w:val="auto"/>
              </w:rPr>
            </w:pPr>
            <w:r>
              <w:rPr>
                <w:rFonts w:ascii="Arial" w:cs="Arial" w:eastAsia="Arial" w:hAnsi="Arial"/>
                <w:sz w:val="18"/>
                <w:szCs w:val="18"/>
                <w:color w:val="auto"/>
              </w:rPr>
              <w:t>promotion</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1,466</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1,466</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1,777</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1,785</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492</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493</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165</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254</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295</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14,500</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(513)</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14,701</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94</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(295)</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4,290</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4,089</w:t>
            </w:r>
          </w:p>
        </w:tc>
      </w:tr>
      <w:tr>
        <w:trPr>
          <w:trHeight w:val="270"/>
        </w:trPr>
        <w:tc>
          <w:tcPr>
            <w:tcW w:w="258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(451)</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(117)</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(703)</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Investment income (loss), net</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30</w:t>
            </w:r>
          </w:p>
        </w:tc>
      </w:tr>
      <w:tr>
        <w:trPr>
          <w:trHeight w:val="256"/>
        </w:trPr>
        <w:tc>
          <w:tcPr>
            <w:tcW w:w="2580" w:type="dxa"/>
            <w:vAlign w:val="bottom"/>
          </w:tcPr>
          <w:p>
            <w:pPr>
              <w:ind w:left="180"/>
              <w:spacing w:after="0"/>
              <w:rPr>
                <w:sz w:val="20"/>
                <w:szCs w:val="20"/>
                <w:color w:val="auto"/>
              </w:rPr>
            </w:pPr>
            <w:r>
              <w:rPr>
                <w:rFonts w:ascii="Arial" w:cs="Arial" w:eastAsia="Arial" w:hAnsi="Arial"/>
                <w:sz w:val="18"/>
                <w:szCs w:val="18"/>
                <w:color w:val="auto"/>
                <w:w w:val="95"/>
              </w:rPr>
              <w:t>Equity in net income (losses) of</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580" w:type="dxa"/>
            <w:vAlign w:val="bottom"/>
          </w:tcPr>
          <w:p>
            <w:pPr>
              <w:ind w:left="340"/>
              <w:spacing w:after="0"/>
              <w:rPr>
                <w:sz w:val="20"/>
                <w:szCs w:val="20"/>
                <w:color w:val="auto"/>
              </w:rPr>
            </w:pPr>
            <w:r>
              <w:rPr>
                <w:rFonts w:ascii="Arial" w:cs="Arial" w:eastAsia="Arial" w:hAnsi="Arial"/>
                <w:sz w:val="18"/>
                <w:szCs w:val="18"/>
                <w:color w:val="auto"/>
              </w:rPr>
              <w:t>investees, net</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2,366</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2,264</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2,114</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1,297</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991</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(9,043)</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124</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130</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1,915</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2,261</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2,055</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1,302</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956</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(9,043)</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(554)</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w w:val="91"/>
              </w:rPr>
              <w:t>Income (loss) before income taxes</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2,009</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2,261</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2,055</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1,007</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5,246</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(9,043)</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3,535</w:t>
            </w:r>
          </w:p>
        </w:tc>
      </w:tr>
      <w:tr>
        <w:trPr>
          <w:trHeight w:val="270"/>
        </w:trPr>
        <w:tc>
          <w:tcPr>
            <w:tcW w:w="258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125</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(1,453)</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(1,311)</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2,134</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2,262</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2,076</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1,002</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3,793</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(9,043)</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2,224</w:t>
            </w:r>
          </w:p>
        </w:tc>
      </w:tr>
      <w:tr>
        <w:trPr>
          <w:trHeight w:val="256"/>
        </w:trPr>
        <w:tc>
          <w:tcPr>
            <w:tcW w:w="2580" w:type="dxa"/>
            <w:vAlign w:val="bottom"/>
          </w:tcPr>
          <w:p>
            <w:pPr>
              <w:ind w:left="40"/>
              <w:spacing w:after="0"/>
              <w:rPr>
                <w:sz w:val="20"/>
                <w:szCs w:val="20"/>
                <w:color w:val="auto"/>
              </w:rPr>
            </w:pPr>
            <w:r>
              <w:rPr>
                <w:rFonts w:ascii="Arial" w:cs="Arial" w:eastAsia="Arial" w:hAnsi="Arial"/>
                <w:sz w:val="18"/>
                <w:szCs w:val="18"/>
                <w:color w:val="auto"/>
                <w:w w:val="99"/>
              </w:rPr>
              <w:t>Net (income) loss attributable to</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580" w:type="dxa"/>
            <w:vAlign w:val="bottom"/>
          </w:tcPr>
          <w:p>
            <w:pPr>
              <w:ind w:left="200"/>
              <w:spacing w:after="0"/>
              <w:rPr>
                <w:sz w:val="20"/>
                <w:szCs w:val="20"/>
                <w:color w:val="auto"/>
              </w:rPr>
            </w:pPr>
            <w:r>
              <w:rPr>
                <w:rFonts w:ascii="Arial" w:cs="Arial" w:eastAsia="Arial" w:hAnsi="Arial"/>
                <w:sz w:val="18"/>
                <w:szCs w:val="18"/>
                <w:color w:val="auto"/>
              </w:rPr>
              <w:t>noncontrolling interests and</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580" w:type="dxa"/>
            <w:vAlign w:val="bottom"/>
          </w:tcPr>
          <w:p>
            <w:pPr>
              <w:ind w:left="200"/>
              <w:spacing w:after="0"/>
              <w:rPr>
                <w:sz w:val="20"/>
                <w:szCs w:val="20"/>
                <w:color w:val="auto"/>
              </w:rPr>
            </w:pPr>
            <w:r>
              <w:rPr>
                <w:rFonts w:ascii="Arial" w:cs="Arial" w:eastAsia="Arial" w:hAnsi="Arial"/>
                <w:sz w:val="18"/>
                <w:szCs w:val="18"/>
                <w:color w:val="auto"/>
                <w:w w:val="91"/>
              </w:rPr>
              <w:t>redeemable subsidiary preferred</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580" w:type="dxa"/>
            <w:vAlign w:val="bottom"/>
          </w:tcPr>
          <w:p>
            <w:pPr>
              <w:ind w:left="200"/>
              <w:spacing w:after="0"/>
              <w:rPr>
                <w:sz w:val="20"/>
                <w:szCs w:val="20"/>
                <w:color w:val="auto"/>
              </w:rPr>
            </w:pPr>
            <w:r>
              <w:rPr>
                <w:rFonts w:ascii="Arial" w:cs="Arial" w:eastAsia="Arial" w:hAnsi="Arial"/>
                <w:sz w:val="18"/>
                <w:szCs w:val="18"/>
                <w:color w:val="auto"/>
              </w:rPr>
              <w:t>stock</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w w:val="91"/>
              </w:rPr>
              <w:t>Net income (loss) attributable to</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580" w:type="dxa"/>
            <w:vAlign w:val="bottom"/>
          </w:tcPr>
          <w:p>
            <w:pPr>
              <w:ind w:left="200"/>
              <w:spacing w:after="0"/>
              <w:rPr>
                <w:sz w:val="20"/>
                <w:szCs w:val="20"/>
                <w:color w:val="auto"/>
              </w:rPr>
            </w:pPr>
            <w:r>
              <w:rPr>
                <w:rFonts w:ascii="Arial" w:cs="Arial" w:eastAsia="Arial" w:hAnsi="Arial"/>
                <w:sz w:val="18"/>
                <w:szCs w:val="18"/>
                <w:b w:val="1"/>
                <w:bCs w:val="1"/>
                <w:color w:val="auto"/>
              </w:rPr>
              <w:t>Comcast Corporation</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b w:val="1"/>
                <w:bCs w:val="1"/>
                <w:color w:val="auto"/>
              </w:rPr>
              <w:t>2,134</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2,262</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2,076</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1,002</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3,703</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(9,043)</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2,134</w:t>
            </w:r>
          </w:p>
        </w:tc>
      </w:tr>
      <w:tr>
        <w:trPr>
          <w:trHeight w:val="34"/>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5"/>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w w:val="98"/>
              </w:rPr>
              <w:t>Comprehensive income (loss)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16"/>
        </w:trPr>
        <w:tc>
          <w:tcPr>
            <w:tcW w:w="2580" w:type="dxa"/>
            <w:vAlign w:val="bottom"/>
          </w:tcPr>
          <w:p>
            <w:pPr>
              <w:ind w:left="200"/>
              <w:spacing w:after="0"/>
              <w:rPr>
                <w:sz w:val="20"/>
                <w:szCs w:val="20"/>
                <w:color w:val="auto"/>
              </w:rPr>
            </w:pPr>
            <w:r>
              <w:rPr>
                <w:rFonts w:ascii="Arial" w:cs="Arial" w:eastAsia="Arial" w:hAnsi="Arial"/>
                <w:sz w:val="18"/>
                <w:szCs w:val="18"/>
                <w:b w:val="1"/>
                <w:bCs w:val="1"/>
                <w:color w:val="auto"/>
              </w:rPr>
              <w:t>attributable to Comcast</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580" w:type="dxa"/>
            <w:vAlign w:val="bottom"/>
          </w:tcPr>
          <w:p>
            <w:pPr>
              <w:ind w:left="200"/>
              <w:spacing w:after="0"/>
              <w:rPr>
                <w:sz w:val="20"/>
                <w:szCs w:val="20"/>
                <w:color w:val="auto"/>
              </w:rPr>
            </w:pPr>
            <w:r>
              <w:rPr>
                <w:rFonts w:ascii="Arial" w:cs="Arial" w:eastAsia="Arial" w:hAnsi="Arial"/>
                <w:sz w:val="18"/>
                <w:szCs w:val="18"/>
                <w:b w:val="1"/>
                <w:bCs w:val="1"/>
                <w:color w:val="auto"/>
              </w:rPr>
              <w:t>Corporation</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b w:val="1"/>
                <w:bCs w:val="1"/>
                <w:color w:val="auto"/>
              </w:rPr>
              <w:t>2,224</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2,306</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2,078</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1,146</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3,705</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(9,235)</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2,224</w:t>
            </w:r>
          </w:p>
        </w:tc>
      </w:tr>
      <w:tr>
        <w:trPr>
          <w:trHeight w:val="34"/>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06"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31"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For the Three Months Ended March 31, 2017</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right="33"/>
              <w:spacing w:after="0"/>
              <w:rPr>
                <w:sz w:val="20"/>
                <w:szCs w:val="20"/>
                <w:color w:val="auto"/>
              </w:rPr>
            </w:pPr>
            <w:r>
              <w:rPr>
                <w:rFonts w:ascii="Arial" w:cs="Arial" w:eastAsia="Arial" w:hAnsi="Arial"/>
                <w:sz w:val="14"/>
                <w:szCs w:val="14"/>
                <w:color w:val="auto"/>
                <w:w w:val="99"/>
              </w:rPr>
              <w:t>Elimination</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49"/>
        </w:trPr>
        <w:tc>
          <w:tcPr>
            <w:tcW w:w="2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2"/>
              </w:rPr>
              <w:t>Non-</w:t>
            </w:r>
          </w:p>
        </w:tc>
        <w:tc>
          <w:tcPr>
            <w:tcW w:w="180" w:type="dxa"/>
            <w:vAlign w:val="bottom"/>
          </w:tcPr>
          <w:p>
            <w:pPr>
              <w:spacing w:after="0"/>
              <w:rPr>
                <w:sz w:val="12"/>
                <w:szCs w:val="12"/>
                <w:color w:val="auto"/>
              </w:rPr>
            </w:pPr>
          </w:p>
        </w:tc>
        <w:tc>
          <w:tcPr>
            <w:tcW w:w="1040" w:type="dxa"/>
            <w:vAlign w:val="bottom"/>
          </w:tcPr>
          <w:p>
            <w:pPr>
              <w:jc w:val="center"/>
              <w:ind w:right="33"/>
              <w:spacing w:after="0" w:line="149" w:lineRule="exact"/>
              <w:rPr>
                <w:sz w:val="20"/>
                <w:szCs w:val="20"/>
                <w:color w:val="auto"/>
              </w:rPr>
            </w:pPr>
            <w:r>
              <w:rPr>
                <w:rFonts w:ascii="Arial" w:cs="Arial" w:eastAsia="Arial" w:hAnsi="Arial"/>
                <w:sz w:val="14"/>
                <w:szCs w:val="14"/>
                <w:color w:val="auto"/>
                <w:w w:val="85"/>
              </w:rPr>
              <w:t>and</w:t>
            </w:r>
          </w:p>
        </w:tc>
        <w:tc>
          <w:tcPr>
            <w:tcW w:w="220" w:type="dxa"/>
            <w:vAlign w:val="bottom"/>
          </w:tcPr>
          <w:p>
            <w:pPr>
              <w:spacing w:after="0"/>
              <w:rPr>
                <w:sz w:val="12"/>
                <w:szCs w:val="12"/>
                <w:color w:val="auto"/>
              </w:rPr>
            </w:pPr>
          </w:p>
        </w:tc>
        <w:tc>
          <w:tcPr>
            <w:tcW w:w="10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92"/>
              </w:rPr>
              <w:t>Consolidated</w:t>
            </w:r>
          </w:p>
        </w:tc>
      </w:tr>
      <w:tr>
        <w:trPr>
          <w:trHeight w:val="149"/>
        </w:trPr>
        <w:tc>
          <w:tcPr>
            <w:tcW w:w="2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ind w:right="291"/>
              <w:spacing w:after="0" w:line="149" w:lineRule="exact"/>
              <w:rPr>
                <w:sz w:val="20"/>
                <w:szCs w:val="20"/>
                <w:color w:val="auto"/>
              </w:rPr>
            </w:pPr>
            <w:r>
              <w:rPr>
                <w:rFonts w:ascii="Arial" w:cs="Arial" w:eastAsia="Arial" w:hAnsi="Arial"/>
                <w:sz w:val="14"/>
                <w:szCs w:val="14"/>
                <w:color w:val="auto"/>
              </w:rPr>
              <w:t>Comcast</w:t>
            </w:r>
          </w:p>
        </w:tc>
        <w:tc>
          <w:tcPr>
            <w:tcW w:w="240" w:type="dxa"/>
            <w:vAlign w:val="bottom"/>
          </w:tcPr>
          <w:p>
            <w:pPr>
              <w:spacing w:after="0"/>
              <w:rPr>
                <w:sz w:val="12"/>
                <w:szCs w:val="12"/>
                <w:color w:val="auto"/>
              </w:rPr>
            </w:pPr>
          </w:p>
        </w:tc>
        <w:tc>
          <w:tcPr>
            <w:tcW w:w="1000" w:type="dxa"/>
            <w:vAlign w:val="bottom"/>
          </w:tcPr>
          <w:p>
            <w:pPr>
              <w:jc w:val="right"/>
              <w:ind w:right="271"/>
              <w:spacing w:after="0" w:line="149" w:lineRule="exact"/>
              <w:rPr>
                <w:sz w:val="20"/>
                <w:szCs w:val="20"/>
                <w:color w:val="auto"/>
              </w:rPr>
            </w:pPr>
            <w:r>
              <w:rPr>
                <w:rFonts w:ascii="Arial" w:cs="Arial" w:eastAsia="Arial" w:hAnsi="Arial"/>
                <w:sz w:val="14"/>
                <w:szCs w:val="14"/>
                <w:color w:val="auto"/>
              </w:rPr>
              <w:t>Comcast</w:t>
            </w:r>
          </w:p>
        </w:tc>
        <w:tc>
          <w:tcPr>
            <w:tcW w:w="300" w:type="dxa"/>
            <w:vAlign w:val="bottom"/>
          </w:tcPr>
          <w:p>
            <w:pPr>
              <w:spacing w:after="0"/>
              <w:rPr>
                <w:sz w:val="12"/>
                <w:szCs w:val="12"/>
                <w:color w:val="auto"/>
              </w:rPr>
            </w:pPr>
          </w:p>
        </w:tc>
        <w:tc>
          <w:tcPr>
            <w:tcW w:w="960" w:type="dxa"/>
            <w:vAlign w:val="bottom"/>
          </w:tcPr>
          <w:p>
            <w:pPr>
              <w:jc w:val="right"/>
              <w:ind w:right="331"/>
              <w:spacing w:after="0" w:line="149" w:lineRule="exact"/>
              <w:rPr>
                <w:sz w:val="20"/>
                <w:szCs w:val="20"/>
                <w:color w:val="auto"/>
              </w:rPr>
            </w:pPr>
            <w:r>
              <w:rPr>
                <w:rFonts w:ascii="Arial" w:cs="Arial" w:eastAsia="Arial" w:hAnsi="Arial"/>
                <w:sz w:val="14"/>
                <w:szCs w:val="14"/>
                <w:color w:val="auto"/>
              </w:rPr>
              <w:t>CCCL</w:t>
            </w:r>
          </w:p>
        </w:tc>
        <w:tc>
          <w:tcPr>
            <w:tcW w:w="180" w:type="dxa"/>
            <w:vAlign w:val="bottom"/>
          </w:tcPr>
          <w:p>
            <w:pPr>
              <w:spacing w:after="0"/>
              <w:rPr>
                <w:sz w:val="12"/>
                <w:szCs w:val="12"/>
                <w:color w:val="auto"/>
              </w:rPr>
            </w:pPr>
          </w:p>
        </w:tc>
        <w:tc>
          <w:tcPr>
            <w:tcW w:w="1080" w:type="dxa"/>
            <w:vAlign w:val="bottom"/>
          </w:tcPr>
          <w:p>
            <w:pPr>
              <w:jc w:val="right"/>
              <w:ind w:right="91"/>
              <w:spacing w:after="0" w:line="149" w:lineRule="exact"/>
              <w:rPr>
                <w:sz w:val="20"/>
                <w:szCs w:val="20"/>
                <w:color w:val="auto"/>
              </w:rPr>
            </w:pPr>
            <w:r>
              <w:rPr>
                <w:rFonts w:ascii="Arial" w:cs="Arial" w:eastAsia="Arial" w:hAnsi="Arial"/>
                <w:sz w:val="14"/>
                <w:szCs w:val="14"/>
                <w:color w:val="auto"/>
              </w:rPr>
              <w:t>NBCUniversal</w:t>
            </w:r>
          </w:p>
        </w:tc>
        <w:tc>
          <w:tcPr>
            <w:tcW w:w="200" w:type="dxa"/>
            <w:vAlign w:val="bottom"/>
          </w:tcPr>
          <w:p>
            <w:pPr>
              <w:spacing w:after="0"/>
              <w:rPr>
                <w:sz w:val="12"/>
                <w:szCs w:val="12"/>
                <w:color w:val="auto"/>
              </w:rPr>
            </w:pPr>
          </w:p>
        </w:tc>
        <w:tc>
          <w:tcPr>
            <w:tcW w:w="106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5"/>
              </w:rPr>
              <w:t>Guarantor</w:t>
            </w:r>
          </w:p>
        </w:tc>
        <w:tc>
          <w:tcPr>
            <w:tcW w:w="180" w:type="dxa"/>
            <w:vAlign w:val="bottom"/>
          </w:tcPr>
          <w:p>
            <w:pPr>
              <w:spacing w:after="0"/>
              <w:rPr>
                <w:sz w:val="12"/>
                <w:szCs w:val="12"/>
                <w:color w:val="auto"/>
              </w:rPr>
            </w:pPr>
          </w:p>
        </w:tc>
        <w:tc>
          <w:tcPr>
            <w:tcW w:w="1040" w:type="dxa"/>
            <w:vAlign w:val="bottom"/>
          </w:tcPr>
          <w:p>
            <w:pPr>
              <w:jc w:val="center"/>
              <w:ind w:right="33"/>
              <w:spacing w:after="0" w:line="149" w:lineRule="exact"/>
              <w:rPr>
                <w:sz w:val="20"/>
                <w:szCs w:val="20"/>
                <w:color w:val="auto"/>
              </w:rPr>
            </w:pPr>
            <w:r>
              <w:rPr>
                <w:rFonts w:ascii="Arial" w:cs="Arial" w:eastAsia="Arial" w:hAnsi="Arial"/>
                <w:sz w:val="14"/>
                <w:szCs w:val="14"/>
                <w:color w:val="auto"/>
                <w:w w:val="94"/>
              </w:rPr>
              <w:t>Consolidation</w:t>
            </w:r>
          </w:p>
        </w:tc>
        <w:tc>
          <w:tcPr>
            <w:tcW w:w="220" w:type="dxa"/>
            <w:vAlign w:val="bottom"/>
          </w:tcPr>
          <w:p>
            <w:pPr>
              <w:spacing w:after="0"/>
              <w:rPr>
                <w:sz w:val="12"/>
                <w:szCs w:val="12"/>
                <w:color w:val="auto"/>
              </w:rPr>
            </w:pPr>
          </w:p>
        </w:tc>
        <w:tc>
          <w:tcPr>
            <w:tcW w:w="108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0"/>
              </w:rPr>
              <w:t>Comcast</w:t>
            </w:r>
          </w:p>
        </w:tc>
      </w:tr>
      <w:tr>
        <w:trPr>
          <w:trHeight w:val="188"/>
        </w:trPr>
        <w:tc>
          <w:tcPr>
            <w:tcW w:w="26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rPr>
              <w:t>Parent</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Holdings</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color w:val="auto"/>
              </w:rPr>
              <w:t>Parent</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w w:val="98"/>
              </w:rPr>
              <w:t>Media Parent</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color w:val="auto"/>
                <w:w w:val="94"/>
              </w:rPr>
              <w:t>Subsidiaries</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color w:val="auto"/>
                <w:w w:val="93"/>
              </w:rPr>
              <w:t>Adjustments</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color w:val="auto"/>
                <w:w w:val="95"/>
              </w:rPr>
              <w:t>Corporation</w:t>
            </w:r>
          </w:p>
        </w:tc>
      </w:tr>
      <w:tr>
        <w:trPr>
          <w:trHeight w:val="224"/>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w w:val="96"/>
              </w:rPr>
              <w:t>Net cash provided by (used in)</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4"/>
        </w:trPr>
        <w:tc>
          <w:tcPr>
            <w:tcW w:w="2600" w:type="dxa"/>
            <w:vAlign w:val="bottom"/>
          </w:tcPr>
          <w:p>
            <w:pPr>
              <w:ind w:left="200"/>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(453)</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(330)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6,617</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5,656</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Net transactions with affiliates</w:t>
            </w:r>
          </w:p>
        </w:tc>
        <w:tc>
          <w:tcPr>
            <w:tcW w:w="2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1,385</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168</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115</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(1,678)</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(2,077)</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(2,078)</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w w:val="97"/>
              </w:rPr>
              <w:t>Cash paid for intangible assets</w:t>
            </w:r>
          </w:p>
        </w:tc>
        <w:tc>
          <w:tcPr>
            <w:tcW w:w="2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(416)</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(416)</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w w:val="94"/>
              </w:rPr>
              <w:t>Acquisitions and construction of</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real estate properties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rPr>
              <w:t>Acquisitions, net of cash</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acquired</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(216)</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(216)</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rPr>
              <w:t>Proceeds from sales of</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investments</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51</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Purchases of investments</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(1,049)</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(1,062)</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55</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57</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w w:val="96"/>
              </w:rPr>
              <w:t>Net cash provided by (used in)</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600" w:type="dxa"/>
            <w:vAlign w:val="bottom"/>
          </w:tcPr>
          <w:p>
            <w:pPr>
              <w:ind w:left="200"/>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1,361</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168</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121</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(5,454)</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(3,794)</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w w:val="96"/>
              </w:rPr>
              <w:t>Proceeds from (repayments of)</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short-term borrowings, net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(1,739)</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(154)</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(1,893)</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Proceeds from borrowings</w:t>
            </w:r>
          </w:p>
        </w:tc>
        <w:tc>
          <w:tcPr>
            <w:tcW w:w="2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3,500</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3,500</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w w:val="92"/>
              </w:rPr>
              <w:t>Repurchases and repayments of</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debt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(1,059)</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w w:val="97"/>
              </w:rPr>
              <w:t>Repurchases of common stock</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600" w:type="dxa"/>
            <w:vAlign w:val="bottom"/>
          </w:tcPr>
          <w:p>
            <w:pPr>
              <w:ind w:left="340"/>
              <w:spacing w:after="0"/>
              <w:rPr>
                <w:sz w:val="20"/>
                <w:szCs w:val="20"/>
                <w:color w:val="auto"/>
              </w:rPr>
            </w:pPr>
            <w:r>
              <w:rPr>
                <w:rFonts w:ascii="Arial" w:cs="Arial" w:eastAsia="Arial" w:hAnsi="Arial"/>
                <w:sz w:val="18"/>
                <w:szCs w:val="18"/>
                <w:color w:val="auto"/>
                <w:w w:val="90"/>
              </w:rPr>
              <w:t>under repurchase program and</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employee plans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(996)</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(996)</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Dividends paid</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(657)</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(657)</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Issuances of common stock</w:t>
            </w:r>
          </w:p>
        </w:tc>
        <w:tc>
          <w:tcPr>
            <w:tcW w:w="2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rPr>
              <w:t>Distributions to noncontrolling</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600" w:type="dxa"/>
            <w:vAlign w:val="bottom"/>
          </w:tcPr>
          <w:p>
            <w:pPr>
              <w:ind w:left="340"/>
              <w:spacing w:after="0"/>
              <w:rPr>
                <w:sz w:val="20"/>
                <w:szCs w:val="20"/>
                <w:color w:val="auto"/>
              </w:rPr>
            </w:pPr>
            <w:r>
              <w:rPr>
                <w:rFonts w:ascii="Arial" w:cs="Arial" w:eastAsia="Arial" w:hAnsi="Arial"/>
                <w:sz w:val="18"/>
                <w:szCs w:val="18"/>
                <w:color w:val="auto"/>
              </w:rPr>
              <w:t>interests and dividends for</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600" w:type="dxa"/>
            <w:vAlign w:val="bottom"/>
          </w:tcPr>
          <w:p>
            <w:pPr>
              <w:ind w:left="340"/>
              <w:spacing w:after="0"/>
              <w:rPr>
                <w:sz w:val="20"/>
                <w:szCs w:val="20"/>
                <w:color w:val="auto"/>
              </w:rPr>
            </w:pPr>
            <w:r>
              <w:rPr>
                <w:rFonts w:ascii="Arial" w:cs="Arial" w:eastAsia="Arial" w:hAnsi="Arial"/>
                <w:sz w:val="18"/>
                <w:szCs w:val="18"/>
                <w:color w:val="auto"/>
              </w:rPr>
              <w:t>redeemable subsidiary</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preferred stock</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36</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w w:val="96"/>
              </w:rPr>
              <w:t>Net cash provided by (used in)</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600" w:type="dxa"/>
            <w:vAlign w:val="bottom"/>
          </w:tcPr>
          <w:p>
            <w:pPr>
              <w:ind w:left="200"/>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(908)</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(230)</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(1,141)</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2"/>
        </w:trPr>
        <w:tc>
          <w:tcPr>
            <w:tcW w:w="2600" w:type="dxa"/>
            <w:vAlign w:val="bottom"/>
          </w:tcPr>
          <w:p>
            <w:pPr>
              <w:ind w:left="40"/>
              <w:spacing w:after="0"/>
              <w:rPr>
                <w:sz w:val="20"/>
                <w:szCs w:val="20"/>
                <w:color w:val="auto"/>
              </w:rPr>
            </w:pPr>
            <w:r>
              <w:rPr>
                <w:rFonts w:ascii="Arial" w:cs="Arial" w:eastAsia="Arial" w:hAnsi="Arial"/>
                <w:sz w:val="18"/>
                <w:szCs w:val="18"/>
                <w:color w:val="auto"/>
                <w:w w:val="98"/>
              </w:rPr>
              <w:t>Increase (decrease) in cash and</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2600" w:type="dxa"/>
            <w:vAlign w:val="bottom"/>
          </w:tcPr>
          <w:p>
            <w:pPr>
              <w:ind w:left="200"/>
              <w:spacing w:after="0"/>
              <w:rPr>
                <w:sz w:val="20"/>
                <w:szCs w:val="20"/>
                <w:color w:val="auto"/>
              </w:rPr>
            </w:pPr>
            <w:r>
              <w:rPr>
                <w:rFonts w:ascii="Arial" w:cs="Arial" w:eastAsia="Arial" w:hAnsi="Arial"/>
                <w:sz w:val="18"/>
                <w:szCs w:val="18"/>
                <w:color w:val="auto"/>
              </w:rPr>
              <w:t>cash equivalents</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(212)</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933</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721</w:t>
            </w:r>
          </w:p>
        </w:tc>
      </w:tr>
      <w:tr>
        <w:trPr>
          <w:trHeight w:val="256"/>
        </w:trPr>
        <w:tc>
          <w:tcPr>
            <w:tcW w:w="260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200"/>
              <w:spacing w:after="0"/>
              <w:rPr>
                <w:sz w:val="20"/>
                <w:szCs w:val="20"/>
                <w:color w:val="auto"/>
              </w:rPr>
            </w:pPr>
            <w:r>
              <w:rPr>
                <w:rFonts w:ascii="Arial" w:cs="Arial" w:eastAsia="Arial" w:hAnsi="Arial"/>
                <w:sz w:val="18"/>
                <w:szCs w:val="18"/>
                <w:color w:val="auto"/>
              </w:rPr>
              <w:t>beginning of period</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482</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2,819</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3,301</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w w:val="92"/>
              </w:rPr>
              <w:t>Cash and cash equivalents, end</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600" w:type="dxa"/>
            <w:vAlign w:val="bottom"/>
          </w:tcPr>
          <w:p>
            <w:pPr>
              <w:ind w:left="200"/>
              <w:spacing w:after="0"/>
              <w:rPr>
                <w:sz w:val="20"/>
                <w:szCs w:val="20"/>
                <w:color w:val="auto"/>
              </w:rPr>
            </w:pPr>
            <w:r>
              <w:rPr>
                <w:rFonts w:ascii="Arial" w:cs="Arial" w:eastAsia="Arial" w:hAnsi="Arial"/>
                <w:sz w:val="18"/>
                <w:szCs w:val="18"/>
                <w:b w:val="1"/>
                <w:bCs w:val="1"/>
                <w:color w:val="auto"/>
              </w:rPr>
              <w:t>of period</w:t>
            </w:r>
          </w:p>
        </w:tc>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b w:val="1"/>
                <w:bCs w:val="1"/>
                <w:color w:val="auto"/>
              </w:rPr>
              <w:t>270</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3,752</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ind w:left="80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4,022</w:t>
            </w:r>
          </w:p>
        </w:tc>
      </w:tr>
      <w:tr>
        <w:trPr>
          <w:trHeight w:val="34"/>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1" w:right="2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2016</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right="33"/>
              <w:spacing w:after="0"/>
              <w:rPr>
                <w:sz w:val="20"/>
                <w:szCs w:val="20"/>
                <w:color w:val="auto"/>
              </w:rPr>
            </w:pPr>
            <w:r>
              <w:rPr>
                <w:rFonts w:ascii="Arial" w:cs="Arial" w:eastAsia="Arial" w:hAnsi="Arial"/>
                <w:sz w:val="14"/>
                <w:szCs w:val="14"/>
                <w:color w:val="auto"/>
                <w:w w:val="99"/>
              </w:rPr>
              <w:t>Elimination</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49"/>
        </w:trPr>
        <w:tc>
          <w:tcPr>
            <w:tcW w:w="2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2"/>
              </w:rPr>
              <w:t>Non-</w:t>
            </w:r>
          </w:p>
        </w:tc>
        <w:tc>
          <w:tcPr>
            <w:tcW w:w="180" w:type="dxa"/>
            <w:vAlign w:val="bottom"/>
          </w:tcPr>
          <w:p>
            <w:pPr>
              <w:spacing w:after="0"/>
              <w:rPr>
                <w:sz w:val="12"/>
                <w:szCs w:val="12"/>
                <w:color w:val="auto"/>
              </w:rPr>
            </w:pPr>
          </w:p>
        </w:tc>
        <w:tc>
          <w:tcPr>
            <w:tcW w:w="1040" w:type="dxa"/>
            <w:vAlign w:val="bottom"/>
          </w:tcPr>
          <w:p>
            <w:pPr>
              <w:jc w:val="center"/>
              <w:ind w:right="33"/>
              <w:spacing w:after="0" w:line="149" w:lineRule="exact"/>
              <w:rPr>
                <w:sz w:val="20"/>
                <w:szCs w:val="20"/>
                <w:color w:val="auto"/>
              </w:rPr>
            </w:pPr>
            <w:r>
              <w:rPr>
                <w:rFonts w:ascii="Arial" w:cs="Arial" w:eastAsia="Arial" w:hAnsi="Arial"/>
                <w:sz w:val="14"/>
                <w:szCs w:val="14"/>
                <w:color w:val="auto"/>
                <w:w w:val="85"/>
              </w:rPr>
              <w:t>and</w:t>
            </w:r>
          </w:p>
        </w:tc>
        <w:tc>
          <w:tcPr>
            <w:tcW w:w="220" w:type="dxa"/>
            <w:vAlign w:val="bottom"/>
          </w:tcPr>
          <w:p>
            <w:pPr>
              <w:spacing w:after="0"/>
              <w:rPr>
                <w:sz w:val="12"/>
                <w:szCs w:val="12"/>
                <w:color w:val="auto"/>
              </w:rPr>
            </w:pPr>
          </w:p>
        </w:tc>
        <w:tc>
          <w:tcPr>
            <w:tcW w:w="10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92"/>
              </w:rPr>
              <w:t>Consolidated</w:t>
            </w:r>
          </w:p>
        </w:tc>
      </w:tr>
      <w:tr>
        <w:trPr>
          <w:trHeight w:val="149"/>
        </w:trPr>
        <w:tc>
          <w:tcPr>
            <w:tcW w:w="2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ind w:right="291"/>
              <w:spacing w:after="0" w:line="149" w:lineRule="exact"/>
              <w:rPr>
                <w:sz w:val="20"/>
                <w:szCs w:val="20"/>
                <w:color w:val="auto"/>
              </w:rPr>
            </w:pPr>
            <w:r>
              <w:rPr>
                <w:rFonts w:ascii="Arial" w:cs="Arial" w:eastAsia="Arial" w:hAnsi="Arial"/>
                <w:sz w:val="14"/>
                <w:szCs w:val="14"/>
                <w:color w:val="auto"/>
              </w:rPr>
              <w:t>Comcast</w:t>
            </w:r>
          </w:p>
        </w:tc>
        <w:tc>
          <w:tcPr>
            <w:tcW w:w="240" w:type="dxa"/>
            <w:vAlign w:val="bottom"/>
          </w:tcPr>
          <w:p>
            <w:pPr>
              <w:spacing w:after="0"/>
              <w:rPr>
                <w:sz w:val="12"/>
                <w:szCs w:val="12"/>
                <w:color w:val="auto"/>
              </w:rPr>
            </w:pPr>
          </w:p>
        </w:tc>
        <w:tc>
          <w:tcPr>
            <w:tcW w:w="980" w:type="dxa"/>
            <w:vAlign w:val="bottom"/>
          </w:tcPr>
          <w:p>
            <w:pPr>
              <w:ind w:left="140"/>
              <w:spacing w:after="0" w:line="149" w:lineRule="exact"/>
              <w:rPr>
                <w:sz w:val="20"/>
                <w:szCs w:val="20"/>
                <w:color w:val="auto"/>
              </w:rPr>
            </w:pPr>
            <w:r>
              <w:rPr>
                <w:rFonts w:ascii="Arial" w:cs="Arial" w:eastAsia="Arial" w:hAnsi="Arial"/>
                <w:sz w:val="14"/>
                <w:szCs w:val="14"/>
                <w:color w:val="auto"/>
              </w:rPr>
              <w:t>Comcast</w:t>
            </w:r>
          </w:p>
        </w:tc>
        <w:tc>
          <w:tcPr>
            <w:tcW w:w="320" w:type="dxa"/>
            <w:vAlign w:val="bottom"/>
          </w:tcPr>
          <w:p>
            <w:pPr>
              <w:spacing w:after="0"/>
              <w:rPr>
                <w:sz w:val="12"/>
                <w:szCs w:val="12"/>
                <w:color w:val="auto"/>
              </w:rPr>
            </w:pPr>
          </w:p>
        </w:tc>
        <w:tc>
          <w:tcPr>
            <w:tcW w:w="960" w:type="dxa"/>
            <w:vAlign w:val="bottom"/>
          </w:tcPr>
          <w:p>
            <w:pPr>
              <w:jc w:val="right"/>
              <w:ind w:right="331"/>
              <w:spacing w:after="0" w:line="149" w:lineRule="exact"/>
              <w:rPr>
                <w:sz w:val="20"/>
                <w:szCs w:val="20"/>
                <w:color w:val="auto"/>
              </w:rPr>
            </w:pPr>
            <w:r>
              <w:rPr>
                <w:rFonts w:ascii="Arial" w:cs="Arial" w:eastAsia="Arial" w:hAnsi="Arial"/>
                <w:sz w:val="14"/>
                <w:szCs w:val="14"/>
                <w:color w:val="auto"/>
              </w:rPr>
              <w:t>CCCL</w:t>
            </w:r>
          </w:p>
        </w:tc>
        <w:tc>
          <w:tcPr>
            <w:tcW w:w="180" w:type="dxa"/>
            <w:vAlign w:val="bottom"/>
          </w:tcPr>
          <w:p>
            <w:pPr>
              <w:spacing w:after="0"/>
              <w:rPr>
                <w:sz w:val="12"/>
                <w:szCs w:val="12"/>
                <w:color w:val="auto"/>
              </w:rPr>
            </w:pPr>
          </w:p>
        </w:tc>
        <w:tc>
          <w:tcPr>
            <w:tcW w:w="1080" w:type="dxa"/>
            <w:vAlign w:val="bottom"/>
          </w:tcPr>
          <w:p>
            <w:pPr>
              <w:jc w:val="right"/>
              <w:ind w:right="91"/>
              <w:spacing w:after="0" w:line="149" w:lineRule="exact"/>
              <w:rPr>
                <w:sz w:val="20"/>
                <w:szCs w:val="20"/>
                <w:color w:val="auto"/>
              </w:rPr>
            </w:pPr>
            <w:r>
              <w:rPr>
                <w:rFonts w:ascii="Arial" w:cs="Arial" w:eastAsia="Arial" w:hAnsi="Arial"/>
                <w:sz w:val="14"/>
                <w:szCs w:val="14"/>
                <w:color w:val="auto"/>
              </w:rPr>
              <w:t>NBCUniversal</w:t>
            </w:r>
          </w:p>
        </w:tc>
        <w:tc>
          <w:tcPr>
            <w:tcW w:w="200" w:type="dxa"/>
            <w:vAlign w:val="bottom"/>
          </w:tcPr>
          <w:p>
            <w:pPr>
              <w:spacing w:after="0"/>
              <w:rPr>
                <w:sz w:val="12"/>
                <w:szCs w:val="12"/>
                <w:color w:val="auto"/>
              </w:rPr>
            </w:pPr>
          </w:p>
        </w:tc>
        <w:tc>
          <w:tcPr>
            <w:tcW w:w="106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5"/>
              </w:rPr>
              <w:t>Guarantor</w:t>
            </w:r>
          </w:p>
        </w:tc>
        <w:tc>
          <w:tcPr>
            <w:tcW w:w="180" w:type="dxa"/>
            <w:vAlign w:val="bottom"/>
          </w:tcPr>
          <w:p>
            <w:pPr>
              <w:spacing w:after="0"/>
              <w:rPr>
                <w:sz w:val="12"/>
                <w:szCs w:val="12"/>
                <w:color w:val="auto"/>
              </w:rPr>
            </w:pPr>
          </w:p>
        </w:tc>
        <w:tc>
          <w:tcPr>
            <w:tcW w:w="1040" w:type="dxa"/>
            <w:vAlign w:val="bottom"/>
          </w:tcPr>
          <w:p>
            <w:pPr>
              <w:jc w:val="center"/>
              <w:ind w:right="33"/>
              <w:spacing w:after="0" w:line="149" w:lineRule="exact"/>
              <w:rPr>
                <w:sz w:val="20"/>
                <w:szCs w:val="20"/>
                <w:color w:val="auto"/>
              </w:rPr>
            </w:pPr>
            <w:r>
              <w:rPr>
                <w:rFonts w:ascii="Arial" w:cs="Arial" w:eastAsia="Arial" w:hAnsi="Arial"/>
                <w:sz w:val="14"/>
                <w:szCs w:val="14"/>
                <w:color w:val="auto"/>
                <w:w w:val="94"/>
              </w:rPr>
              <w:t>Consolidation</w:t>
            </w:r>
          </w:p>
        </w:tc>
        <w:tc>
          <w:tcPr>
            <w:tcW w:w="220" w:type="dxa"/>
            <w:vAlign w:val="bottom"/>
          </w:tcPr>
          <w:p>
            <w:pPr>
              <w:spacing w:after="0"/>
              <w:rPr>
                <w:sz w:val="12"/>
                <w:szCs w:val="12"/>
                <w:color w:val="auto"/>
              </w:rPr>
            </w:pPr>
          </w:p>
        </w:tc>
        <w:tc>
          <w:tcPr>
            <w:tcW w:w="108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0"/>
              </w:rPr>
              <w:t>Comcast</w:t>
            </w:r>
          </w:p>
        </w:tc>
      </w:tr>
      <w:tr>
        <w:trPr>
          <w:trHeight w:val="188"/>
        </w:trPr>
        <w:tc>
          <w:tcPr>
            <w:tcW w:w="26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rPr>
              <w:t>Parent</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Holdings</w:t>
            </w: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color w:val="auto"/>
              </w:rPr>
              <w:t>Parent</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w w:val="98"/>
              </w:rPr>
              <w:t>Media Parent</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color w:val="auto"/>
                <w:w w:val="94"/>
              </w:rPr>
              <w:t>Subsidiaries</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color w:val="auto"/>
                <w:w w:val="93"/>
              </w:rPr>
              <w:t>Adjustments</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color w:val="auto"/>
                <w:w w:val="95"/>
              </w:rPr>
              <w:t>Corporation</w:t>
            </w:r>
          </w:p>
        </w:tc>
      </w:tr>
      <w:tr>
        <w:trPr>
          <w:trHeight w:val="224"/>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w w:val="96"/>
              </w:rPr>
              <w:t>Net cash provided by (used in)</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4"/>
        </w:trPr>
        <w:tc>
          <w:tcPr>
            <w:tcW w:w="2600" w:type="dxa"/>
            <w:vAlign w:val="bottom"/>
          </w:tcPr>
          <w:p>
            <w:pPr>
              <w:ind w:left="200"/>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(391)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5,913</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5,399</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Net transactions with affiliates</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(679)</w:t>
            </w:r>
          </w:p>
        </w:tc>
        <w:tc>
          <w:tcPr>
            <w:tcW w:w="240" w:type="dxa"/>
            <w:vAlign w:val="bottom"/>
          </w:tcPr>
          <w:p>
            <w:pPr>
              <w:spacing w:after="0"/>
              <w:rPr>
                <w:sz w:val="23"/>
                <w:szCs w:val="23"/>
                <w:color w:val="auto"/>
              </w:rPr>
            </w:pP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694</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3"/>
                <w:szCs w:val="23"/>
                <w:color w:val="auto"/>
              </w:rPr>
            </w:pP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(1,882)</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(1,885)</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w w:val="97"/>
              </w:rPr>
              <w:t>Cash paid for intangible assets</w:t>
            </w:r>
          </w:p>
        </w:tc>
        <w:tc>
          <w:tcPr>
            <w:tcW w:w="2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(378)</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(378)</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w w:val="94"/>
              </w:rPr>
              <w:t>Acquisitions and construction of</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real estate properties</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(140)</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rPr>
              <w:t>Acquisitions, net of cash</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acquired</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rPr>
              <w:t>Proceeds from sales of</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investments</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110</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Purchases of investments</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23"/>
                <w:szCs w:val="23"/>
                <w:color w:val="auto"/>
              </w:rPr>
            </w:pP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(441)</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(448)</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23"/>
                <w:szCs w:val="23"/>
                <w:color w:val="auto"/>
              </w:rPr>
            </w:pP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54</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56</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w w:val="96"/>
              </w:rPr>
              <w:t>Net cash provided by (used in)</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600" w:type="dxa"/>
            <w:vAlign w:val="bottom"/>
          </w:tcPr>
          <w:p>
            <w:pPr>
              <w:ind w:left="200"/>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(682)</w:t>
            </w:r>
          </w:p>
        </w:tc>
        <w:tc>
          <w:tcPr>
            <w:tcW w:w="240" w:type="dxa"/>
            <w:vAlign w:val="bottom"/>
          </w:tcPr>
          <w:p>
            <w:pPr>
              <w:spacing w:after="0"/>
              <w:rPr>
                <w:sz w:val="20"/>
                <w:szCs w:val="20"/>
                <w:color w:val="auto"/>
              </w:rPr>
            </w:pP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159</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(2,108)</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(2,709)</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w w:val="96"/>
              </w:rPr>
              <w:t>Proceeds from (repayments of)</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short-term borrowings, net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(400)</w:t>
            </w:r>
          </w:p>
        </w:tc>
        <w:tc>
          <w:tcPr>
            <w:tcW w:w="240" w:type="dxa"/>
            <w:vAlign w:val="bottom"/>
          </w:tcPr>
          <w:p>
            <w:pPr>
              <w:spacing w:after="0"/>
              <w:rPr>
                <w:sz w:val="20"/>
                <w:szCs w:val="20"/>
                <w:color w:val="auto"/>
              </w:rPr>
            </w:pP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(138)</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(538)</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Proceeds from borrowings</w:t>
            </w:r>
          </w:p>
        </w:tc>
        <w:tc>
          <w:tcPr>
            <w:tcW w:w="2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3,323</w:t>
            </w:r>
          </w:p>
        </w:tc>
        <w:tc>
          <w:tcPr>
            <w:tcW w:w="240" w:type="dxa"/>
            <w:vAlign w:val="bottom"/>
          </w:tcPr>
          <w:p>
            <w:pPr>
              <w:spacing w:after="0"/>
              <w:rPr>
                <w:sz w:val="23"/>
                <w:szCs w:val="23"/>
                <w:color w:val="auto"/>
              </w:rPr>
            </w:pP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3,323</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w w:val="92"/>
              </w:rPr>
              <w:t>Repurchases and repayments of</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debt</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w w:val="97"/>
              </w:rPr>
              <w:t>Repurchases of common stock</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600" w:type="dxa"/>
            <w:vAlign w:val="bottom"/>
          </w:tcPr>
          <w:p>
            <w:pPr>
              <w:ind w:left="340"/>
              <w:spacing w:after="0"/>
              <w:rPr>
                <w:sz w:val="20"/>
                <w:szCs w:val="20"/>
                <w:color w:val="auto"/>
              </w:rPr>
            </w:pPr>
            <w:r>
              <w:rPr>
                <w:rFonts w:ascii="Arial" w:cs="Arial" w:eastAsia="Arial" w:hAnsi="Arial"/>
                <w:sz w:val="18"/>
                <w:szCs w:val="18"/>
                <w:color w:val="auto"/>
                <w:w w:val="90"/>
              </w:rPr>
              <w:t>under repurchase program and</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employee plans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(1,427)</w:t>
            </w:r>
          </w:p>
        </w:tc>
        <w:tc>
          <w:tcPr>
            <w:tcW w:w="240" w:type="dxa"/>
            <w:vAlign w:val="bottom"/>
          </w:tcPr>
          <w:p>
            <w:pPr>
              <w:spacing w:after="0"/>
              <w:rPr>
                <w:sz w:val="20"/>
                <w:szCs w:val="20"/>
                <w:color w:val="auto"/>
              </w:rPr>
            </w:pP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(1,427)</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Dividends paid</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(611)</w:t>
            </w:r>
          </w:p>
        </w:tc>
        <w:tc>
          <w:tcPr>
            <w:tcW w:w="240" w:type="dxa"/>
            <w:vAlign w:val="bottom"/>
          </w:tcPr>
          <w:p>
            <w:pPr>
              <w:spacing w:after="0"/>
              <w:rPr>
                <w:sz w:val="23"/>
                <w:szCs w:val="23"/>
                <w:color w:val="auto"/>
              </w:rPr>
            </w:pP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(611)</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Issuances of common stock</w:t>
            </w:r>
          </w:p>
        </w:tc>
        <w:tc>
          <w:tcPr>
            <w:tcW w:w="2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23"/>
                <w:szCs w:val="23"/>
                <w:color w:val="auto"/>
              </w:rPr>
            </w:pP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12</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rPr>
              <w:t>Distributions to noncontrolling</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600" w:type="dxa"/>
            <w:vAlign w:val="bottom"/>
          </w:tcPr>
          <w:p>
            <w:pPr>
              <w:ind w:left="340"/>
              <w:spacing w:after="0"/>
              <w:rPr>
                <w:sz w:val="20"/>
                <w:szCs w:val="20"/>
                <w:color w:val="auto"/>
              </w:rPr>
            </w:pPr>
            <w:r>
              <w:rPr>
                <w:rFonts w:ascii="Arial" w:cs="Arial" w:eastAsia="Arial" w:hAnsi="Arial"/>
                <w:sz w:val="18"/>
                <w:szCs w:val="18"/>
                <w:color w:val="auto"/>
              </w:rPr>
              <w:t>interests and dividends for</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600" w:type="dxa"/>
            <w:vAlign w:val="bottom"/>
          </w:tcPr>
          <w:p>
            <w:pPr>
              <w:ind w:left="340"/>
              <w:spacing w:after="0"/>
              <w:rPr>
                <w:sz w:val="20"/>
                <w:szCs w:val="20"/>
                <w:color w:val="auto"/>
              </w:rPr>
            </w:pPr>
            <w:r>
              <w:rPr>
                <w:rFonts w:ascii="Arial" w:cs="Arial" w:eastAsia="Arial" w:hAnsi="Arial"/>
                <w:sz w:val="18"/>
                <w:szCs w:val="18"/>
                <w:color w:val="auto"/>
              </w:rPr>
              <w:t>redeemable subsidiary</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preferred stock</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3"/>
                <w:szCs w:val="23"/>
                <w:color w:val="auto"/>
              </w:rPr>
            </w:pP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9</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w w:val="96"/>
              </w:rPr>
              <w:t>Net cash provided by (used in)</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600" w:type="dxa"/>
            <w:vAlign w:val="bottom"/>
          </w:tcPr>
          <w:p>
            <w:pPr>
              <w:ind w:left="200"/>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883</w:t>
            </w:r>
          </w:p>
        </w:tc>
        <w:tc>
          <w:tcPr>
            <w:tcW w:w="240" w:type="dxa"/>
            <w:vAlign w:val="bottom"/>
          </w:tcPr>
          <w:p>
            <w:pPr>
              <w:spacing w:after="0"/>
              <w:rPr>
                <w:sz w:val="20"/>
                <w:szCs w:val="20"/>
                <w:color w:val="auto"/>
              </w:rPr>
            </w:pP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(236)</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643</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2"/>
        </w:trPr>
        <w:tc>
          <w:tcPr>
            <w:tcW w:w="2600" w:type="dxa"/>
            <w:vAlign w:val="bottom"/>
          </w:tcPr>
          <w:p>
            <w:pPr>
              <w:ind w:left="40"/>
              <w:spacing w:after="0"/>
              <w:rPr>
                <w:sz w:val="20"/>
                <w:szCs w:val="20"/>
                <w:color w:val="auto"/>
              </w:rPr>
            </w:pPr>
            <w:r>
              <w:rPr>
                <w:rFonts w:ascii="Arial" w:cs="Arial" w:eastAsia="Arial" w:hAnsi="Arial"/>
                <w:sz w:val="18"/>
                <w:szCs w:val="18"/>
                <w:color w:val="auto"/>
                <w:w w:val="98"/>
              </w:rPr>
              <w:t>Increase (decrease) in cash and</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2600" w:type="dxa"/>
            <w:vAlign w:val="bottom"/>
          </w:tcPr>
          <w:p>
            <w:pPr>
              <w:ind w:left="200"/>
              <w:spacing w:after="0"/>
              <w:rPr>
                <w:sz w:val="20"/>
                <w:szCs w:val="20"/>
                <w:color w:val="auto"/>
              </w:rPr>
            </w:pPr>
            <w:r>
              <w:rPr>
                <w:rFonts w:ascii="Arial" w:cs="Arial" w:eastAsia="Arial" w:hAnsi="Arial"/>
                <w:sz w:val="18"/>
                <w:szCs w:val="18"/>
                <w:color w:val="auto"/>
              </w:rPr>
              <w:t>cash equivalents</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(236)</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3,569</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3,333</w:t>
            </w:r>
          </w:p>
        </w:tc>
      </w:tr>
      <w:tr>
        <w:trPr>
          <w:trHeight w:val="256"/>
        </w:trPr>
        <w:tc>
          <w:tcPr>
            <w:tcW w:w="260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200"/>
              <w:spacing w:after="0"/>
              <w:rPr>
                <w:sz w:val="20"/>
                <w:szCs w:val="20"/>
                <w:color w:val="auto"/>
              </w:rPr>
            </w:pPr>
            <w:r>
              <w:rPr>
                <w:rFonts w:ascii="Arial" w:cs="Arial" w:eastAsia="Arial" w:hAnsi="Arial"/>
                <w:sz w:val="18"/>
                <w:szCs w:val="18"/>
                <w:color w:val="auto"/>
              </w:rPr>
              <w:t>beginning of period</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414</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1,881</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2,295</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w w:val="92"/>
              </w:rPr>
              <w:t>Cash and cash equivalents, end</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600" w:type="dxa"/>
            <w:vAlign w:val="bottom"/>
          </w:tcPr>
          <w:p>
            <w:pPr>
              <w:ind w:left="200"/>
              <w:spacing w:after="0"/>
              <w:rPr>
                <w:sz w:val="20"/>
                <w:szCs w:val="20"/>
                <w:color w:val="auto"/>
              </w:rPr>
            </w:pPr>
            <w:r>
              <w:rPr>
                <w:rFonts w:ascii="Arial" w:cs="Arial" w:eastAsia="Arial" w:hAnsi="Arial"/>
                <w:sz w:val="18"/>
                <w:szCs w:val="18"/>
                <w:b w:val="1"/>
                <w:bCs w:val="1"/>
                <w:color w:val="auto"/>
              </w:rPr>
              <w:t>of period</w:t>
            </w:r>
          </w:p>
        </w:tc>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ind w:left="74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b w:val="1"/>
                <w:bCs w:val="1"/>
                <w:color w:val="auto"/>
              </w:rPr>
              <w:t>178</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5,450</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ind w:left="80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5,628</w:t>
            </w:r>
          </w:p>
        </w:tc>
      </w:tr>
      <w:tr>
        <w:trPr>
          <w:trHeight w:val="34"/>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1" w:right="2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940"/>
        <w:spacing w:after="0" w:line="274"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0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a global media and technology company with two primary businesses, Comcast Cable and NBCUniversal. We present our operations for Comcast Cable in one reportable business segment, referred to as Cable Communications, and our operations for NBCUniversal in four reportable business segments: Cable Networks, Broadcast Television, Filmed Entertainment and Theme Parks (collectively, the “NBCUniversal segments”).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w:t>
      </w:r>
    </w:p>
    <w:p>
      <w:pPr>
        <w:spacing w:after="0" w:line="1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Comcast Cable is one of the nation’s largest providers of video, high-speed Internet, voice, and security and automation services (“cable services”) to residential customers under the XFINITY brand; we also provide these and other services to business customers and sell advertising. As of March 31, 2017, our cable systems had 28.9 million total customer relationships, including 26.8 million residential and 2.1 million business customer relationships, and passed more than 56 million homes and businesses. Our Cable Communications segment generates revenue primarily from residential and business customers that subscribe to our cable services, which we market individually and as bundled services, and from the sale of advertising. During the three months ended March 31, 2017, our Cable Communications segment generated 63% of our consolidated revenue and 74% of the aggregate Adjusted EBITDA for our reportable business segments.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Segments</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NBCUniversal is one of the world’s leading media and entertainment companies that develops, produces and distributes entertainment, news and information, sports, and other content for global audiences, and owns and operates theme parks worldwide.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 Networks</w:t>
      </w:r>
    </w:p>
    <w:p>
      <w:pPr>
        <w:spacing w:after="0" w:line="12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Cable Networks segment consists primarily of a diversified portfolio of cable television networks. Our cable networks are comprised of our national cable networks that provide a variety of entertainment, news and information, and sports content; our regional sports and news networks; our international cable networks; our cable television studio production operations; and related digital media properties. Our Cable Networks segment generates revenue primarily from the distribution of our cable network programming to traditional and virtual multichannel video providers, from the sale of advertising on our cable networks and related digital media properties, from the licensing of our owned programming to cable and broadcast networks and subscription video on demand services, from the sale of our owned programming on standard-definition digital video discs and Blu-ray discs (together, “DVDs”) and through digital distribution services such as iTunes, and from the licensing of programming by our cable television studio production operations to third-party networks and subscription video on demand services.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Broadcast Television</w:t>
      </w:r>
    </w:p>
    <w:p>
      <w:pPr>
        <w:spacing w:after="0" w:line="12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Broadcast Television segment consists primarily of the NBC and Telemundo broadcast networks, our NBC and Telemundo owned local broadcast television stations, the NBC Universo national cable network, our broadcast television studio production operations, and related digital media properties. Our Broadcast Television segment generates revenue primarily from the sale of advertising on our broadcast networks, owned local broadcast television stations and related digital media properties; from the licensing of our owned programming by our broadcast television studio production operations to various distribution platforms, including to cable and broadcast networks as well as to subscription video on demand services; from the fees received under retransmission consent agreements and associated fees received from NBC-affiliated local broadcast television stations; and from the sale of our owned programming on DVDs and through digital distribution services.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Filmed Entertainment</w:t>
      </w:r>
    </w:p>
    <w:p>
      <w:pPr>
        <w:spacing w:after="0" w:line="12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Filmed Entertainment segment primarily produces, acquires, markets and distributes filmed entertainment worldwide, and it also develops, produces and licenses live stage plays. Our films are produced primarily under the Universal Pictures, Illumination, Focus Features and DreamWorks Animation names. Our Filmed Entertainment segment generates revenue primarily from the worldwide distribution of our produced and acquired films for exhibition in movie theaters, from the licensing of produced and acquired films through various distribution platforms, and from the sale of produced and acquired films on DVDs and through digital distribution services. Our Filmed Entertainment segment also generates revenue from producing and licensing live stage plays, from the distribution of filmed entertainment produced by third parties, and from Fandango, our movie ticketing and entertainment business.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75"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Theme Parks</w:t>
      </w:r>
    </w:p>
    <w:p>
      <w:pPr>
        <w:spacing w:after="0" w:line="1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Theme Parks segment consists primarily of our Universal theme parks in Orlando, Florida; Hollywood, California; and Osaka, Japan. In addition, along with a consortium of Chinese state-owned companies, we are developing a theme park in China. Our Theme Parks segment generates revenue primarily from ticket sales and guest spending at our Universal theme parks.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other business interests consist primarily of the operations of Comcast Spectacor, which owns the Philadelphia Flyers and the Wells Fargo Center arena in Philadelphia, Pennsylvania and operates arena management-related businesses.</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also pursuing other business initiatives, such as a wireless phone service that we expect to launch in mid-2017 on a small scale to our residential cable customers using our virtual network operator rights to provide the service over Verizon’s wireless network and our existing network of in-home and outdoor Wi-Fi hotspots. We will offer the wireless phone service only as part of our bundled service offerings to residential customers subscribing to our high-speed Internet service within our cable distribution footprint, and may in the future also offer wireless phone service to our small business customers on similar terms. The wireless phone service will have success-based working capital requirements, primarily associated with the procurement of handsets, which customers will be able to pay for upfront or finance interest-free over 24 months, and other equipment.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results of operations of our reportable business segments are affected by competition, as all of our businesses operate in intensely competitive, consumer-driven and rapidly changing environments and compete with a growing number of companies that provide a broad range of communications products and services, and entertainment, news and information products and services, to consumers. For additional information on the competition our businesses face, see Item 1: Business included in our 2016 Annual Report on Form 10-K and refer to the “Competition” discussion within that section and see Item 1A: Risk Factors included in our 2016 Annual Report on Form 10-K and refer to the risk factors within that section entitled “Our businesses currently face a wide range of competition, and our businesses and results of operations could be adversely affected if we do not compete effectively” and “Changes in consumer behavior driven by new technologies and distribution platforms for viewing content may adversely affect our businesses and challenge existing business models.”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Cyclicality</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of our businesses is subject to seasonal and cyclical variations. In our Cable Communications segment, our results are impacted by the seasonal nature of customers receiving our cable services in college and vacation markets. This generally results in a reduction in net customer additions in the second quarter and an increase in net customer additions in the third and fourth quarters of each year.</w:t>
      </w:r>
    </w:p>
    <w:p>
      <w:pPr>
        <w:spacing w:after="0" w:line="11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Revenue in our Cable Communications, Cable Networks and Broadcast Television segments is subject to cyclical advertising patterns and changes in viewership levels. Advertising revenue in the U.S. is generally higher in the second and fourth quarters of each year, due in part to increases in consumer advertising in the spring and in the period leading up to and including the holiday season. Advertising revenue in the U.S. is also cyclical, with a benefit in even-numbered years due to advertising related to candidates running for political office and issue-oriented advertising. Revenue in our Cable Networks and Broadcast Television segments fluctuates depending on the timing of when our programming is aired, which typically results in higher advertising revenue in the second and fourth quarters of each year. Our revenue and operating costs and expenses, excluding depreciation and amortization (“operating costs and expenses”) are cyclical as a result of our periodic broadcasts of major sporting events, such as the Olympic Games, which affect our Cable Networks and Broadcast Television segments, and the Super Bowl, which affects our Broadcast Television segment. Our advertising revenue increases in the period of these broadcasts due to increased demand for advertising time, and our operating costs and expenses also increase as a result of our production costs and the amortization of the related rights fees.</w:t>
      </w:r>
    </w:p>
    <w:p>
      <w:pPr>
        <w:spacing w:after="0" w:line="12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Revenue in our Filmed Entertainment segment fluctuates due to the timing of the release of films in movie theaters, on DVDs and through various other distribution platforms. Release dates are determined by several factors, including competition and the timing of vacation and holiday periods. As a result, revenue tends to be seasonal, with increases experienced each year during the summer months and around the holiday season. Revenue in our Cable Networks, Broadcast Television and Filmed Entertainment segments also fluctuates due to the timing of when our content is made available to licensees.</w:t>
      </w:r>
    </w:p>
    <w:p>
      <w:pPr>
        <w:spacing w:after="0" w:line="10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Revenue in our Theme Parks segment fluctuates with changes in theme park attendance that result from the seasonal nature of vacation travel and weather variations, local entertainment offerings and the opening of new attractions, as well as with changes in currency exchange rates. Our theme parks generally experience peak attendance during the spring holiday period, the summer months when schools are closed and the holiday season.</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75"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Operating Results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540" w:type="dxa"/>
            <w:vAlign w:val="bottom"/>
            <w:gridSpan w:val="3"/>
          </w:tcPr>
          <w:p>
            <w:pPr>
              <w:jc w:val="right"/>
              <w:ind w:right="811"/>
              <w:spacing w:after="0"/>
              <w:rPr>
                <w:sz w:val="20"/>
                <w:szCs w:val="20"/>
                <w:color w:val="auto"/>
              </w:rPr>
            </w:pPr>
            <w:r>
              <w:rPr>
                <w:rFonts w:ascii="Arial" w:cs="Arial" w:eastAsia="Arial" w:hAnsi="Arial"/>
                <w:sz w:val="14"/>
                <w:szCs w:val="14"/>
                <w:color w:val="auto"/>
              </w:rPr>
              <w:t>Three Months Ended</w:t>
            </w:r>
          </w:p>
        </w:tc>
        <w:tc>
          <w:tcPr>
            <w:tcW w:w="1280" w:type="dxa"/>
            <w:vAlign w:val="bottom"/>
          </w:tcPr>
          <w:p>
            <w:pPr>
              <w:jc w:val="right"/>
              <w:ind w:right="352"/>
              <w:spacing w:after="0"/>
              <w:rPr>
                <w:sz w:val="20"/>
                <w:szCs w:val="20"/>
                <w:color w:val="auto"/>
              </w:rPr>
            </w:pPr>
            <w:r>
              <w:rPr>
                <w:rFonts w:ascii="Arial" w:cs="Arial" w:eastAsia="Arial" w:hAnsi="Arial"/>
                <w:sz w:val="14"/>
                <w:szCs w:val="14"/>
                <w:color w:val="auto"/>
              </w:rPr>
              <w:t>Increase/</w:t>
            </w:r>
          </w:p>
        </w:tc>
      </w:tr>
      <w:tr>
        <w:trPr>
          <w:trHeight w:val="188"/>
        </w:trPr>
        <w:tc>
          <w:tcPr>
            <w:tcW w:w="72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color w:val="auto"/>
              </w:rPr>
              <w:t>March 31</w:t>
            </w:r>
          </w:p>
        </w:tc>
        <w:tc>
          <w:tcPr>
            <w:tcW w:w="1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color w:val="auto"/>
              </w:rPr>
              <w:t>(Decrease)</w:t>
            </w:r>
          </w:p>
        </w:tc>
      </w:tr>
      <w:tr>
        <w:trPr>
          <w:trHeight w:val="264"/>
        </w:trPr>
        <w:tc>
          <w:tcPr>
            <w:tcW w:w="7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4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color w:val="auto"/>
              </w:rPr>
              <w:t>2017</w:t>
            </w:r>
          </w:p>
        </w:tc>
        <w:tc>
          <w:tcPr>
            <w:tcW w:w="4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color w:val="auto"/>
              </w:rPr>
              <w:t>2016</w:t>
            </w:r>
          </w:p>
        </w:tc>
        <w:tc>
          <w:tcPr>
            <w:tcW w:w="1280" w:type="dxa"/>
            <w:vAlign w:val="bottom"/>
            <w:tcBorders>
              <w:bottom w:val="single" w:sz="8" w:color="auto"/>
            </w:tcBorders>
          </w:tcPr>
          <w:p>
            <w:pPr>
              <w:spacing w:after="0"/>
              <w:rPr>
                <w:sz w:val="22"/>
                <w:szCs w:val="22"/>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20,463</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18,790</w:t>
            </w:r>
          </w:p>
        </w:tc>
        <w:tc>
          <w:tcPr>
            <w:tcW w:w="1280" w:type="dxa"/>
            <w:vAlign w:val="bottom"/>
          </w:tcPr>
          <w:p>
            <w:pPr>
              <w:jc w:val="right"/>
              <w:spacing w:after="0"/>
              <w:rPr>
                <w:sz w:val="20"/>
                <w:szCs w:val="20"/>
                <w:color w:val="auto"/>
              </w:rPr>
            </w:pPr>
            <w:r>
              <w:rPr>
                <w:rFonts w:ascii="Arial" w:cs="Arial" w:eastAsia="Arial" w:hAnsi="Arial"/>
                <w:sz w:val="18"/>
                <w:szCs w:val="18"/>
                <w:color w:val="auto"/>
              </w:rPr>
              <w:t>8.9 %</w:t>
            </w:r>
          </w:p>
        </w:tc>
      </w:tr>
      <w:tr>
        <w:trPr>
          <w:trHeight w:val="270"/>
        </w:trPr>
        <w:tc>
          <w:tcPr>
            <w:tcW w:w="720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4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70"/>
        </w:trPr>
        <w:tc>
          <w:tcPr>
            <w:tcW w:w="7200" w:type="dxa"/>
            <w:vAlign w:val="bottom"/>
          </w:tcPr>
          <w:p>
            <w:pPr>
              <w:ind w:left="380"/>
              <w:spacing w:after="0"/>
              <w:rPr>
                <w:sz w:val="20"/>
                <w:szCs w:val="20"/>
                <w:color w:val="auto"/>
              </w:rPr>
            </w:pPr>
            <w:r>
              <w:rPr>
                <w:rFonts w:ascii="Arial" w:cs="Arial" w:eastAsia="Arial" w:hAnsi="Arial"/>
                <w:sz w:val="18"/>
                <w:szCs w:val="18"/>
                <w:color w:val="auto"/>
              </w:rPr>
              <w:t>Programming and production</w:t>
            </w:r>
          </w:p>
        </w:tc>
        <w:tc>
          <w:tcPr>
            <w:tcW w:w="400" w:type="dxa"/>
            <w:vAlign w:val="bottom"/>
          </w:tcPr>
          <w:p>
            <w:pPr>
              <w:spacing w:after="0"/>
              <w:rPr>
                <w:sz w:val="23"/>
                <w:szCs w:val="23"/>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6,074</w:t>
            </w:r>
          </w:p>
        </w:tc>
        <w:tc>
          <w:tcPr>
            <w:tcW w:w="420" w:type="dxa"/>
            <w:vAlign w:val="bottom"/>
          </w:tcPr>
          <w:p>
            <w:pPr>
              <w:spacing w:after="0"/>
              <w:rPr>
                <w:sz w:val="23"/>
                <w:szCs w:val="23"/>
                <w:color w:val="auto"/>
              </w:rPr>
            </w:pP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5,431</w:t>
            </w:r>
          </w:p>
        </w:tc>
        <w:tc>
          <w:tcPr>
            <w:tcW w:w="1280" w:type="dxa"/>
            <w:vAlign w:val="bottom"/>
          </w:tcPr>
          <w:p>
            <w:pPr>
              <w:jc w:val="right"/>
              <w:ind w:right="172"/>
              <w:spacing w:after="0"/>
              <w:rPr>
                <w:sz w:val="20"/>
                <w:szCs w:val="20"/>
                <w:color w:val="auto"/>
              </w:rPr>
            </w:pPr>
            <w:r>
              <w:rPr>
                <w:rFonts w:ascii="Arial" w:cs="Arial" w:eastAsia="Arial" w:hAnsi="Arial"/>
                <w:sz w:val="18"/>
                <w:szCs w:val="18"/>
                <w:color w:val="auto"/>
              </w:rPr>
              <w:t>11.8</w:t>
            </w:r>
          </w:p>
        </w:tc>
      </w:tr>
      <w:tr>
        <w:trPr>
          <w:trHeight w:val="270"/>
        </w:trPr>
        <w:tc>
          <w:tcPr>
            <w:tcW w:w="7200" w:type="dxa"/>
            <w:vAlign w:val="bottom"/>
          </w:tcPr>
          <w:p>
            <w:pPr>
              <w:ind w:left="380"/>
              <w:spacing w:after="0"/>
              <w:rPr>
                <w:sz w:val="20"/>
                <w:szCs w:val="20"/>
                <w:color w:val="auto"/>
              </w:rPr>
            </w:pPr>
            <w:r>
              <w:rPr>
                <w:rFonts w:ascii="Arial" w:cs="Arial" w:eastAsia="Arial" w:hAnsi="Arial"/>
                <w:sz w:val="18"/>
                <w:szCs w:val="18"/>
                <w:color w:val="auto"/>
              </w:rPr>
              <w:t>Other operating and administrative</w:t>
            </w:r>
          </w:p>
        </w:tc>
        <w:tc>
          <w:tcPr>
            <w:tcW w:w="400" w:type="dxa"/>
            <w:vAlign w:val="bottom"/>
          </w:tcPr>
          <w:p>
            <w:pPr>
              <w:spacing w:after="0"/>
              <w:rPr>
                <w:sz w:val="23"/>
                <w:szCs w:val="23"/>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5,827</w:t>
            </w:r>
          </w:p>
        </w:tc>
        <w:tc>
          <w:tcPr>
            <w:tcW w:w="420" w:type="dxa"/>
            <w:vAlign w:val="bottom"/>
          </w:tcPr>
          <w:p>
            <w:pPr>
              <w:spacing w:after="0"/>
              <w:rPr>
                <w:sz w:val="23"/>
                <w:szCs w:val="23"/>
                <w:color w:val="auto"/>
              </w:rPr>
            </w:pP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5,526</w:t>
            </w:r>
          </w:p>
        </w:tc>
        <w:tc>
          <w:tcPr>
            <w:tcW w:w="1280" w:type="dxa"/>
            <w:vAlign w:val="bottom"/>
          </w:tcPr>
          <w:p>
            <w:pPr>
              <w:jc w:val="right"/>
              <w:ind w:right="172"/>
              <w:spacing w:after="0"/>
              <w:rPr>
                <w:sz w:val="20"/>
                <w:szCs w:val="20"/>
                <w:color w:val="auto"/>
              </w:rPr>
            </w:pPr>
            <w:r>
              <w:rPr>
                <w:rFonts w:ascii="Arial" w:cs="Arial" w:eastAsia="Arial" w:hAnsi="Arial"/>
                <w:sz w:val="18"/>
                <w:szCs w:val="18"/>
                <w:color w:val="auto"/>
              </w:rPr>
              <w:t>5.4</w:t>
            </w:r>
          </w:p>
        </w:tc>
      </w:tr>
      <w:tr>
        <w:trPr>
          <w:trHeight w:val="270"/>
        </w:trPr>
        <w:tc>
          <w:tcPr>
            <w:tcW w:w="720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400" w:type="dxa"/>
            <w:vAlign w:val="bottom"/>
          </w:tcPr>
          <w:p>
            <w:pPr>
              <w:spacing w:after="0"/>
              <w:rPr>
                <w:sz w:val="23"/>
                <w:szCs w:val="23"/>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1,530</w:t>
            </w:r>
          </w:p>
        </w:tc>
        <w:tc>
          <w:tcPr>
            <w:tcW w:w="420" w:type="dxa"/>
            <w:vAlign w:val="bottom"/>
          </w:tcPr>
          <w:p>
            <w:pPr>
              <w:spacing w:after="0"/>
              <w:rPr>
                <w:sz w:val="23"/>
                <w:szCs w:val="23"/>
                <w:color w:val="auto"/>
              </w:rPr>
            </w:pP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1,466</w:t>
            </w:r>
          </w:p>
        </w:tc>
        <w:tc>
          <w:tcPr>
            <w:tcW w:w="1280" w:type="dxa"/>
            <w:vAlign w:val="bottom"/>
          </w:tcPr>
          <w:p>
            <w:pPr>
              <w:jc w:val="right"/>
              <w:ind w:right="172"/>
              <w:spacing w:after="0"/>
              <w:rPr>
                <w:sz w:val="20"/>
                <w:szCs w:val="20"/>
                <w:color w:val="auto"/>
              </w:rPr>
            </w:pPr>
            <w:r>
              <w:rPr>
                <w:rFonts w:ascii="Arial" w:cs="Arial" w:eastAsia="Arial" w:hAnsi="Arial"/>
                <w:sz w:val="18"/>
                <w:szCs w:val="18"/>
                <w:color w:val="auto"/>
              </w:rPr>
              <w:t>4.4</w:t>
            </w:r>
          </w:p>
        </w:tc>
      </w:tr>
      <w:tr>
        <w:trPr>
          <w:trHeight w:val="270"/>
        </w:trPr>
        <w:tc>
          <w:tcPr>
            <w:tcW w:w="720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400" w:type="dxa"/>
            <w:vAlign w:val="bottom"/>
          </w:tcPr>
          <w:p>
            <w:pPr>
              <w:spacing w:after="0"/>
              <w:rPr>
                <w:sz w:val="23"/>
                <w:szCs w:val="23"/>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1,915</w:t>
            </w:r>
          </w:p>
        </w:tc>
        <w:tc>
          <w:tcPr>
            <w:tcW w:w="420" w:type="dxa"/>
            <w:vAlign w:val="bottom"/>
          </w:tcPr>
          <w:p>
            <w:pPr>
              <w:spacing w:after="0"/>
              <w:rPr>
                <w:sz w:val="23"/>
                <w:szCs w:val="23"/>
                <w:color w:val="auto"/>
              </w:rPr>
            </w:pP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1,785</w:t>
            </w:r>
          </w:p>
        </w:tc>
        <w:tc>
          <w:tcPr>
            <w:tcW w:w="1280" w:type="dxa"/>
            <w:vAlign w:val="bottom"/>
          </w:tcPr>
          <w:p>
            <w:pPr>
              <w:jc w:val="right"/>
              <w:ind w:right="172"/>
              <w:spacing w:after="0"/>
              <w:rPr>
                <w:sz w:val="20"/>
                <w:szCs w:val="20"/>
                <w:color w:val="auto"/>
              </w:rPr>
            </w:pPr>
            <w:r>
              <w:rPr>
                <w:rFonts w:ascii="Arial" w:cs="Arial" w:eastAsia="Arial" w:hAnsi="Arial"/>
                <w:sz w:val="18"/>
                <w:szCs w:val="18"/>
                <w:color w:val="auto"/>
              </w:rPr>
              <w:t>7.3</w:t>
            </w:r>
          </w:p>
        </w:tc>
      </w:tr>
      <w:tr>
        <w:trPr>
          <w:trHeight w:val="270"/>
        </w:trPr>
        <w:tc>
          <w:tcPr>
            <w:tcW w:w="7200" w:type="dxa"/>
            <w:vAlign w:val="bottom"/>
          </w:tcPr>
          <w:p>
            <w:pPr>
              <w:ind w:left="380"/>
              <w:spacing w:after="0"/>
              <w:rPr>
                <w:sz w:val="20"/>
                <w:szCs w:val="20"/>
                <w:color w:val="auto"/>
              </w:rPr>
            </w:pPr>
            <w:r>
              <w:rPr>
                <w:rFonts w:ascii="Arial" w:cs="Arial" w:eastAsia="Arial" w:hAnsi="Arial"/>
                <w:sz w:val="18"/>
                <w:szCs w:val="18"/>
                <w:color w:val="auto"/>
              </w:rPr>
              <w:t>Amortization</w:t>
            </w:r>
          </w:p>
        </w:tc>
        <w:tc>
          <w:tcPr>
            <w:tcW w:w="400" w:type="dxa"/>
            <w:vAlign w:val="bottom"/>
          </w:tcPr>
          <w:p>
            <w:pPr>
              <w:spacing w:after="0"/>
              <w:rPr>
                <w:sz w:val="23"/>
                <w:szCs w:val="23"/>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587</w:t>
            </w:r>
          </w:p>
        </w:tc>
        <w:tc>
          <w:tcPr>
            <w:tcW w:w="420" w:type="dxa"/>
            <w:vAlign w:val="bottom"/>
          </w:tcPr>
          <w:p>
            <w:pPr>
              <w:spacing w:after="0"/>
              <w:rPr>
                <w:sz w:val="23"/>
                <w:szCs w:val="23"/>
                <w:color w:val="auto"/>
              </w:rPr>
            </w:pP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493</w:t>
            </w:r>
          </w:p>
        </w:tc>
        <w:tc>
          <w:tcPr>
            <w:tcW w:w="1280" w:type="dxa"/>
            <w:vAlign w:val="bottom"/>
          </w:tcPr>
          <w:p>
            <w:pPr>
              <w:jc w:val="right"/>
              <w:ind w:right="172"/>
              <w:spacing w:after="0"/>
              <w:rPr>
                <w:sz w:val="20"/>
                <w:szCs w:val="20"/>
                <w:color w:val="auto"/>
              </w:rPr>
            </w:pPr>
            <w:r>
              <w:rPr>
                <w:rFonts w:ascii="Arial" w:cs="Arial" w:eastAsia="Arial" w:hAnsi="Arial"/>
                <w:sz w:val="18"/>
                <w:szCs w:val="18"/>
                <w:color w:val="auto"/>
              </w:rPr>
              <w:t>19.0</w:t>
            </w:r>
          </w:p>
        </w:tc>
      </w:tr>
      <w:tr>
        <w:trPr>
          <w:trHeight w:val="27"/>
        </w:trPr>
        <w:tc>
          <w:tcPr>
            <w:tcW w:w="7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400" w:type="dxa"/>
            <w:vAlign w:val="bottom"/>
          </w:tcPr>
          <w:p>
            <w:pPr>
              <w:spacing w:after="0"/>
              <w:rPr>
                <w:sz w:val="20"/>
                <w:szCs w:val="20"/>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4,530</w:t>
            </w:r>
          </w:p>
        </w:tc>
        <w:tc>
          <w:tcPr>
            <w:tcW w:w="420" w:type="dxa"/>
            <w:vAlign w:val="bottom"/>
          </w:tcPr>
          <w:p>
            <w:pPr>
              <w:spacing w:after="0"/>
              <w:rPr>
                <w:sz w:val="20"/>
                <w:szCs w:val="20"/>
                <w:color w:val="auto"/>
              </w:rPr>
            </w:pP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4,089</w:t>
            </w:r>
          </w:p>
        </w:tc>
        <w:tc>
          <w:tcPr>
            <w:tcW w:w="1280" w:type="dxa"/>
            <w:vAlign w:val="bottom"/>
          </w:tcPr>
          <w:p>
            <w:pPr>
              <w:jc w:val="right"/>
              <w:ind w:right="172"/>
              <w:spacing w:after="0"/>
              <w:rPr>
                <w:sz w:val="20"/>
                <w:szCs w:val="20"/>
                <w:color w:val="auto"/>
              </w:rPr>
            </w:pPr>
            <w:r>
              <w:rPr>
                <w:rFonts w:ascii="Arial" w:cs="Arial" w:eastAsia="Arial" w:hAnsi="Arial"/>
                <w:sz w:val="18"/>
                <w:szCs w:val="18"/>
                <w:color w:val="auto"/>
              </w:rPr>
              <w:t>10.8</w:t>
            </w:r>
          </w:p>
        </w:tc>
      </w:tr>
      <w:tr>
        <w:trPr>
          <w:trHeight w:val="270"/>
        </w:trPr>
        <w:tc>
          <w:tcPr>
            <w:tcW w:w="7200" w:type="dxa"/>
            <w:vAlign w:val="bottom"/>
          </w:tcPr>
          <w:p>
            <w:pPr>
              <w:ind w:left="40"/>
              <w:spacing w:after="0"/>
              <w:rPr>
                <w:sz w:val="20"/>
                <w:szCs w:val="20"/>
                <w:color w:val="auto"/>
              </w:rPr>
            </w:pPr>
            <w:r>
              <w:rPr>
                <w:rFonts w:ascii="Arial" w:cs="Arial" w:eastAsia="Arial" w:hAnsi="Arial"/>
                <w:sz w:val="18"/>
                <w:szCs w:val="18"/>
                <w:color w:val="auto"/>
              </w:rPr>
              <w:t>Other income (expense) items, net</w:t>
            </w:r>
          </w:p>
        </w:tc>
        <w:tc>
          <w:tcPr>
            <w:tcW w:w="400" w:type="dxa"/>
            <w:vAlign w:val="bottom"/>
          </w:tcPr>
          <w:p>
            <w:pPr>
              <w:spacing w:after="0"/>
              <w:rPr>
                <w:sz w:val="23"/>
                <w:szCs w:val="23"/>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(625)</w:t>
            </w:r>
          </w:p>
        </w:tc>
        <w:tc>
          <w:tcPr>
            <w:tcW w:w="420" w:type="dxa"/>
            <w:vAlign w:val="bottom"/>
          </w:tcPr>
          <w:p>
            <w:pPr>
              <w:spacing w:after="0"/>
              <w:rPr>
                <w:sz w:val="23"/>
                <w:szCs w:val="23"/>
                <w:color w:val="auto"/>
              </w:rPr>
            </w:pP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(554)</w:t>
            </w:r>
          </w:p>
        </w:tc>
        <w:tc>
          <w:tcPr>
            <w:tcW w:w="1280" w:type="dxa"/>
            <w:vAlign w:val="bottom"/>
          </w:tcPr>
          <w:p>
            <w:pPr>
              <w:jc w:val="right"/>
              <w:ind w:right="172"/>
              <w:spacing w:after="0"/>
              <w:rPr>
                <w:sz w:val="20"/>
                <w:szCs w:val="20"/>
                <w:color w:val="auto"/>
              </w:rPr>
            </w:pPr>
            <w:r>
              <w:rPr>
                <w:rFonts w:ascii="Arial" w:cs="Arial" w:eastAsia="Arial" w:hAnsi="Arial"/>
                <w:sz w:val="18"/>
                <w:szCs w:val="18"/>
                <w:color w:val="auto"/>
              </w:rPr>
              <w:t>13.0</w:t>
            </w:r>
          </w:p>
        </w:tc>
      </w:tr>
      <w:tr>
        <w:trPr>
          <w:trHeight w:val="27"/>
        </w:trPr>
        <w:tc>
          <w:tcPr>
            <w:tcW w:w="7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400" w:type="dxa"/>
            <w:vAlign w:val="bottom"/>
          </w:tcPr>
          <w:p>
            <w:pPr>
              <w:spacing w:after="0"/>
              <w:rPr>
                <w:sz w:val="20"/>
                <w:szCs w:val="20"/>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3,905</w:t>
            </w:r>
          </w:p>
        </w:tc>
        <w:tc>
          <w:tcPr>
            <w:tcW w:w="420" w:type="dxa"/>
            <w:vAlign w:val="bottom"/>
          </w:tcPr>
          <w:p>
            <w:pPr>
              <w:spacing w:after="0"/>
              <w:rPr>
                <w:sz w:val="20"/>
                <w:szCs w:val="20"/>
                <w:color w:val="auto"/>
              </w:rPr>
            </w:pP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3,535</w:t>
            </w:r>
          </w:p>
        </w:tc>
        <w:tc>
          <w:tcPr>
            <w:tcW w:w="1280" w:type="dxa"/>
            <w:vAlign w:val="bottom"/>
          </w:tcPr>
          <w:p>
            <w:pPr>
              <w:jc w:val="right"/>
              <w:ind w:right="172"/>
              <w:spacing w:after="0"/>
              <w:rPr>
                <w:sz w:val="20"/>
                <w:szCs w:val="20"/>
                <w:color w:val="auto"/>
              </w:rPr>
            </w:pPr>
            <w:r>
              <w:rPr>
                <w:rFonts w:ascii="Arial" w:cs="Arial" w:eastAsia="Arial" w:hAnsi="Arial"/>
                <w:sz w:val="18"/>
                <w:szCs w:val="18"/>
                <w:color w:val="auto"/>
              </w:rPr>
              <w:t>10.4</w:t>
            </w:r>
          </w:p>
        </w:tc>
      </w:tr>
      <w:tr>
        <w:trPr>
          <w:trHeight w:val="270"/>
        </w:trPr>
        <w:tc>
          <w:tcPr>
            <w:tcW w:w="72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400" w:type="dxa"/>
            <w:vAlign w:val="bottom"/>
          </w:tcPr>
          <w:p>
            <w:pPr>
              <w:spacing w:after="0"/>
              <w:rPr>
                <w:sz w:val="23"/>
                <w:szCs w:val="23"/>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(1,258)</w:t>
            </w:r>
          </w:p>
        </w:tc>
        <w:tc>
          <w:tcPr>
            <w:tcW w:w="420" w:type="dxa"/>
            <w:vAlign w:val="bottom"/>
          </w:tcPr>
          <w:p>
            <w:pPr>
              <w:spacing w:after="0"/>
              <w:rPr>
                <w:sz w:val="23"/>
                <w:szCs w:val="23"/>
                <w:color w:val="auto"/>
              </w:rPr>
            </w:pP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(1,311)</w:t>
            </w:r>
          </w:p>
        </w:tc>
        <w:tc>
          <w:tcPr>
            <w:tcW w:w="1280" w:type="dxa"/>
            <w:vAlign w:val="bottom"/>
          </w:tcPr>
          <w:p>
            <w:pPr>
              <w:jc w:val="right"/>
              <w:ind w:right="112"/>
              <w:spacing w:after="0"/>
              <w:rPr>
                <w:sz w:val="20"/>
                <w:szCs w:val="20"/>
                <w:color w:val="auto"/>
              </w:rPr>
            </w:pPr>
            <w:r>
              <w:rPr>
                <w:rFonts w:ascii="Arial" w:cs="Arial" w:eastAsia="Arial" w:hAnsi="Arial"/>
                <w:sz w:val="18"/>
                <w:szCs w:val="18"/>
                <w:color w:val="auto"/>
              </w:rPr>
              <w:t>(4.1)</w:t>
            </w:r>
          </w:p>
        </w:tc>
      </w:tr>
      <w:tr>
        <w:trPr>
          <w:trHeight w:val="27"/>
        </w:trPr>
        <w:tc>
          <w:tcPr>
            <w:tcW w:w="7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400" w:type="dxa"/>
            <w:vAlign w:val="bottom"/>
          </w:tcPr>
          <w:p>
            <w:pPr>
              <w:spacing w:after="0"/>
              <w:rPr>
                <w:sz w:val="20"/>
                <w:szCs w:val="20"/>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2,647</w:t>
            </w:r>
          </w:p>
        </w:tc>
        <w:tc>
          <w:tcPr>
            <w:tcW w:w="420" w:type="dxa"/>
            <w:vAlign w:val="bottom"/>
          </w:tcPr>
          <w:p>
            <w:pPr>
              <w:spacing w:after="0"/>
              <w:rPr>
                <w:sz w:val="20"/>
                <w:szCs w:val="20"/>
                <w:color w:val="auto"/>
              </w:rPr>
            </w:pP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2,224</w:t>
            </w:r>
          </w:p>
        </w:tc>
        <w:tc>
          <w:tcPr>
            <w:tcW w:w="1280" w:type="dxa"/>
            <w:vAlign w:val="bottom"/>
          </w:tcPr>
          <w:p>
            <w:pPr>
              <w:jc w:val="right"/>
              <w:ind w:right="172"/>
              <w:spacing w:after="0"/>
              <w:rPr>
                <w:sz w:val="20"/>
                <w:szCs w:val="20"/>
                <w:color w:val="auto"/>
              </w:rPr>
            </w:pPr>
            <w:r>
              <w:rPr>
                <w:rFonts w:ascii="Arial" w:cs="Arial" w:eastAsia="Arial" w:hAnsi="Arial"/>
                <w:sz w:val="18"/>
                <w:szCs w:val="18"/>
                <w:color w:val="auto"/>
              </w:rPr>
              <w:t>19.0</w:t>
            </w:r>
          </w:p>
        </w:tc>
      </w:tr>
      <w:tr>
        <w:trPr>
          <w:trHeight w:val="256"/>
        </w:trPr>
        <w:tc>
          <w:tcPr>
            <w:tcW w:w="7200" w:type="dxa"/>
            <w:vAlign w:val="bottom"/>
          </w:tcPr>
          <w:p>
            <w:pPr>
              <w:ind w:left="40"/>
              <w:spacing w:after="0"/>
              <w:rPr>
                <w:sz w:val="20"/>
                <w:szCs w:val="20"/>
                <w:color w:val="auto"/>
              </w:rPr>
            </w:pPr>
            <w:r>
              <w:rPr>
                <w:rFonts w:ascii="Arial" w:cs="Arial" w:eastAsia="Arial" w:hAnsi="Arial"/>
                <w:sz w:val="18"/>
                <w:szCs w:val="18"/>
                <w:color w:val="auto"/>
                <w:w w:val="96"/>
              </w:rPr>
              <w:t>Net (income) loss attributable to noncontrolling interests and redeemable subsidiary preferred</w:t>
            </w:r>
          </w:p>
        </w:tc>
        <w:tc>
          <w:tcPr>
            <w:tcW w:w="4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30"/>
        </w:trPr>
        <w:tc>
          <w:tcPr>
            <w:tcW w:w="7200" w:type="dxa"/>
            <w:vAlign w:val="bottom"/>
          </w:tcPr>
          <w:p>
            <w:pPr>
              <w:ind w:left="200"/>
              <w:spacing w:after="0"/>
              <w:rPr>
                <w:sz w:val="20"/>
                <w:szCs w:val="20"/>
                <w:color w:val="auto"/>
              </w:rPr>
            </w:pPr>
            <w:r>
              <w:rPr>
                <w:rFonts w:ascii="Arial" w:cs="Arial" w:eastAsia="Arial" w:hAnsi="Arial"/>
                <w:sz w:val="18"/>
                <w:szCs w:val="18"/>
                <w:color w:val="auto"/>
              </w:rPr>
              <w:t>stock</w:t>
            </w:r>
          </w:p>
        </w:tc>
        <w:tc>
          <w:tcPr>
            <w:tcW w:w="400" w:type="dxa"/>
            <w:vAlign w:val="bottom"/>
          </w:tcPr>
          <w:p>
            <w:pPr>
              <w:spacing w:after="0"/>
              <w:rPr>
                <w:sz w:val="20"/>
                <w:szCs w:val="20"/>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(81)</w:t>
            </w:r>
          </w:p>
        </w:tc>
        <w:tc>
          <w:tcPr>
            <w:tcW w:w="420" w:type="dxa"/>
            <w:vAlign w:val="bottom"/>
          </w:tcPr>
          <w:p>
            <w:pPr>
              <w:spacing w:after="0"/>
              <w:rPr>
                <w:sz w:val="20"/>
                <w:szCs w:val="20"/>
                <w:color w:val="auto"/>
              </w:rPr>
            </w:pP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(90)</w:t>
            </w:r>
          </w:p>
        </w:tc>
        <w:tc>
          <w:tcPr>
            <w:tcW w:w="1280" w:type="dxa"/>
            <w:vAlign w:val="bottom"/>
          </w:tcPr>
          <w:p>
            <w:pPr>
              <w:jc w:val="right"/>
              <w:ind w:right="112"/>
              <w:spacing w:after="0"/>
              <w:rPr>
                <w:sz w:val="20"/>
                <w:szCs w:val="20"/>
                <w:color w:val="auto"/>
              </w:rPr>
            </w:pPr>
            <w:r>
              <w:rPr>
                <w:rFonts w:ascii="Arial" w:cs="Arial" w:eastAsia="Arial" w:hAnsi="Arial"/>
                <w:sz w:val="18"/>
                <w:szCs w:val="18"/>
                <w:color w:val="auto"/>
              </w:rPr>
              <w:t>(10.2)</w:t>
            </w:r>
          </w:p>
        </w:tc>
      </w:tr>
      <w:tr>
        <w:trPr>
          <w:trHeight w:val="27"/>
        </w:trPr>
        <w:tc>
          <w:tcPr>
            <w:tcW w:w="7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40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73"/>
              <w:spacing w:after="0"/>
              <w:rPr>
                <w:sz w:val="20"/>
                <w:szCs w:val="20"/>
                <w:color w:val="auto"/>
              </w:rPr>
            </w:pPr>
            <w:r>
              <w:rPr>
                <w:rFonts w:ascii="Arial" w:cs="Arial" w:eastAsia="Arial" w:hAnsi="Arial"/>
                <w:sz w:val="18"/>
                <w:szCs w:val="18"/>
                <w:b w:val="1"/>
                <w:bCs w:val="1"/>
                <w:color w:val="auto"/>
              </w:rPr>
              <w:t>2,566</w:t>
            </w:r>
          </w:p>
        </w:tc>
        <w:tc>
          <w:tcPr>
            <w:tcW w:w="42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231"/>
              <w:spacing w:after="0"/>
              <w:rPr>
                <w:sz w:val="20"/>
                <w:szCs w:val="20"/>
                <w:color w:val="auto"/>
              </w:rPr>
            </w:pPr>
            <w:r>
              <w:rPr>
                <w:rFonts w:ascii="Arial" w:cs="Arial" w:eastAsia="Arial" w:hAnsi="Arial"/>
                <w:sz w:val="18"/>
                <w:szCs w:val="18"/>
                <w:b w:val="1"/>
                <w:bCs w:val="1"/>
                <w:color w:val="auto"/>
              </w:rPr>
              <w:t>2,134</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20.2 %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All percentages are calculated based on actual amounts. Minor differences may exist due to rounding.</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Revenue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All of our reportable business segments accounted for the increase in consolidated revenue for the three months ended March 31, 2017.</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for our segments is discussed separately below under the heading “Segment Operating Results.” Revenue for our other businesses is discussed separately below under the heading “Corporate and Other Results of Operations.”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Costs and Expenses</w:t>
      </w:r>
    </w:p>
    <w:p>
      <w:pPr>
        <w:spacing w:after="0" w:line="3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Cable Communications, Broadcast Television, Filmed Entertainment and Theme Parks segments accounted for substantially all of the increase in consolidated operating costs and expenses for the three months ended March 31, 2017.</w:t>
      </w:r>
    </w:p>
    <w:p>
      <w:pPr>
        <w:spacing w:after="0" w:line="13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Operating costs and expenses for our segments are discussed separately below under the heading “Segment Operating Results.” Operating costs and expenses for our corporate and other businesses are discussed separately below under the heading “Corporate and Other Results of Operations.”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Depreciation and Amortization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80" w:type="dxa"/>
            <w:vAlign w:val="bottom"/>
            <w:gridSpan w:val="3"/>
          </w:tcPr>
          <w:p>
            <w:pPr>
              <w:jc w:val="right"/>
              <w:ind w:right="774"/>
              <w:spacing w:after="0"/>
              <w:rPr>
                <w:sz w:val="20"/>
                <w:szCs w:val="20"/>
                <w:color w:val="auto"/>
              </w:rPr>
            </w:pPr>
            <w:r>
              <w:rPr>
                <w:rFonts w:ascii="Arial" w:cs="Arial" w:eastAsia="Arial" w:hAnsi="Arial"/>
                <w:sz w:val="14"/>
                <w:szCs w:val="14"/>
                <w:color w:val="auto"/>
              </w:rPr>
              <w:t>Three Months Ended</w:t>
            </w:r>
          </w:p>
        </w:tc>
        <w:tc>
          <w:tcPr>
            <w:tcW w:w="1320" w:type="dxa"/>
            <w:vAlign w:val="bottom"/>
          </w:tcPr>
          <w:p>
            <w:pPr>
              <w:jc w:val="right"/>
              <w:ind w:right="356"/>
              <w:spacing w:after="0"/>
              <w:rPr>
                <w:sz w:val="20"/>
                <w:szCs w:val="20"/>
                <w:color w:val="auto"/>
              </w:rPr>
            </w:pPr>
            <w:r>
              <w:rPr>
                <w:rFonts w:ascii="Arial" w:cs="Arial" w:eastAsia="Arial" w:hAnsi="Arial"/>
                <w:sz w:val="14"/>
                <w:szCs w:val="14"/>
                <w:color w:val="auto"/>
              </w:rPr>
              <w:t>Increase/</w:t>
            </w:r>
          </w:p>
        </w:tc>
      </w:tr>
      <w:tr>
        <w:trPr>
          <w:trHeight w:val="188"/>
        </w:trPr>
        <w:tc>
          <w:tcPr>
            <w:tcW w:w="71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color w:val="auto"/>
              </w:rPr>
              <w:t>March 31</w:t>
            </w:r>
          </w:p>
        </w:tc>
        <w:tc>
          <w:tcPr>
            <w:tcW w:w="10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color w:val="auto"/>
              </w:rPr>
              <w:t>(Decrease)</w:t>
            </w:r>
          </w:p>
        </w:tc>
      </w:tr>
      <w:tr>
        <w:trPr>
          <w:trHeight w:val="264"/>
        </w:trPr>
        <w:tc>
          <w:tcPr>
            <w:tcW w:w="7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color w:val="auto"/>
              </w:rPr>
              <w:t>2017</w:t>
            </w:r>
          </w:p>
        </w:tc>
        <w:tc>
          <w:tcPr>
            <w:tcW w:w="4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color w:val="auto"/>
              </w:rPr>
              <w:t>2016</w:t>
            </w:r>
          </w:p>
        </w:tc>
        <w:tc>
          <w:tcPr>
            <w:tcW w:w="1320" w:type="dxa"/>
            <w:vAlign w:val="bottom"/>
            <w:tcBorders>
              <w:bottom w:val="single" w:sz="8" w:color="auto"/>
            </w:tcBorders>
          </w:tcPr>
          <w:p>
            <w:pPr>
              <w:spacing w:after="0"/>
              <w:rPr>
                <w:sz w:val="22"/>
                <w:szCs w:val="22"/>
                <w:color w:val="auto"/>
              </w:rPr>
            </w:pP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Cable Communications</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1,980</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14"/>
              <w:spacing w:after="0"/>
              <w:rPr>
                <w:sz w:val="20"/>
                <w:szCs w:val="20"/>
                <w:color w:val="auto"/>
              </w:rPr>
            </w:pPr>
            <w:r>
              <w:rPr>
                <w:rFonts w:ascii="Arial" w:cs="Arial" w:eastAsia="Arial" w:hAnsi="Arial"/>
                <w:sz w:val="18"/>
                <w:szCs w:val="18"/>
                <w:color w:val="auto"/>
              </w:rPr>
              <w:t>1,843</w:t>
            </w:r>
          </w:p>
        </w:tc>
        <w:tc>
          <w:tcPr>
            <w:tcW w:w="1320" w:type="dxa"/>
            <w:vAlign w:val="bottom"/>
          </w:tcPr>
          <w:p>
            <w:pPr>
              <w:jc w:val="right"/>
              <w:spacing w:after="0"/>
              <w:rPr>
                <w:sz w:val="20"/>
                <w:szCs w:val="20"/>
                <w:color w:val="auto"/>
              </w:rPr>
            </w:pPr>
            <w:r>
              <w:rPr>
                <w:rFonts w:ascii="Arial" w:cs="Arial" w:eastAsia="Arial" w:hAnsi="Arial"/>
                <w:sz w:val="18"/>
                <w:szCs w:val="18"/>
                <w:color w:val="auto"/>
              </w:rPr>
              <w:t>7.4 %</w:t>
            </w:r>
          </w:p>
        </w:tc>
      </w:tr>
      <w:tr>
        <w:trPr>
          <w:trHeight w:val="270"/>
        </w:trPr>
        <w:tc>
          <w:tcPr>
            <w:tcW w:w="7160" w:type="dxa"/>
            <w:vAlign w:val="bottom"/>
          </w:tcPr>
          <w:p>
            <w:pPr>
              <w:ind w:left="40"/>
              <w:spacing w:after="0"/>
              <w:rPr>
                <w:sz w:val="20"/>
                <w:szCs w:val="20"/>
                <w:color w:val="auto"/>
              </w:rPr>
            </w:pPr>
            <w:r>
              <w:rPr>
                <w:rFonts w:ascii="Arial" w:cs="Arial" w:eastAsia="Arial" w:hAnsi="Arial"/>
                <w:sz w:val="18"/>
                <w:szCs w:val="18"/>
                <w:color w:val="auto"/>
              </w:rPr>
              <w:t>NBCUniversal</w:t>
            </w:r>
          </w:p>
        </w:tc>
        <w:tc>
          <w:tcPr>
            <w:tcW w:w="400" w:type="dxa"/>
            <w:vAlign w:val="bottom"/>
          </w:tcPr>
          <w:p>
            <w:pPr>
              <w:spacing w:after="0"/>
              <w:rPr>
                <w:sz w:val="23"/>
                <w:szCs w:val="23"/>
                <w:color w:val="auto"/>
              </w:rPr>
            </w:pP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508</w:t>
            </w:r>
          </w:p>
        </w:tc>
        <w:tc>
          <w:tcPr>
            <w:tcW w:w="440" w:type="dxa"/>
            <w:vAlign w:val="bottom"/>
          </w:tcPr>
          <w:p>
            <w:pPr>
              <w:spacing w:after="0"/>
              <w:rPr>
                <w:sz w:val="23"/>
                <w:szCs w:val="23"/>
                <w:color w:val="auto"/>
              </w:rPr>
            </w:pPr>
          </w:p>
        </w:tc>
        <w:tc>
          <w:tcPr>
            <w:tcW w:w="1080" w:type="dxa"/>
            <w:vAlign w:val="bottom"/>
          </w:tcPr>
          <w:p>
            <w:pPr>
              <w:jc w:val="right"/>
              <w:ind w:right="214"/>
              <w:spacing w:after="0"/>
              <w:rPr>
                <w:sz w:val="20"/>
                <w:szCs w:val="20"/>
                <w:color w:val="auto"/>
              </w:rPr>
            </w:pPr>
            <w:r>
              <w:rPr>
                <w:rFonts w:ascii="Arial" w:cs="Arial" w:eastAsia="Arial" w:hAnsi="Arial"/>
                <w:sz w:val="18"/>
                <w:szCs w:val="18"/>
                <w:color w:val="auto"/>
              </w:rPr>
              <w:t>414</w:t>
            </w:r>
          </w:p>
        </w:tc>
        <w:tc>
          <w:tcPr>
            <w:tcW w:w="1320" w:type="dxa"/>
            <w:vAlign w:val="bottom"/>
          </w:tcPr>
          <w:p>
            <w:pPr>
              <w:jc w:val="right"/>
              <w:ind w:right="176"/>
              <w:spacing w:after="0"/>
              <w:rPr>
                <w:sz w:val="20"/>
                <w:szCs w:val="20"/>
                <w:color w:val="auto"/>
              </w:rPr>
            </w:pPr>
            <w:r>
              <w:rPr>
                <w:rFonts w:ascii="Arial" w:cs="Arial" w:eastAsia="Arial" w:hAnsi="Arial"/>
                <w:sz w:val="18"/>
                <w:szCs w:val="18"/>
                <w:color w:val="auto"/>
              </w:rPr>
              <w:t>22.8</w:t>
            </w:r>
          </w:p>
        </w:tc>
      </w:tr>
      <w:tr>
        <w:trPr>
          <w:trHeight w:val="270"/>
        </w:trPr>
        <w:tc>
          <w:tcPr>
            <w:tcW w:w="716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400" w:type="dxa"/>
            <w:vAlign w:val="bottom"/>
          </w:tcPr>
          <w:p>
            <w:pPr>
              <w:spacing w:after="0"/>
              <w:rPr>
                <w:sz w:val="23"/>
                <w:szCs w:val="23"/>
                <w:color w:val="auto"/>
              </w:rPr>
            </w:pP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14</w:t>
            </w:r>
          </w:p>
        </w:tc>
        <w:tc>
          <w:tcPr>
            <w:tcW w:w="440" w:type="dxa"/>
            <w:vAlign w:val="bottom"/>
          </w:tcPr>
          <w:p>
            <w:pPr>
              <w:spacing w:after="0"/>
              <w:rPr>
                <w:sz w:val="23"/>
                <w:szCs w:val="23"/>
                <w:color w:val="auto"/>
              </w:rPr>
            </w:pPr>
          </w:p>
        </w:tc>
        <w:tc>
          <w:tcPr>
            <w:tcW w:w="1080" w:type="dxa"/>
            <w:vAlign w:val="bottom"/>
          </w:tcPr>
          <w:p>
            <w:pPr>
              <w:jc w:val="right"/>
              <w:ind w:right="214"/>
              <w:spacing w:after="0"/>
              <w:rPr>
                <w:sz w:val="20"/>
                <w:szCs w:val="20"/>
                <w:color w:val="auto"/>
              </w:rPr>
            </w:pPr>
            <w:r>
              <w:rPr>
                <w:rFonts w:ascii="Arial" w:cs="Arial" w:eastAsia="Arial" w:hAnsi="Arial"/>
                <w:sz w:val="18"/>
                <w:szCs w:val="18"/>
                <w:color w:val="auto"/>
              </w:rPr>
              <w:t>21</w:t>
            </w:r>
          </w:p>
        </w:tc>
        <w:tc>
          <w:tcPr>
            <w:tcW w:w="1320" w:type="dxa"/>
            <w:vAlign w:val="bottom"/>
          </w:tcPr>
          <w:p>
            <w:pPr>
              <w:jc w:val="right"/>
              <w:ind w:right="116"/>
              <w:spacing w:after="0"/>
              <w:rPr>
                <w:sz w:val="20"/>
                <w:szCs w:val="20"/>
                <w:color w:val="auto"/>
              </w:rPr>
            </w:pPr>
            <w:r>
              <w:rPr>
                <w:rFonts w:ascii="Arial" w:cs="Arial" w:eastAsia="Arial" w:hAnsi="Arial"/>
                <w:sz w:val="18"/>
                <w:szCs w:val="18"/>
                <w:color w:val="auto"/>
              </w:rPr>
              <w:t>(35.0)</w:t>
            </w:r>
          </w:p>
        </w:tc>
      </w:tr>
      <w:tr>
        <w:trPr>
          <w:trHeight w:val="27"/>
        </w:trPr>
        <w:tc>
          <w:tcPr>
            <w:tcW w:w="7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716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40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38"/>
              <w:spacing w:after="0"/>
              <w:rPr>
                <w:sz w:val="20"/>
                <w:szCs w:val="20"/>
                <w:color w:val="auto"/>
              </w:rPr>
            </w:pPr>
            <w:r>
              <w:rPr>
                <w:rFonts w:ascii="Arial" w:cs="Arial" w:eastAsia="Arial" w:hAnsi="Arial"/>
                <w:sz w:val="18"/>
                <w:szCs w:val="18"/>
                <w:b w:val="1"/>
                <w:bCs w:val="1"/>
                <w:color w:val="auto"/>
              </w:rPr>
              <w:t>2,502</w:t>
            </w:r>
          </w:p>
        </w:tc>
        <w:tc>
          <w:tcPr>
            <w:tcW w:w="44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214"/>
              <w:spacing w:after="0"/>
              <w:rPr>
                <w:sz w:val="20"/>
                <w:szCs w:val="20"/>
                <w:color w:val="auto"/>
              </w:rPr>
            </w:pPr>
            <w:r>
              <w:rPr>
                <w:rFonts w:ascii="Arial" w:cs="Arial" w:eastAsia="Arial" w:hAnsi="Arial"/>
                <w:sz w:val="18"/>
                <w:szCs w:val="18"/>
                <w:b w:val="1"/>
                <w:bCs w:val="1"/>
                <w:color w:val="auto"/>
              </w:rPr>
              <w:t>2,278</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9.8 %</w:t>
            </w:r>
          </w:p>
        </w:tc>
      </w:tr>
      <w:tr>
        <w:trPr>
          <w:trHeight w:val="34"/>
        </w:trPr>
        <w:tc>
          <w:tcPr>
            <w:tcW w:w="7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Consolidated depreciation and amortization expense increased for the three months ended March 31, 2017 primarily due to increases in capital expenditures, as well as expenditures for software, in our Cable Communications segment in recent years. We continue to invest to increase our network capacity and in customer premise equipment, primarily for our X1 platform and cloud DVR technology and for wireless gateways. In addition, because these assets generally have shorter estimated useful lives, our depreciation expenses increased for the three months ended March 31, 2017. NBCUniversal depreciation and amortization expense also increased due to our investments in new attractions in our Theme Parks segment.</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75"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Segment Operating Results</w:t>
      </w:r>
    </w:p>
    <w:p>
      <w:pPr>
        <w:spacing w:after="0" w:line="7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segment operating results are presented based on how we assess operating performance and internally report financial information. We use Adjusted EBITDA (formerly operating income before depreciation and amortization) as the measure of profit or loss for our operating segments. Adjusted EBITDA is defined as net income attributable to Comcast Corporation before net (income) loss attributable to noncontrolling interests and redeemable subsidiary preferred stock, income tax expense, other income (expense) items, net, and depreciation and amortization, and excluding impairment charges related to fixed and intangible assets and gains or losses on the sale of long-lived assets, if any. Other income (expense) items, net include interest expense, investment income (loss), equity in net income (losses) of investees, and other income (expense), net (as stated in our condensed consolidated statement of income). This measure eliminates the significant level of noncash depreciation and amortization expense that results from the capital-intensive nature of certain of our businesses and from intangible assets recognized in business combinations. Additionally, it is unaffected by our capital and tax structures and by our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that of other companies in our industries, although our measure may not be directly comparable to similar measures used by other companies. We reconcile the aggregate amount of Adjusted EBITDA for our reportable segments to consolidated income before income taxes in the business segment footnote to our condensed consolidated financial statements (see Note 11 to Comcast’s condensed consolidated financial statements and Note 10 to NBCUniversal’s condensed consolidated financial statements). This measure should not be considered a substitute for operating income (loss), net income (loss), net income (loss) attributable to Comcast Corporation or NBCUniversal, net cash provided by operating activities, or other measures of performance or liquidity we have reported in accordance with generally accepted accounting principles in the United States.</w:t>
      </w:r>
    </w:p>
    <w:p>
      <w:pPr>
        <w:spacing w:after="0" w:line="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be consistent with our current management reporting presentation, certain 2016 operating results were reclassified within the Cable Communications segment.</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Communications Segment Results of Operations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00" w:type="dxa"/>
            <w:vAlign w:val="bottom"/>
          </w:tcPr>
          <w:p>
            <w:pPr>
              <w:jc w:val="right"/>
              <w:ind w:right="173"/>
              <w:spacing w:after="0"/>
              <w:rPr>
                <w:sz w:val="20"/>
                <w:szCs w:val="20"/>
                <w:color w:val="auto"/>
              </w:rPr>
            </w:pPr>
            <w:r>
              <w:rPr>
                <w:rFonts w:ascii="Arial" w:cs="Arial" w:eastAsia="Arial" w:hAnsi="Arial"/>
                <w:sz w:val="14"/>
                <w:szCs w:val="14"/>
                <w:color w:val="auto"/>
              </w:rPr>
              <w:t>Increase/</w:t>
            </w:r>
          </w:p>
        </w:tc>
        <w:tc>
          <w:tcPr>
            <w:tcW w:w="1060" w:type="dxa"/>
            <w:vAlign w:val="bottom"/>
          </w:tcPr>
          <w:p>
            <w:pPr>
              <w:spacing w:after="0"/>
              <w:rPr>
                <w:sz w:val="14"/>
                <w:szCs w:val="14"/>
                <w:color w:val="auto"/>
              </w:rPr>
            </w:pPr>
          </w:p>
        </w:tc>
      </w:tr>
      <w:tr>
        <w:trPr>
          <w:trHeight w:val="188"/>
        </w:trPr>
        <w:tc>
          <w:tcPr>
            <w:tcW w:w="5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4"/>
                <w:szCs w:val="14"/>
                <w:color w:val="auto"/>
              </w:rPr>
              <w:t>March 31</w:t>
            </w:r>
          </w:p>
        </w:tc>
        <w:tc>
          <w:tcPr>
            <w:tcW w:w="9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(Decrease)</w:t>
            </w:r>
          </w:p>
        </w:tc>
        <w:tc>
          <w:tcPr>
            <w:tcW w:w="1060" w:type="dxa"/>
            <w:vAlign w:val="bottom"/>
            <w:tcBorders>
              <w:bottom w:val="single" w:sz="8" w:color="auto"/>
            </w:tcBorders>
          </w:tcPr>
          <w:p>
            <w:pPr>
              <w:spacing w:after="0"/>
              <w:rPr>
                <w:sz w:val="16"/>
                <w:szCs w:val="16"/>
                <w:color w:val="auto"/>
              </w:rPr>
            </w:pP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color w:val="auto"/>
              </w:rPr>
              <w:t>2017</w:t>
            </w:r>
          </w:p>
        </w:tc>
        <w:tc>
          <w:tcPr>
            <w:tcW w:w="6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w w:val="89"/>
              </w:rPr>
              <w:t>2016</w:t>
            </w:r>
          </w:p>
        </w:tc>
        <w:tc>
          <w:tcPr>
            <w:tcW w:w="5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1253"/>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color w:val="auto"/>
              </w:rPr>
              <w:t>%</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0"/>
        </w:trPr>
        <w:tc>
          <w:tcPr>
            <w:tcW w:w="5040" w:type="dxa"/>
            <w:vAlign w:val="bottom"/>
          </w:tcPr>
          <w:p>
            <w:pPr>
              <w:ind w:left="380"/>
              <w:spacing w:after="0"/>
              <w:rPr>
                <w:sz w:val="20"/>
                <w:szCs w:val="20"/>
                <w:color w:val="auto"/>
              </w:rPr>
            </w:pPr>
            <w:r>
              <w:rPr>
                <w:rFonts w:ascii="Arial" w:cs="Arial" w:eastAsia="Arial" w:hAnsi="Arial"/>
                <w:sz w:val="18"/>
                <w:szCs w:val="18"/>
                <w:color w:val="auto"/>
              </w:rPr>
              <w:t>Residential:</w:t>
            </w: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0"/>
        </w:trPr>
        <w:tc>
          <w:tcPr>
            <w:tcW w:w="5040" w:type="dxa"/>
            <w:vAlign w:val="bottom"/>
          </w:tcPr>
          <w:p>
            <w:pPr>
              <w:ind w:left="720"/>
              <w:spacing w:after="0"/>
              <w:rPr>
                <w:sz w:val="20"/>
                <w:szCs w:val="20"/>
                <w:color w:val="auto"/>
              </w:rPr>
            </w:pPr>
            <w:r>
              <w:rPr>
                <w:rFonts w:ascii="Arial" w:cs="Arial" w:eastAsia="Arial" w:hAnsi="Arial"/>
                <w:sz w:val="18"/>
                <w:szCs w:val="18"/>
                <w:color w:val="auto"/>
              </w:rPr>
              <w:t>Video</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5,774</w:t>
            </w:r>
          </w:p>
        </w:tc>
        <w:tc>
          <w:tcPr>
            <w:tcW w:w="6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5,538</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673"/>
              <w:spacing w:after="0"/>
              <w:rPr>
                <w:sz w:val="20"/>
                <w:szCs w:val="20"/>
                <w:color w:val="auto"/>
              </w:rPr>
            </w:pPr>
            <w:r>
              <w:rPr>
                <w:rFonts w:ascii="Arial" w:cs="Arial" w:eastAsia="Arial" w:hAnsi="Arial"/>
                <w:sz w:val="18"/>
                <w:szCs w:val="18"/>
                <w:color w:val="auto"/>
              </w:rPr>
              <w:t>236</w:t>
            </w:r>
          </w:p>
        </w:tc>
        <w:tc>
          <w:tcPr>
            <w:tcW w:w="1060" w:type="dxa"/>
            <w:vAlign w:val="bottom"/>
          </w:tcPr>
          <w:p>
            <w:pPr>
              <w:jc w:val="right"/>
              <w:spacing w:after="0"/>
              <w:rPr>
                <w:sz w:val="20"/>
                <w:szCs w:val="20"/>
                <w:color w:val="auto"/>
              </w:rPr>
            </w:pPr>
            <w:r>
              <w:rPr>
                <w:rFonts w:ascii="Arial" w:cs="Arial" w:eastAsia="Arial" w:hAnsi="Arial"/>
                <w:sz w:val="18"/>
                <w:szCs w:val="18"/>
                <w:color w:val="auto"/>
              </w:rPr>
              <w:t>4.3 %</w:t>
            </w:r>
          </w:p>
        </w:tc>
      </w:tr>
      <w:tr>
        <w:trPr>
          <w:trHeight w:val="270"/>
        </w:trPr>
        <w:tc>
          <w:tcPr>
            <w:tcW w:w="5040" w:type="dxa"/>
            <w:vAlign w:val="bottom"/>
          </w:tcPr>
          <w:p>
            <w:pPr>
              <w:ind w:left="720"/>
              <w:spacing w:after="0"/>
              <w:rPr>
                <w:sz w:val="20"/>
                <w:szCs w:val="20"/>
                <w:color w:val="auto"/>
              </w:rPr>
            </w:pPr>
            <w:r>
              <w:rPr>
                <w:rFonts w:ascii="Arial" w:cs="Arial" w:eastAsia="Arial" w:hAnsi="Arial"/>
                <w:sz w:val="18"/>
                <w:szCs w:val="18"/>
                <w:color w:val="auto"/>
              </w:rPr>
              <w:t>High-speed Internet</w:t>
            </w:r>
          </w:p>
        </w:tc>
        <w:tc>
          <w:tcPr>
            <w:tcW w:w="360" w:type="dxa"/>
            <w:vAlign w:val="bottom"/>
          </w:tcPr>
          <w:p>
            <w:pPr>
              <w:spacing w:after="0"/>
              <w:rPr>
                <w:sz w:val="23"/>
                <w:szCs w:val="23"/>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3,606</w:t>
            </w:r>
          </w:p>
        </w:tc>
        <w:tc>
          <w:tcPr>
            <w:tcW w:w="68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3,275</w:t>
            </w:r>
          </w:p>
        </w:tc>
        <w:tc>
          <w:tcPr>
            <w:tcW w:w="500" w:type="dxa"/>
            <w:vAlign w:val="bottom"/>
          </w:tcPr>
          <w:p>
            <w:pPr>
              <w:spacing w:after="0"/>
              <w:rPr>
                <w:sz w:val="23"/>
                <w:szCs w:val="23"/>
                <w:color w:val="auto"/>
              </w:rPr>
            </w:pPr>
          </w:p>
        </w:tc>
        <w:tc>
          <w:tcPr>
            <w:tcW w:w="1700" w:type="dxa"/>
            <w:vAlign w:val="bottom"/>
          </w:tcPr>
          <w:p>
            <w:pPr>
              <w:jc w:val="right"/>
              <w:ind w:right="673"/>
              <w:spacing w:after="0"/>
              <w:rPr>
                <w:sz w:val="20"/>
                <w:szCs w:val="20"/>
                <w:color w:val="auto"/>
              </w:rPr>
            </w:pPr>
            <w:r>
              <w:rPr>
                <w:rFonts w:ascii="Arial" w:cs="Arial" w:eastAsia="Arial" w:hAnsi="Arial"/>
                <w:sz w:val="18"/>
                <w:szCs w:val="18"/>
                <w:color w:val="auto"/>
              </w:rPr>
              <w:t>331</w:t>
            </w:r>
          </w:p>
        </w:tc>
        <w:tc>
          <w:tcPr>
            <w:tcW w:w="1060" w:type="dxa"/>
            <w:vAlign w:val="bottom"/>
          </w:tcPr>
          <w:p>
            <w:pPr>
              <w:jc w:val="right"/>
              <w:ind w:right="171"/>
              <w:spacing w:after="0"/>
              <w:rPr>
                <w:sz w:val="20"/>
                <w:szCs w:val="20"/>
                <w:color w:val="auto"/>
              </w:rPr>
            </w:pPr>
            <w:r>
              <w:rPr>
                <w:rFonts w:ascii="Arial" w:cs="Arial" w:eastAsia="Arial" w:hAnsi="Arial"/>
                <w:sz w:val="18"/>
                <w:szCs w:val="18"/>
                <w:color w:val="auto"/>
              </w:rPr>
              <w:t>10.1</w:t>
            </w:r>
          </w:p>
        </w:tc>
      </w:tr>
      <w:tr>
        <w:trPr>
          <w:trHeight w:val="270"/>
        </w:trPr>
        <w:tc>
          <w:tcPr>
            <w:tcW w:w="5040" w:type="dxa"/>
            <w:vAlign w:val="bottom"/>
          </w:tcPr>
          <w:p>
            <w:pPr>
              <w:ind w:left="720"/>
              <w:spacing w:after="0"/>
              <w:rPr>
                <w:sz w:val="20"/>
                <w:szCs w:val="20"/>
                <w:color w:val="auto"/>
              </w:rPr>
            </w:pPr>
            <w:r>
              <w:rPr>
                <w:rFonts w:ascii="Arial" w:cs="Arial" w:eastAsia="Arial" w:hAnsi="Arial"/>
                <w:sz w:val="18"/>
                <w:szCs w:val="18"/>
                <w:color w:val="auto"/>
              </w:rPr>
              <w:t>Voice</w:t>
            </w:r>
          </w:p>
        </w:tc>
        <w:tc>
          <w:tcPr>
            <w:tcW w:w="360" w:type="dxa"/>
            <w:vAlign w:val="bottom"/>
          </w:tcPr>
          <w:p>
            <w:pPr>
              <w:spacing w:after="0"/>
              <w:rPr>
                <w:sz w:val="23"/>
                <w:szCs w:val="23"/>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863</w:t>
            </w:r>
          </w:p>
        </w:tc>
        <w:tc>
          <w:tcPr>
            <w:tcW w:w="68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896</w:t>
            </w:r>
          </w:p>
        </w:tc>
        <w:tc>
          <w:tcPr>
            <w:tcW w:w="500" w:type="dxa"/>
            <w:vAlign w:val="bottom"/>
          </w:tcPr>
          <w:p>
            <w:pPr>
              <w:spacing w:after="0"/>
              <w:rPr>
                <w:sz w:val="23"/>
                <w:szCs w:val="23"/>
                <w:color w:val="auto"/>
              </w:rPr>
            </w:pPr>
          </w:p>
        </w:tc>
        <w:tc>
          <w:tcPr>
            <w:tcW w:w="1700" w:type="dxa"/>
            <w:vAlign w:val="bottom"/>
          </w:tcPr>
          <w:p>
            <w:pPr>
              <w:jc w:val="right"/>
              <w:ind w:right="613"/>
              <w:spacing w:after="0"/>
              <w:rPr>
                <w:sz w:val="20"/>
                <w:szCs w:val="20"/>
                <w:color w:val="auto"/>
              </w:rPr>
            </w:pPr>
            <w:r>
              <w:rPr>
                <w:rFonts w:ascii="Arial" w:cs="Arial" w:eastAsia="Arial" w:hAnsi="Arial"/>
                <w:sz w:val="18"/>
                <w:szCs w:val="18"/>
                <w:color w:val="auto"/>
              </w:rPr>
              <w:t>(33)</w:t>
            </w: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(3.6)</w:t>
            </w:r>
          </w:p>
        </w:tc>
      </w:tr>
      <w:tr>
        <w:trPr>
          <w:trHeight w:val="270"/>
        </w:trPr>
        <w:tc>
          <w:tcPr>
            <w:tcW w:w="5040" w:type="dxa"/>
            <w:vAlign w:val="bottom"/>
          </w:tcPr>
          <w:p>
            <w:pPr>
              <w:ind w:left="380"/>
              <w:spacing w:after="0"/>
              <w:rPr>
                <w:sz w:val="20"/>
                <w:szCs w:val="20"/>
                <w:color w:val="auto"/>
              </w:rPr>
            </w:pPr>
            <w:r>
              <w:rPr>
                <w:rFonts w:ascii="Arial" w:cs="Arial" w:eastAsia="Arial" w:hAnsi="Arial"/>
                <w:sz w:val="18"/>
                <w:szCs w:val="18"/>
                <w:color w:val="auto"/>
              </w:rPr>
              <w:t>Business services</w:t>
            </w:r>
          </w:p>
        </w:tc>
        <w:tc>
          <w:tcPr>
            <w:tcW w:w="360" w:type="dxa"/>
            <w:vAlign w:val="bottom"/>
          </w:tcPr>
          <w:p>
            <w:pPr>
              <w:spacing w:after="0"/>
              <w:rPr>
                <w:sz w:val="23"/>
                <w:szCs w:val="23"/>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1,490</w:t>
            </w:r>
          </w:p>
        </w:tc>
        <w:tc>
          <w:tcPr>
            <w:tcW w:w="68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1,311</w:t>
            </w:r>
          </w:p>
        </w:tc>
        <w:tc>
          <w:tcPr>
            <w:tcW w:w="500" w:type="dxa"/>
            <w:vAlign w:val="bottom"/>
          </w:tcPr>
          <w:p>
            <w:pPr>
              <w:spacing w:after="0"/>
              <w:rPr>
                <w:sz w:val="23"/>
                <w:szCs w:val="23"/>
                <w:color w:val="auto"/>
              </w:rPr>
            </w:pPr>
          </w:p>
        </w:tc>
        <w:tc>
          <w:tcPr>
            <w:tcW w:w="1700" w:type="dxa"/>
            <w:vAlign w:val="bottom"/>
          </w:tcPr>
          <w:p>
            <w:pPr>
              <w:jc w:val="right"/>
              <w:ind w:right="673"/>
              <w:spacing w:after="0"/>
              <w:rPr>
                <w:sz w:val="20"/>
                <w:szCs w:val="20"/>
                <w:color w:val="auto"/>
              </w:rPr>
            </w:pPr>
            <w:r>
              <w:rPr>
                <w:rFonts w:ascii="Arial" w:cs="Arial" w:eastAsia="Arial" w:hAnsi="Arial"/>
                <w:sz w:val="18"/>
                <w:szCs w:val="18"/>
                <w:color w:val="auto"/>
              </w:rPr>
              <w:t>179</w:t>
            </w:r>
          </w:p>
        </w:tc>
        <w:tc>
          <w:tcPr>
            <w:tcW w:w="1060" w:type="dxa"/>
            <w:vAlign w:val="bottom"/>
          </w:tcPr>
          <w:p>
            <w:pPr>
              <w:jc w:val="right"/>
              <w:ind w:right="171"/>
              <w:spacing w:after="0"/>
              <w:rPr>
                <w:sz w:val="20"/>
                <w:szCs w:val="20"/>
                <w:color w:val="auto"/>
              </w:rPr>
            </w:pPr>
            <w:r>
              <w:rPr>
                <w:rFonts w:ascii="Arial" w:cs="Arial" w:eastAsia="Arial" w:hAnsi="Arial"/>
                <w:sz w:val="18"/>
                <w:szCs w:val="18"/>
                <w:color w:val="auto"/>
              </w:rPr>
              <w:t>13.6</w:t>
            </w:r>
          </w:p>
        </w:tc>
      </w:tr>
      <w:tr>
        <w:trPr>
          <w:trHeight w:val="270"/>
        </w:trPr>
        <w:tc>
          <w:tcPr>
            <w:tcW w:w="5040" w:type="dxa"/>
            <w:vAlign w:val="bottom"/>
          </w:tcPr>
          <w:p>
            <w:pPr>
              <w:ind w:left="380"/>
              <w:spacing w:after="0"/>
              <w:rPr>
                <w:sz w:val="20"/>
                <w:szCs w:val="20"/>
                <w:color w:val="auto"/>
              </w:rPr>
            </w:pPr>
            <w:r>
              <w:rPr>
                <w:rFonts w:ascii="Arial" w:cs="Arial" w:eastAsia="Arial" w:hAnsi="Arial"/>
                <w:sz w:val="18"/>
                <w:szCs w:val="18"/>
                <w:color w:val="auto"/>
              </w:rPr>
              <w:t>Advertising</w:t>
            </w:r>
          </w:p>
        </w:tc>
        <w:tc>
          <w:tcPr>
            <w:tcW w:w="360" w:type="dxa"/>
            <w:vAlign w:val="bottom"/>
          </w:tcPr>
          <w:p>
            <w:pPr>
              <w:spacing w:after="0"/>
              <w:rPr>
                <w:sz w:val="23"/>
                <w:szCs w:val="23"/>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512</w:t>
            </w:r>
          </w:p>
        </w:tc>
        <w:tc>
          <w:tcPr>
            <w:tcW w:w="68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546</w:t>
            </w:r>
          </w:p>
        </w:tc>
        <w:tc>
          <w:tcPr>
            <w:tcW w:w="500" w:type="dxa"/>
            <w:vAlign w:val="bottom"/>
          </w:tcPr>
          <w:p>
            <w:pPr>
              <w:spacing w:after="0"/>
              <w:rPr>
                <w:sz w:val="23"/>
                <w:szCs w:val="23"/>
                <w:color w:val="auto"/>
              </w:rPr>
            </w:pPr>
          </w:p>
        </w:tc>
        <w:tc>
          <w:tcPr>
            <w:tcW w:w="1700" w:type="dxa"/>
            <w:vAlign w:val="bottom"/>
          </w:tcPr>
          <w:p>
            <w:pPr>
              <w:jc w:val="right"/>
              <w:ind w:right="613"/>
              <w:spacing w:after="0"/>
              <w:rPr>
                <w:sz w:val="20"/>
                <w:szCs w:val="20"/>
                <w:color w:val="auto"/>
              </w:rPr>
            </w:pPr>
            <w:r>
              <w:rPr>
                <w:rFonts w:ascii="Arial" w:cs="Arial" w:eastAsia="Arial" w:hAnsi="Arial"/>
                <w:sz w:val="18"/>
                <w:szCs w:val="18"/>
                <w:color w:val="auto"/>
              </w:rPr>
              <w:t>(34)</w:t>
            </w: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(6.3)</w:t>
            </w:r>
          </w:p>
        </w:tc>
      </w:tr>
      <w:tr>
        <w:trPr>
          <w:trHeight w:val="270"/>
        </w:trPr>
        <w:tc>
          <w:tcPr>
            <w:tcW w:w="5040" w:type="dxa"/>
            <w:vAlign w:val="bottom"/>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3"/>
                <w:szCs w:val="23"/>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667</w:t>
            </w:r>
          </w:p>
        </w:tc>
        <w:tc>
          <w:tcPr>
            <w:tcW w:w="68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638</w:t>
            </w:r>
          </w:p>
        </w:tc>
        <w:tc>
          <w:tcPr>
            <w:tcW w:w="500" w:type="dxa"/>
            <w:vAlign w:val="bottom"/>
          </w:tcPr>
          <w:p>
            <w:pPr>
              <w:spacing w:after="0"/>
              <w:rPr>
                <w:sz w:val="23"/>
                <w:szCs w:val="23"/>
                <w:color w:val="auto"/>
              </w:rPr>
            </w:pPr>
          </w:p>
        </w:tc>
        <w:tc>
          <w:tcPr>
            <w:tcW w:w="1700" w:type="dxa"/>
            <w:vAlign w:val="bottom"/>
          </w:tcPr>
          <w:p>
            <w:pPr>
              <w:jc w:val="right"/>
              <w:ind w:right="673"/>
              <w:spacing w:after="0"/>
              <w:rPr>
                <w:sz w:val="20"/>
                <w:szCs w:val="20"/>
                <w:color w:val="auto"/>
              </w:rPr>
            </w:pPr>
            <w:r>
              <w:rPr>
                <w:rFonts w:ascii="Arial" w:cs="Arial" w:eastAsia="Arial" w:hAnsi="Arial"/>
                <w:sz w:val="18"/>
                <w:szCs w:val="18"/>
                <w:color w:val="auto"/>
              </w:rPr>
              <w:t>29</w:t>
            </w:r>
          </w:p>
        </w:tc>
        <w:tc>
          <w:tcPr>
            <w:tcW w:w="1060" w:type="dxa"/>
            <w:vAlign w:val="bottom"/>
          </w:tcPr>
          <w:p>
            <w:pPr>
              <w:jc w:val="right"/>
              <w:ind w:right="171"/>
              <w:spacing w:after="0"/>
              <w:rPr>
                <w:sz w:val="20"/>
                <w:szCs w:val="20"/>
                <w:color w:val="auto"/>
              </w:rPr>
            </w:pPr>
            <w:r>
              <w:rPr>
                <w:rFonts w:ascii="Arial" w:cs="Arial" w:eastAsia="Arial" w:hAnsi="Arial"/>
                <w:sz w:val="18"/>
                <w:szCs w:val="18"/>
                <w:color w:val="auto"/>
              </w:rPr>
              <w:t>4.4</w:t>
            </w:r>
          </w:p>
        </w:tc>
      </w:tr>
      <w:tr>
        <w:trPr>
          <w:trHeight w:val="27"/>
        </w:trPr>
        <w:tc>
          <w:tcPr>
            <w:tcW w:w="5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60" w:type="dxa"/>
            <w:vAlign w:val="bottom"/>
          </w:tcPr>
          <w:p>
            <w:pPr>
              <w:spacing w:after="0"/>
              <w:rPr>
                <w:sz w:val="20"/>
                <w:szCs w:val="20"/>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b w:val="1"/>
                <w:bCs w:val="1"/>
                <w:color w:val="auto"/>
              </w:rPr>
              <w:t>12,912</w:t>
            </w:r>
          </w:p>
        </w:tc>
        <w:tc>
          <w:tcPr>
            <w:tcW w:w="68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b w:val="1"/>
                <w:bCs w:val="1"/>
                <w:color w:val="auto"/>
              </w:rPr>
              <w:t>12,204</w:t>
            </w:r>
          </w:p>
        </w:tc>
        <w:tc>
          <w:tcPr>
            <w:tcW w:w="500" w:type="dxa"/>
            <w:vAlign w:val="bottom"/>
          </w:tcPr>
          <w:p>
            <w:pPr>
              <w:spacing w:after="0"/>
              <w:rPr>
                <w:sz w:val="20"/>
                <w:szCs w:val="20"/>
                <w:color w:val="auto"/>
              </w:rPr>
            </w:pPr>
          </w:p>
        </w:tc>
        <w:tc>
          <w:tcPr>
            <w:tcW w:w="1700" w:type="dxa"/>
            <w:vAlign w:val="bottom"/>
          </w:tcPr>
          <w:p>
            <w:pPr>
              <w:jc w:val="right"/>
              <w:ind w:right="673"/>
              <w:spacing w:after="0"/>
              <w:rPr>
                <w:sz w:val="20"/>
                <w:szCs w:val="20"/>
                <w:color w:val="auto"/>
              </w:rPr>
            </w:pPr>
            <w:r>
              <w:rPr>
                <w:rFonts w:ascii="Arial" w:cs="Arial" w:eastAsia="Arial" w:hAnsi="Arial"/>
                <w:sz w:val="18"/>
                <w:szCs w:val="18"/>
                <w:b w:val="1"/>
                <w:bCs w:val="1"/>
                <w:color w:val="auto"/>
              </w:rPr>
              <w:t>708</w:t>
            </w:r>
          </w:p>
        </w:tc>
        <w:tc>
          <w:tcPr>
            <w:tcW w:w="1060" w:type="dxa"/>
            <w:vAlign w:val="bottom"/>
          </w:tcPr>
          <w:p>
            <w:pPr>
              <w:jc w:val="right"/>
              <w:ind w:right="171"/>
              <w:spacing w:after="0"/>
              <w:rPr>
                <w:sz w:val="20"/>
                <w:szCs w:val="20"/>
                <w:color w:val="auto"/>
              </w:rPr>
            </w:pPr>
            <w:r>
              <w:rPr>
                <w:rFonts w:ascii="Arial" w:cs="Arial" w:eastAsia="Arial" w:hAnsi="Arial"/>
                <w:sz w:val="18"/>
                <w:szCs w:val="18"/>
                <w:b w:val="1"/>
                <w:bCs w:val="1"/>
                <w:color w:val="auto"/>
              </w:rPr>
              <w:t>5.8</w:t>
            </w:r>
          </w:p>
        </w:tc>
      </w:tr>
      <w:tr>
        <w:trPr>
          <w:trHeight w:val="270"/>
        </w:trPr>
        <w:tc>
          <w:tcPr>
            <w:tcW w:w="5040" w:type="dxa"/>
            <w:vAlign w:val="bottom"/>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0"/>
        </w:trPr>
        <w:tc>
          <w:tcPr>
            <w:tcW w:w="5040" w:type="dxa"/>
            <w:vAlign w:val="bottom"/>
          </w:tcPr>
          <w:p>
            <w:pPr>
              <w:ind w:left="380"/>
              <w:spacing w:after="0"/>
              <w:rPr>
                <w:sz w:val="20"/>
                <w:szCs w:val="20"/>
                <w:color w:val="auto"/>
              </w:rPr>
            </w:pPr>
            <w:r>
              <w:rPr>
                <w:rFonts w:ascii="Arial" w:cs="Arial" w:eastAsia="Arial" w:hAnsi="Arial"/>
                <w:sz w:val="18"/>
                <w:szCs w:val="18"/>
                <w:color w:val="auto"/>
              </w:rPr>
              <w:t>Programming</w:t>
            </w:r>
          </w:p>
        </w:tc>
        <w:tc>
          <w:tcPr>
            <w:tcW w:w="360" w:type="dxa"/>
            <w:vAlign w:val="bottom"/>
          </w:tcPr>
          <w:p>
            <w:pPr>
              <w:spacing w:after="0"/>
              <w:rPr>
                <w:sz w:val="23"/>
                <w:szCs w:val="23"/>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3,228</w:t>
            </w:r>
          </w:p>
        </w:tc>
        <w:tc>
          <w:tcPr>
            <w:tcW w:w="68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2,891</w:t>
            </w:r>
          </w:p>
        </w:tc>
        <w:tc>
          <w:tcPr>
            <w:tcW w:w="500" w:type="dxa"/>
            <w:vAlign w:val="bottom"/>
          </w:tcPr>
          <w:p>
            <w:pPr>
              <w:spacing w:after="0"/>
              <w:rPr>
                <w:sz w:val="23"/>
                <w:szCs w:val="23"/>
                <w:color w:val="auto"/>
              </w:rPr>
            </w:pPr>
          </w:p>
        </w:tc>
        <w:tc>
          <w:tcPr>
            <w:tcW w:w="1700" w:type="dxa"/>
            <w:vAlign w:val="bottom"/>
          </w:tcPr>
          <w:p>
            <w:pPr>
              <w:jc w:val="right"/>
              <w:ind w:right="673"/>
              <w:spacing w:after="0"/>
              <w:rPr>
                <w:sz w:val="20"/>
                <w:szCs w:val="20"/>
                <w:color w:val="auto"/>
              </w:rPr>
            </w:pPr>
            <w:r>
              <w:rPr>
                <w:rFonts w:ascii="Arial" w:cs="Arial" w:eastAsia="Arial" w:hAnsi="Arial"/>
                <w:sz w:val="18"/>
                <w:szCs w:val="18"/>
                <w:color w:val="auto"/>
              </w:rPr>
              <w:t>337</w:t>
            </w:r>
          </w:p>
        </w:tc>
        <w:tc>
          <w:tcPr>
            <w:tcW w:w="1060" w:type="dxa"/>
            <w:vAlign w:val="bottom"/>
          </w:tcPr>
          <w:p>
            <w:pPr>
              <w:jc w:val="right"/>
              <w:ind w:right="171"/>
              <w:spacing w:after="0"/>
              <w:rPr>
                <w:sz w:val="20"/>
                <w:szCs w:val="20"/>
                <w:color w:val="auto"/>
              </w:rPr>
            </w:pPr>
            <w:r>
              <w:rPr>
                <w:rFonts w:ascii="Arial" w:cs="Arial" w:eastAsia="Arial" w:hAnsi="Arial"/>
                <w:sz w:val="18"/>
                <w:szCs w:val="18"/>
                <w:color w:val="auto"/>
              </w:rPr>
              <w:t>11.7</w:t>
            </w:r>
          </w:p>
        </w:tc>
      </w:tr>
      <w:tr>
        <w:trPr>
          <w:trHeight w:val="270"/>
        </w:trPr>
        <w:tc>
          <w:tcPr>
            <w:tcW w:w="5040" w:type="dxa"/>
            <w:vAlign w:val="bottom"/>
          </w:tcPr>
          <w:p>
            <w:pPr>
              <w:ind w:left="380"/>
              <w:spacing w:after="0"/>
              <w:rPr>
                <w:sz w:val="20"/>
                <w:szCs w:val="20"/>
                <w:color w:val="auto"/>
              </w:rPr>
            </w:pPr>
            <w:r>
              <w:rPr>
                <w:rFonts w:ascii="Arial" w:cs="Arial" w:eastAsia="Arial" w:hAnsi="Arial"/>
                <w:sz w:val="18"/>
                <w:szCs w:val="18"/>
                <w:color w:val="auto"/>
              </w:rPr>
              <w:t>Technical and product support</w:t>
            </w:r>
          </w:p>
        </w:tc>
        <w:tc>
          <w:tcPr>
            <w:tcW w:w="360" w:type="dxa"/>
            <w:vAlign w:val="bottom"/>
          </w:tcPr>
          <w:p>
            <w:pPr>
              <w:spacing w:after="0"/>
              <w:rPr>
                <w:sz w:val="23"/>
                <w:szCs w:val="23"/>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1,560</w:t>
            </w:r>
          </w:p>
        </w:tc>
        <w:tc>
          <w:tcPr>
            <w:tcW w:w="68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1,518</w:t>
            </w:r>
          </w:p>
        </w:tc>
        <w:tc>
          <w:tcPr>
            <w:tcW w:w="500" w:type="dxa"/>
            <w:vAlign w:val="bottom"/>
          </w:tcPr>
          <w:p>
            <w:pPr>
              <w:spacing w:after="0"/>
              <w:rPr>
                <w:sz w:val="23"/>
                <w:szCs w:val="23"/>
                <w:color w:val="auto"/>
              </w:rPr>
            </w:pPr>
          </w:p>
        </w:tc>
        <w:tc>
          <w:tcPr>
            <w:tcW w:w="1700" w:type="dxa"/>
            <w:vAlign w:val="bottom"/>
          </w:tcPr>
          <w:p>
            <w:pPr>
              <w:jc w:val="right"/>
              <w:ind w:right="673"/>
              <w:spacing w:after="0"/>
              <w:rPr>
                <w:sz w:val="20"/>
                <w:szCs w:val="20"/>
                <w:color w:val="auto"/>
              </w:rPr>
            </w:pPr>
            <w:r>
              <w:rPr>
                <w:rFonts w:ascii="Arial" w:cs="Arial" w:eastAsia="Arial" w:hAnsi="Arial"/>
                <w:sz w:val="18"/>
                <w:szCs w:val="18"/>
                <w:color w:val="auto"/>
              </w:rPr>
              <w:t>42</w:t>
            </w:r>
          </w:p>
        </w:tc>
        <w:tc>
          <w:tcPr>
            <w:tcW w:w="1060" w:type="dxa"/>
            <w:vAlign w:val="bottom"/>
          </w:tcPr>
          <w:p>
            <w:pPr>
              <w:jc w:val="right"/>
              <w:ind w:right="171"/>
              <w:spacing w:after="0"/>
              <w:rPr>
                <w:sz w:val="20"/>
                <w:szCs w:val="20"/>
                <w:color w:val="auto"/>
              </w:rPr>
            </w:pPr>
            <w:r>
              <w:rPr>
                <w:rFonts w:ascii="Arial" w:cs="Arial" w:eastAsia="Arial" w:hAnsi="Arial"/>
                <w:sz w:val="18"/>
                <w:szCs w:val="18"/>
                <w:color w:val="auto"/>
              </w:rPr>
              <w:t>2.8</w:t>
            </w:r>
          </w:p>
        </w:tc>
      </w:tr>
      <w:tr>
        <w:trPr>
          <w:trHeight w:val="270"/>
        </w:trPr>
        <w:tc>
          <w:tcPr>
            <w:tcW w:w="5040" w:type="dxa"/>
            <w:vAlign w:val="bottom"/>
          </w:tcPr>
          <w:p>
            <w:pPr>
              <w:ind w:left="380"/>
              <w:spacing w:after="0"/>
              <w:rPr>
                <w:sz w:val="20"/>
                <w:szCs w:val="20"/>
                <w:color w:val="auto"/>
              </w:rPr>
            </w:pPr>
            <w:r>
              <w:rPr>
                <w:rFonts w:ascii="Arial" w:cs="Arial" w:eastAsia="Arial" w:hAnsi="Arial"/>
                <w:sz w:val="18"/>
                <w:szCs w:val="18"/>
                <w:color w:val="auto"/>
              </w:rPr>
              <w:t>Customer service</w:t>
            </w:r>
          </w:p>
        </w:tc>
        <w:tc>
          <w:tcPr>
            <w:tcW w:w="360" w:type="dxa"/>
            <w:vAlign w:val="bottom"/>
          </w:tcPr>
          <w:p>
            <w:pPr>
              <w:spacing w:after="0"/>
              <w:rPr>
                <w:sz w:val="23"/>
                <w:szCs w:val="23"/>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621</w:t>
            </w:r>
          </w:p>
        </w:tc>
        <w:tc>
          <w:tcPr>
            <w:tcW w:w="68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628</w:t>
            </w:r>
          </w:p>
        </w:tc>
        <w:tc>
          <w:tcPr>
            <w:tcW w:w="500" w:type="dxa"/>
            <w:vAlign w:val="bottom"/>
          </w:tcPr>
          <w:p>
            <w:pPr>
              <w:spacing w:after="0"/>
              <w:rPr>
                <w:sz w:val="23"/>
                <w:szCs w:val="23"/>
                <w:color w:val="auto"/>
              </w:rPr>
            </w:pPr>
          </w:p>
        </w:tc>
        <w:tc>
          <w:tcPr>
            <w:tcW w:w="1700" w:type="dxa"/>
            <w:vAlign w:val="bottom"/>
          </w:tcPr>
          <w:p>
            <w:pPr>
              <w:jc w:val="right"/>
              <w:ind w:right="613"/>
              <w:spacing w:after="0"/>
              <w:rPr>
                <w:sz w:val="20"/>
                <w:szCs w:val="20"/>
                <w:color w:val="auto"/>
              </w:rPr>
            </w:pPr>
            <w:r>
              <w:rPr>
                <w:rFonts w:ascii="Arial" w:cs="Arial" w:eastAsia="Arial" w:hAnsi="Arial"/>
                <w:sz w:val="18"/>
                <w:szCs w:val="18"/>
                <w:color w:val="auto"/>
              </w:rPr>
              <w:t>(7)</w:t>
            </w: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(1.1)</w:t>
            </w:r>
          </w:p>
        </w:tc>
      </w:tr>
      <w:tr>
        <w:trPr>
          <w:trHeight w:val="270"/>
        </w:trPr>
        <w:tc>
          <w:tcPr>
            <w:tcW w:w="504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360" w:type="dxa"/>
            <w:vAlign w:val="bottom"/>
          </w:tcPr>
          <w:p>
            <w:pPr>
              <w:spacing w:after="0"/>
              <w:rPr>
                <w:sz w:val="23"/>
                <w:szCs w:val="23"/>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859</w:t>
            </w:r>
          </w:p>
        </w:tc>
        <w:tc>
          <w:tcPr>
            <w:tcW w:w="68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836</w:t>
            </w:r>
          </w:p>
        </w:tc>
        <w:tc>
          <w:tcPr>
            <w:tcW w:w="500" w:type="dxa"/>
            <w:vAlign w:val="bottom"/>
          </w:tcPr>
          <w:p>
            <w:pPr>
              <w:spacing w:after="0"/>
              <w:rPr>
                <w:sz w:val="23"/>
                <w:szCs w:val="23"/>
                <w:color w:val="auto"/>
              </w:rPr>
            </w:pPr>
          </w:p>
        </w:tc>
        <w:tc>
          <w:tcPr>
            <w:tcW w:w="1700" w:type="dxa"/>
            <w:vAlign w:val="bottom"/>
          </w:tcPr>
          <w:p>
            <w:pPr>
              <w:jc w:val="right"/>
              <w:ind w:right="673"/>
              <w:spacing w:after="0"/>
              <w:rPr>
                <w:sz w:val="20"/>
                <w:szCs w:val="20"/>
                <w:color w:val="auto"/>
              </w:rPr>
            </w:pPr>
            <w:r>
              <w:rPr>
                <w:rFonts w:ascii="Arial" w:cs="Arial" w:eastAsia="Arial" w:hAnsi="Arial"/>
                <w:sz w:val="18"/>
                <w:szCs w:val="18"/>
                <w:color w:val="auto"/>
              </w:rPr>
              <w:t>23</w:t>
            </w:r>
          </w:p>
        </w:tc>
        <w:tc>
          <w:tcPr>
            <w:tcW w:w="1060" w:type="dxa"/>
            <w:vAlign w:val="bottom"/>
          </w:tcPr>
          <w:p>
            <w:pPr>
              <w:jc w:val="right"/>
              <w:ind w:right="171"/>
              <w:spacing w:after="0"/>
              <w:rPr>
                <w:sz w:val="20"/>
                <w:szCs w:val="20"/>
                <w:color w:val="auto"/>
              </w:rPr>
            </w:pPr>
            <w:r>
              <w:rPr>
                <w:rFonts w:ascii="Arial" w:cs="Arial" w:eastAsia="Arial" w:hAnsi="Arial"/>
                <w:sz w:val="18"/>
                <w:szCs w:val="18"/>
                <w:color w:val="auto"/>
              </w:rPr>
              <w:t>2.8</w:t>
            </w:r>
          </w:p>
        </w:tc>
      </w:tr>
      <w:tr>
        <w:trPr>
          <w:trHeight w:val="270"/>
        </w:trPr>
        <w:tc>
          <w:tcPr>
            <w:tcW w:w="5040" w:type="dxa"/>
            <w:vAlign w:val="bottom"/>
          </w:tcPr>
          <w:p>
            <w:pPr>
              <w:ind w:left="380"/>
              <w:spacing w:after="0"/>
              <w:rPr>
                <w:sz w:val="20"/>
                <w:szCs w:val="20"/>
                <w:color w:val="auto"/>
              </w:rPr>
            </w:pPr>
            <w:r>
              <w:rPr>
                <w:rFonts w:ascii="Arial" w:cs="Arial" w:eastAsia="Arial" w:hAnsi="Arial"/>
                <w:sz w:val="18"/>
                <w:szCs w:val="18"/>
                <w:color w:val="auto"/>
              </w:rPr>
              <w:t>Franchise and other regulatory fees</w:t>
            </w:r>
          </w:p>
        </w:tc>
        <w:tc>
          <w:tcPr>
            <w:tcW w:w="360" w:type="dxa"/>
            <w:vAlign w:val="bottom"/>
          </w:tcPr>
          <w:p>
            <w:pPr>
              <w:spacing w:after="0"/>
              <w:rPr>
                <w:sz w:val="23"/>
                <w:szCs w:val="23"/>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381</w:t>
            </w:r>
          </w:p>
        </w:tc>
        <w:tc>
          <w:tcPr>
            <w:tcW w:w="68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365</w:t>
            </w:r>
          </w:p>
        </w:tc>
        <w:tc>
          <w:tcPr>
            <w:tcW w:w="500" w:type="dxa"/>
            <w:vAlign w:val="bottom"/>
          </w:tcPr>
          <w:p>
            <w:pPr>
              <w:spacing w:after="0"/>
              <w:rPr>
                <w:sz w:val="23"/>
                <w:szCs w:val="23"/>
                <w:color w:val="auto"/>
              </w:rPr>
            </w:pPr>
          </w:p>
        </w:tc>
        <w:tc>
          <w:tcPr>
            <w:tcW w:w="1700" w:type="dxa"/>
            <w:vAlign w:val="bottom"/>
          </w:tcPr>
          <w:p>
            <w:pPr>
              <w:jc w:val="right"/>
              <w:ind w:right="673"/>
              <w:spacing w:after="0"/>
              <w:rPr>
                <w:sz w:val="20"/>
                <w:szCs w:val="20"/>
                <w:color w:val="auto"/>
              </w:rPr>
            </w:pPr>
            <w:r>
              <w:rPr>
                <w:rFonts w:ascii="Arial" w:cs="Arial" w:eastAsia="Arial" w:hAnsi="Arial"/>
                <w:sz w:val="18"/>
                <w:szCs w:val="18"/>
                <w:color w:val="auto"/>
              </w:rPr>
              <w:t>16</w:t>
            </w:r>
          </w:p>
        </w:tc>
        <w:tc>
          <w:tcPr>
            <w:tcW w:w="1060" w:type="dxa"/>
            <w:vAlign w:val="bottom"/>
          </w:tcPr>
          <w:p>
            <w:pPr>
              <w:jc w:val="right"/>
              <w:ind w:right="171"/>
              <w:spacing w:after="0"/>
              <w:rPr>
                <w:sz w:val="20"/>
                <w:szCs w:val="20"/>
                <w:color w:val="auto"/>
              </w:rPr>
            </w:pPr>
            <w:r>
              <w:rPr>
                <w:rFonts w:ascii="Arial" w:cs="Arial" w:eastAsia="Arial" w:hAnsi="Arial"/>
                <w:sz w:val="18"/>
                <w:szCs w:val="18"/>
                <w:color w:val="auto"/>
              </w:rPr>
              <w:t>4.4</w:t>
            </w:r>
          </w:p>
        </w:tc>
      </w:tr>
      <w:tr>
        <w:trPr>
          <w:trHeight w:val="270"/>
        </w:trPr>
        <w:tc>
          <w:tcPr>
            <w:tcW w:w="5040" w:type="dxa"/>
            <w:vAlign w:val="bottom"/>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3"/>
                <w:szCs w:val="23"/>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1,065</w:t>
            </w:r>
          </w:p>
        </w:tc>
        <w:tc>
          <w:tcPr>
            <w:tcW w:w="68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1,077</w:t>
            </w:r>
          </w:p>
        </w:tc>
        <w:tc>
          <w:tcPr>
            <w:tcW w:w="500" w:type="dxa"/>
            <w:vAlign w:val="bottom"/>
          </w:tcPr>
          <w:p>
            <w:pPr>
              <w:spacing w:after="0"/>
              <w:rPr>
                <w:sz w:val="23"/>
                <w:szCs w:val="23"/>
                <w:color w:val="auto"/>
              </w:rPr>
            </w:pPr>
          </w:p>
        </w:tc>
        <w:tc>
          <w:tcPr>
            <w:tcW w:w="1700" w:type="dxa"/>
            <w:vAlign w:val="bottom"/>
          </w:tcPr>
          <w:p>
            <w:pPr>
              <w:jc w:val="right"/>
              <w:ind w:right="613"/>
              <w:spacing w:after="0"/>
              <w:rPr>
                <w:sz w:val="20"/>
                <w:szCs w:val="20"/>
                <w:color w:val="auto"/>
              </w:rPr>
            </w:pPr>
            <w:r>
              <w:rPr>
                <w:rFonts w:ascii="Arial" w:cs="Arial" w:eastAsia="Arial" w:hAnsi="Arial"/>
                <w:sz w:val="18"/>
                <w:szCs w:val="18"/>
                <w:color w:val="auto"/>
              </w:rPr>
              <w:t>(12)</w:t>
            </w: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(1.1)</w:t>
            </w:r>
          </w:p>
        </w:tc>
      </w:tr>
      <w:tr>
        <w:trPr>
          <w:trHeight w:val="27"/>
        </w:trPr>
        <w:tc>
          <w:tcPr>
            <w:tcW w:w="5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360" w:type="dxa"/>
            <w:vAlign w:val="bottom"/>
          </w:tcPr>
          <w:p>
            <w:pPr>
              <w:spacing w:after="0"/>
              <w:rPr>
                <w:sz w:val="20"/>
                <w:szCs w:val="20"/>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7,714</w:t>
            </w:r>
          </w:p>
        </w:tc>
        <w:tc>
          <w:tcPr>
            <w:tcW w:w="68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7,315</w:t>
            </w:r>
          </w:p>
        </w:tc>
        <w:tc>
          <w:tcPr>
            <w:tcW w:w="500" w:type="dxa"/>
            <w:vAlign w:val="bottom"/>
          </w:tcPr>
          <w:p>
            <w:pPr>
              <w:spacing w:after="0"/>
              <w:rPr>
                <w:sz w:val="20"/>
                <w:szCs w:val="20"/>
                <w:color w:val="auto"/>
              </w:rPr>
            </w:pPr>
          </w:p>
        </w:tc>
        <w:tc>
          <w:tcPr>
            <w:tcW w:w="1700" w:type="dxa"/>
            <w:vAlign w:val="bottom"/>
          </w:tcPr>
          <w:p>
            <w:pPr>
              <w:jc w:val="right"/>
              <w:ind w:right="673"/>
              <w:spacing w:after="0"/>
              <w:rPr>
                <w:sz w:val="20"/>
                <w:szCs w:val="20"/>
                <w:color w:val="auto"/>
              </w:rPr>
            </w:pPr>
            <w:r>
              <w:rPr>
                <w:rFonts w:ascii="Arial" w:cs="Arial" w:eastAsia="Arial" w:hAnsi="Arial"/>
                <w:sz w:val="18"/>
                <w:szCs w:val="18"/>
                <w:color w:val="auto"/>
              </w:rPr>
              <w:t>399</w:t>
            </w:r>
          </w:p>
        </w:tc>
        <w:tc>
          <w:tcPr>
            <w:tcW w:w="1060" w:type="dxa"/>
            <w:vAlign w:val="bottom"/>
          </w:tcPr>
          <w:p>
            <w:pPr>
              <w:jc w:val="right"/>
              <w:ind w:right="171"/>
              <w:spacing w:after="0"/>
              <w:rPr>
                <w:sz w:val="20"/>
                <w:szCs w:val="20"/>
                <w:color w:val="auto"/>
              </w:rPr>
            </w:pPr>
            <w:r>
              <w:rPr>
                <w:rFonts w:ascii="Arial" w:cs="Arial" w:eastAsia="Arial" w:hAnsi="Arial"/>
                <w:sz w:val="18"/>
                <w:szCs w:val="18"/>
                <w:color w:val="auto"/>
              </w:rPr>
              <w:t>5.5</w:t>
            </w:r>
          </w:p>
        </w:tc>
      </w:tr>
      <w:tr>
        <w:trPr>
          <w:trHeight w:val="27"/>
        </w:trPr>
        <w:tc>
          <w:tcPr>
            <w:tcW w:w="5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b w:val="1"/>
                <w:bCs w:val="1"/>
                <w:color w:val="auto"/>
              </w:rPr>
              <w:t>5,198</w:t>
            </w:r>
          </w:p>
        </w:tc>
        <w:tc>
          <w:tcPr>
            <w:tcW w:w="68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31"/>
              <w:spacing w:after="0"/>
              <w:rPr>
                <w:sz w:val="20"/>
                <w:szCs w:val="20"/>
                <w:color w:val="auto"/>
              </w:rPr>
            </w:pPr>
            <w:r>
              <w:rPr>
                <w:rFonts w:ascii="Arial" w:cs="Arial" w:eastAsia="Arial" w:hAnsi="Arial"/>
                <w:sz w:val="18"/>
                <w:szCs w:val="18"/>
                <w:b w:val="1"/>
                <w:bCs w:val="1"/>
                <w:color w:val="auto"/>
              </w:rPr>
              <w:t>4,889</w:t>
            </w:r>
          </w:p>
        </w:tc>
        <w:tc>
          <w:tcPr>
            <w:tcW w:w="50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700" w:type="dxa"/>
            <w:vAlign w:val="bottom"/>
          </w:tcPr>
          <w:p>
            <w:pPr>
              <w:jc w:val="right"/>
              <w:ind w:right="673"/>
              <w:spacing w:after="0"/>
              <w:rPr>
                <w:sz w:val="20"/>
                <w:szCs w:val="20"/>
                <w:color w:val="auto"/>
              </w:rPr>
            </w:pPr>
            <w:r>
              <w:rPr>
                <w:rFonts w:ascii="Arial" w:cs="Arial" w:eastAsia="Arial" w:hAnsi="Arial"/>
                <w:sz w:val="18"/>
                <w:szCs w:val="18"/>
                <w:b w:val="1"/>
                <w:bCs w:val="1"/>
                <w:color w:val="auto"/>
              </w:rPr>
              <w:t>309</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6.3 %</w:t>
            </w:r>
          </w:p>
        </w:tc>
      </w:tr>
      <w:tr>
        <w:trPr>
          <w:trHeight w:val="34"/>
        </w:trPr>
        <w:tc>
          <w:tcPr>
            <w:tcW w:w="5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621"/>
        </w:trPr>
        <w:tc>
          <w:tcPr>
            <w:tcW w:w="5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ind w:right="633"/>
              <w:spacing w:after="0"/>
              <w:rPr>
                <w:sz w:val="20"/>
                <w:szCs w:val="20"/>
                <w:color w:val="auto"/>
              </w:rPr>
            </w:pPr>
            <w:r>
              <w:rPr>
                <w:rFonts w:ascii="Arial" w:cs="Arial" w:eastAsia="Arial" w:hAnsi="Arial"/>
                <w:sz w:val="18"/>
                <w:szCs w:val="18"/>
                <w:color w:val="auto"/>
              </w:rPr>
              <w:t>25</w:t>
            </w: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175"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Customer Metrics</w:t>
      </w:r>
    </w:p>
    <w:p>
      <w:pPr>
        <w:spacing w:after="0" w:line="175" w:lineRule="exact"/>
        <w:rPr>
          <w:sz w:val="20"/>
          <w:szCs w:val="20"/>
          <w:color w:val="auto"/>
        </w:rPr>
      </w:pPr>
    </w:p>
    <w:tbl>
      <w:tblPr>
        <w:tblLayout w:type="fixed"/>
        <w:tblInd w:w="80" w:type="dxa"/>
        <w:tblCellMar>
          <w:top w:w="0" w:type="dxa"/>
          <w:left w:w="0" w:type="dxa"/>
          <w:bottom w:w="0" w:type="dxa"/>
          <w:right w:w="0" w:type="dxa"/>
        </w:tblCellMar>
      </w:tblPr>
      <w:tr>
        <w:trPr>
          <w:trHeight w:val="188"/>
        </w:trPr>
        <w:tc>
          <w:tcPr>
            <w:tcW w:w="54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ind w:left="513"/>
              <w:spacing w:after="0"/>
              <w:rPr>
                <w:sz w:val="20"/>
                <w:szCs w:val="20"/>
                <w:color w:val="auto"/>
              </w:rPr>
            </w:pPr>
            <w:r>
              <w:rPr>
                <w:rFonts w:ascii="Arial" w:cs="Arial" w:eastAsia="Arial" w:hAnsi="Arial"/>
                <w:sz w:val="14"/>
                <w:szCs w:val="14"/>
                <w:color w:val="auto"/>
                <w:w w:val="91"/>
              </w:rPr>
              <w:t>Total Customers</w:t>
            </w:r>
          </w:p>
        </w:tc>
        <w:tc>
          <w:tcPr>
            <w:tcW w:w="11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2"/>
          </w:tcPr>
          <w:p>
            <w:pPr>
              <w:jc w:val="center"/>
              <w:ind w:right="111"/>
              <w:spacing w:after="0"/>
              <w:rPr>
                <w:sz w:val="20"/>
                <w:szCs w:val="20"/>
                <w:color w:val="auto"/>
              </w:rPr>
            </w:pPr>
            <w:r>
              <w:rPr>
                <w:rFonts w:ascii="Arial" w:cs="Arial" w:eastAsia="Arial" w:hAnsi="Arial"/>
                <w:sz w:val="14"/>
                <w:szCs w:val="14"/>
                <w:color w:val="auto"/>
                <w:w w:val="94"/>
              </w:rPr>
              <w:t>Net Additional Customers</w:t>
            </w:r>
          </w:p>
        </w:tc>
      </w:tr>
      <w:tr>
        <w:trPr>
          <w:trHeight w:val="156"/>
        </w:trPr>
        <w:tc>
          <w:tcPr>
            <w:tcW w:w="5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60" w:type="dxa"/>
            <w:vAlign w:val="bottom"/>
            <w:gridSpan w:val="2"/>
          </w:tcPr>
          <w:p>
            <w:pPr>
              <w:jc w:val="center"/>
              <w:ind w:right="111"/>
              <w:spacing w:after="0" w:line="157" w:lineRule="exact"/>
              <w:rPr>
                <w:sz w:val="20"/>
                <w:szCs w:val="20"/>
                <w:color w:val="auto"/>
              </w:rPr>
            </w:pPr>
            <w:r>
              <w:rPr>
                <w:rFonts w:ascii="Arial" w:cs="Arial" w:eastAsia="Arial" w:hAnsi="Arial"/>
                <w:sz w:val="14"/>
                <w:szCs w:val="14"/>
                <w:color w:val="auto"/>
                <w:w w:val="93"/>
              </w:rPr>
              <w:t>Three Months Ended</w:t>
            </w:r>
          </w:p>
        </w:tc>
      </w:tr>
      <w:tr>
        <w:trPr>
          <w:trHeight w:val="188"/>
        </w:trPr>
        <w:tc>
          <w:tcPr>
            <w:tcW w:w="54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ind w:left="493"/>
              <w:spacing w:after="0"/>
              <w:rPr>
                <w:sz w:val="20"/>
                <w:szCs w:val="20"/>
                <w:color w:val="auto"/>
              </w:rPr>
            </w:pPr>
            <w:r>
              <w:rPr>
                <w:rFonts w:ascii="Arial" w:cs="Arial" w:eastAsia="Arial" w:hAnsi="Arial"/>
                <w:sz w:val="14"/>
                <w:szCs w:val="14"/>
                <w:color w:val="auto"/>
                <w:w w:val="95"/>
              </w:rPr>
              <w:t>March 31</w:t>
            </w:r>
          </w:p>
        </w:tc>
        <w:tc>
          <w:tcPr>
            <w:tcW w:w="11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left="714"/>
              <w:spacing w:after="0"/>
              <w:rPr>
                <w:sz w:val="20"/>
                <w:szCs w:val="20"/>
                <w:color w:val="auto"/>
              </w:rPr>
            </w:pPr>
            <w:r>
              <w:rPr>
                <w:rFonts w:ascii="Arial" w:cs="Arial" w:eastAsia="Arial" w:hAnsi="Arial"/>
                <w:sz w:val="14"/>
                <w:szCs w:val="14"/>
                <w:color w:val="auto"/>
                <w:w w:val="95"/>
              </w:rPr>
              <w:t>March 31</w:t>
            </w:r>
          </w:p>
        </w:tc>
        <w:tc>
          <w:tcPr>
            <w:tcW w:w="1020" w:type="dxa"/>
            <w:vAlign w:val="bottom"/>
            <w:tcBorders>
              <w:bottom w:val="single" w:sz="8" w:color="auto"/>
            </w:tcBorders>
          </w:tcPr>
          <w:p>
            <w:pPr>
              <w:spacing w:after="0"/>
              <w:rPr>
                <w:sz w:val="16"/>
                <w:szCs w:val="16"/>
                <w:color w:val="auto"/>
              </w:rPr>
            </w:pPr>
          </w:p>
        </w:tc>
      </w:tr>
      <w:tr>
        <w:trPr>
          <w:trHeight w:val="196"/>
        </w:trPr>
        <w:tc>
          <w:tcPr>
            <w:tcW w:w="5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customer amounts)</w:t>
            </w: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color w:val="auto"/>
              </w:rPr>
              <w:t>2017</w:t>
            </w:r>
          </w:p>
        </w:tc>
        <w:tc>
          <w:tcPr>
            <w:tcW w:w="5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731"/>
              <w:spacing w:after="0"/>
              <w:rPr>
                <w:sz w:val="20"/>
                <w:szCs w:val="20"/>
                <w:color w:val="auto"/>
              </w:rPr>
            </w:pPr>
            <w:r>
              <w:rPr>
                <w:rFonts w:ascii="Arial" w:cs="Arial" w:eastAsia="Arial" w:hAnsi="Arial"/>
                <w:sz w:val="14"/>
                <w:szCs w:val="14"/>
                <w:color w:val="auto"/>
              </w:rPr>
              <w:t>2016</w:t>
            </w:r>
          </w:p>
        </w:tc>
        <w:tc>
          <w:tcPr>
            <w:tcW w:w="1640" w:type="dxa"/>
            <w:vAlign w:val="bottom"/>
            <w:tcBorders>
              <w:bottom w:val="single" w:sz="8" w:color="auto"/>
            </w:tcBorders>
          </w:tcPr>
          <w:p>
            <w:pPr>
              <w:jc w:val="right"/>
              <w:ind w:right="914"/>
              <w:spacing w:after="0"/>
              <w:rPr>
                <w:sz w:val="20"/>
                <w:szCs w:val="20"/>
                <w:color w:val="auto"/>
              </w:rPr>
            </w:pPr>
            <w:r>
              <w:rPr>
                <w:rFonts w:ascii="Arial" w:cs="Arial" w:eastAsia="Arial" w:hAnsi="Arial"/>
                <w:sz w:val="14"/>
                <w:szCs w:val="14"/>
                <w:color w:val="auto"/>
              </w:rPr>
              <w:t>2017</w:t>
            </w:r>
          </w:p>
        </w:tc>
        <w:tc>
          <w:tcPr>
            <w:tcW w:w="10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color w:val="auto"/>
              </w:rPr>
              <w:t>2016</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b w:val="1"/>
                <w:bCs w:val="1"/>
                <w:color w:val="auto"/>
              </w:rPr>
              <w:t>Video</w:t>
            </w: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0"/>
        </w:trPr>
        <w:tc>
          <w:tcPr>
            <w:tcW w:w="5420" w:type="dxa"/>
            <w:vAlign w:val="bottom"/>
          </w:tcPr>
          <w:p>
            <w:pPr>
              <w:ind w:left="360"/>
              <w:spacing w:after="0"/>
              <w:rPr>
                <w:sz w:val="20"/>
                <w:szCs w:val="20"/>
                <w:color w:val="auto"/>
              </w:rPr>
            </w:pPr>
            <w:r>
              <w:rPr>
                <w:rFonts w:ascii="Arial" w:cs="Arial" w:eastAsia="Arial" w:hAnsi="Arial"/>
                <w:sz w:val="18"/>
                <w:szCs w:val="18"/>
                <w:color w:val="auto"/>
              </w:rPr>
              <w:t>Video residential customers</w:t>
            </w:r>
          </w:p>
        </w:tc>
        <w:tc>
          <w:tcPr>
            <w:tcW w:w="3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21,520</w:t>
            </w:r>
          </w:p>
        </w:tc>
        <w:tc>
          <w:tcPr>
            <w:tcW w:w="580" w:type="dxa"/>
            <w:vAlign w:val="bottom"/>
          </w:tcPr>
          <w:p>
            <w:pPr>
              <w:spacing w:after="0"/>
              <w:rPr>
                <w:sz w:val="23"/>
                <w:szCs w:val="23"/>
                <w:color w:val="auto"/>
              </w:rPr>
            </w:pPr>
          </w:p>
        </w:tc>
        <w:tc>
          <w:tcPr>
            <w:tcW w:w="1160" w:type="dxa"/>
            <w:vAlign w:val="bottom"/>
          </w:tcPr>
          <w:p>
            <w:pPr>
              <w:jc w:val="right"/>
              <w:ind w:right="251"/>
              <w:spacing w:after="0"/>
              <w:rPr>
                <w:sz w:val="20"/>
                <w:szCs w:val="20"/>
                <w:color w:val="auto"/>
              </w:rPr>
            </w:pPr>
            <w:r>
              <w:rPr>
                <w:rFonts w:ascii="Arial" w:cs="Arial" w:eastAsia="Arial" w:hAnsi="Arial"/>
                <w:sz w:val="18"/>
                <w:szCs w:val="18"/>
                <w:color w:val="auto"/>
              </w:rPr>
              <w:t>21,422</w:t>
            </w:r>
          </w:p>
        </w:tc>
        <w:tc>
          <w:tcPr>
            <w:tcW w:w="1640" w:type="dxa"/>
            <w:vAlign w:val="bottom"/>
          </w:tcPr>
          <w:p>
            <w:pPr>
              <w:jc w:val="right"/>
              <w:ind w:right="454"/>
              <w:spacing w:after="0"/>
              <w:rPr>
                <w:sz w:val="20"/>
                <w:szCs w:val="20"/>
                <w:color w:val="auto"/>
              </w:rPr>
            </w:pPr>
            <w:r>
              <w:rPr>
                <w:rFonts w:ascii="Arial" w:cs="Arial" w:eastAsia="Arial" w:hAnsi="Arial"/>
                <w:sz w:val="18"/>
                <w:szCs w:val="18"/>
                <w:color w:val="auto"/>
              </w:rPr>
              <w:t>32</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37</w:t>
            </w:r>
          </w:p>
        </w:tc>
      </w:tr>
      <w:tr>
        <w:trPr>
          <w:trHeight w:val="270"/>
        </w:trPr>
        <w:tc>
          <w:tcPr>
            <w:tcW w:w="5420" w:type="dxa"/>
            <w:vAlign w:val="bottom"/>
          </w:tcPr>
          <w:p>
            <w:pPr>
              <w:ind w:left="360"/>
              <w:spacing w:after="0"/>
              <w:rPr>
                <w:sz w:val="20"/>
                <w:szCs w:val="20"/>
                <w:color w:val="auto"/>
              </w:rPr>
            </w:pPr>
            <w:r>
              <w:rPr>
                <w:rFonts w:ascii="Arial" w:cs="Arial" w:eastAsia="Arial" w:hAnsi="Arial"/>
                <w:sz w:val="18"/>
                <w:szCs w:val="18"/>
                <w:color w:val="auto"/>
              </w:rPr>
              <w:t>Video business services customers</w:t>
            </w:r>
          </w:p>
        </w:tc>
        <w:tc>
          <w:tcPr>
            <w:tcW w:w="3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1,030</w:t>
            </w:r>
          </w:p>
        </w:tc>
        <w:tc>
          <w:tcPr>
            <w:tcW w:w="580" w:type="dxa"/>
            <w:vAlign w:val="bottom"/>
          </w:tcPr>
          <w:p>
            <w:pPr>
              <w:spacing w:after="0"/>
              <w:rPr>
                <w:sz w:val="23"/>
                <w:szCs w:val="23"/>
                <w:color w:val="auto"/>
              </w:rPr>
            </w:pPr>
          </w:p>
        </w:tc>
        <w:tc>
          <w:tcPr>
            <w:tcW w:w="1160" w:type="dxa"/>
            <w:vAlign w:val="bottom"/>
          </w:tcPr>
          <w:p>
            <w:pPr>
              <w:jc w:val="right"/>
              <w:ind w:right="251"/>
              <w:spacing w:after="0"/>
              <w:rPr>
                <w:sz w:val="20"/>
                <w:szCs w:val="20"/>
                <w:color w:val="auto"/>
              </w:rPr>
            </w:pPr>
            <w:r>
              <w:rPr>
                <w:rFonts w:ascii="Arial" w:cs="Arial" w:eastAsia="Arial" w:hAnsi="Arial"/>
                <w:sz w:val="18"/>
                <w:szCs w:val="18"/>
                <w:color w:val="auto"/>
              </w:rPr>
              <w:t>978</w:t>
            </w:r>
          </w:p>
        </w:tc>
        <w:tc>
          <w:tcPr>
            <w:tcW w:w="1640" w:type="dxa"/>
            <w:vAlign w:val="bottom"/>
          </w:tcPr>
          <w:p>
            <w:pPr>
              <w:jc w:val="right"/>
              <w:ind w:right="454"/>
              <w:spacing w:after="0"/>
              <w:rPr>
                <w:sz w:val="20"/>
                <w:szCs w:val="20"/>
                <w:color w:val="auto"/>
              </w:rPr>
            </w:pPr>
            <w:r>
              <w:rPr>
                <w:rFonts w:ascii="Arial" w:cs="Arial" w:eastAsia="Arial" w:hAnsi="Arial"/>
                <w:sz w:val="18"/>
                <w:szCs w:val="18"/>
                <w:color w:val="auto"/>
              </w:rPr>
              <w:t>10</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16</w:t>
            </w:r>
          </w:p>
        </w:tc>
      </w:tr>
      <w:tr>
        <w:trPr>
          <w:trHeight w:val="270"/>
        </w:trPr>
        <w:tc>
          <w:tcPr>
            <w:tcW w:w="5420" w:type="dxa"/>
            <w:vAlign w:val="bottom"/>
          </w:tcPr>
          <w:p>
            <w:pPr>
              <w:ind w:left="40"/>
              <w:spacing w:after="0"/>
              <w:rPr>
                <w:sz w:val="20"/>
                <w:szCs w:val="20"/>
                <w:color w:val="auto"/>
              </w:rPr>
            </w:pPr>
            <w:r>
              <w:rPr>
                <w:rFonts w:ascii="Arial" w:cs="Arial" w:eastAsia="Arial" w:hAnsi="Arial"/>
                <w:sz w:val="18"/>
                <w:szCs w:val="18"/>
                <w:color w:val="auto"/>
              </w:rPr>
              <w:t>Total video customers</w:t>
            </w:r>
          </w:p>
        </w:tc>
        <w:tc>
          <w:tcPr>
            <w:tcW w:w="3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22,549</w:t>
            </w:r>
          </w:p>
        </w:tc>
        <w:tc>
          <w:tcPr>
            <w:tcW w:w="580" w:type="dxa"/>
            <w:vAlign w:val="bottom"/>
          </w:tcPr>
          <w:p>
            <w:pPr>
              <w:spacing w:after="0"/>
              <w:rPr>
                <w:sz w:val="23"/>
                <w:szCs w:val="23"/>
                <w:color w:val="auto"/>
              </w:rPr>
            </w:pPr>
          </w:p>
        </w:tc>
        <w:tc>
          <w:tcPr>
            <w:tcW w:w="1160" w:type="dxa"/>
            <w:vAlign w:val="bottom"/>
          </w:tcPr>
          <w:p>
            <w:pPr>
              <w:jc w:val="right"/>
              <w:ind w:right="251"/>
              <w:spacing w:after="0"/>
              <w:rPr>
                <w:sz w:val="20"/>
                <w:szCs w:val="20"/>
                <w:color w:val="auto"/>
              </w:rPr>
            </w:pPr>
            <w:r>
              <w:rPr>
                <w:rFonts w:ascii="Arial" w:cs="Arial" w:eastAsia="Arial" w:hAnsi="Arial"/>
                <w:sz w:val="18"/>
                <w:szCs w:val="18"/>
                <w:color w:val="auto"/>
              </w:rPr>
              <w:t>22,400</w:t>
            </w:r>
          </w:p>
        </w:tc>
        <w:tc>
          <w:tcPr>
            <w:tcW w:w="1640" w:type="dxa"/>
            <w:vAlign w:val="bottom"/>
          </w:tcPr>
          <w:p>
            <w:pPr>
              <w:jc w:val="right"/>
              <w:ind w:right="454"/>
              <w:spacing w:after="0"/>
              <w:rPr>
                <w:sz w:val="20"/>
                <w:szCs w:val="20"/>
                <w:color w:val="auto"/>
              </w:rPr>
            </w:pPr>
            <w:r>
              <w:rPr>
                <w:rFonts w:ascii="Arial" w:cs="Arial" w:eastAsia="Arial" w:hAnsi="Arial"/>
                <w:sz w:val="18"/>
                <w:szCs w:val="18"/>
                <w:color w:val="auto"/>
              </w:rPr>
              <w:t>42</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53</w:t>
            </w:r>
          </w:p>
        </w:tc>
      </w:tr>
      <w:tr>
        <w:trPr>
          <w:trHeight w:val="27"/>
        </w:trPr>
        <w:tc>
          <w:tcPr>
            <w:tcW w:w="5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420" w:type="dxa"/>
            <w:vAlign w:val="bottom"/>
          </w:tcPr>
          <w:p>
            <w:pPr>
              <w:ind w:left="40"/>
              <w:spacing w:after="0"/>
              <w:rPr>
                <w:sz w:val="20"/>
                <w:szCs w:val="20"/>
                <w:color w:val="auto"/>
              </w:rPr>
            </w:pPr>
            <w:r>
              <w:rPr>
                <w:rFonts w:ascii="Arial" w:cs="Arial" w:eastAsia="Arial" w:hAnsi="Arial"/>
                <w:sz w:val="18"/>
                <w:szCs w:val="18"/>
                <w:b w:val="1"/>
                <w:bCs w:val="1"/>
                <w:color w:val="auto"/>
              </w:rPr>
              <w:t>High-Speed Internet</w:t>
            </w: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0"/>
        </w:trPr>
        <w:tc>
          <w:tcPr>
            <w:tcW w:w="5420" w:type="dxa"/>
            <w:vAlign w:val="bottom"/>
          </w:tcPr>
          <w:p>
            <w:pPr>
              <w:ind w:left="360"/>
              <w:spacing w:after="0"/>
              <w:rPr>
                <w:sz w:val="20"/>
                <w:szCs w:val="20"/>
                <w:color w:val="auto"/>
              </w:rPr>
            </w:pPr>
            <w:r>
              <w:rPr>
                <w:rFonts w:ascii="Arial" w:cs="Arial" w:eastAsia="Arial" w:hAnsi="Arial"/>
                <w:sz w:val="18"/>
                <w:szCs w:val="18"/>
                <w:color w:val="auto"/>
              </w:rPr>
              <w:t>High-speed Internet residential customers</w:t>
            </w:r>
          </w:p>
        </w:tc>
        <w:tc>
          <w:tcPr>
            <w:tcW w:w="3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23,224</w:t>
            </w:r>
          </w:p>
        </w:tc>
        <w:tc>
          <w:tcPr>
            <w:tcW w:w="580" w:type="dxa"/>
            <w:vAlign w:val="bottom"/>
          </w:tcPr>
          <w:p>
            <w:pPr>
              <w:spacing w:after="0"/>
              <w:rPr>
                <w:sz w:val="23"/>
                <w:szCs w:val="23"/>
                <w:color w:val="auto"/>
              </w:rPr>
            </w:pPr>
          </w:p>
        </w:tc>
        <w:tc>
          <w:tcPr>
            <w:tcW w:w="1160" w:type="dxa"/>
            <w:vAlign w:val="bottom"/>
          </w:tcPr>
          <w:p>
            <w:pPr>
              <w:jc w:val="right"/>
              <w:ind w:right="251"/>
              <w:spacing w:after="0"/>
              <w:rPr>
                <w:sz w:val="20"/>
                <w:szCs w:val="20"/>
                <w:color w:val="auto"/>
              </w:rPr>
            </w:pPr>
            <w:r>
              <w:rPr>
                <w:rFonts w:ascii="Arial" w:cs="Arial" w:eastAsia="Arial" w:hAnsi="Arial"/>
                <w:sz w:val="18"/>
                <w:szCs w:val="18"/>
                <w:color w:val="auto"/>
              </w:rPr>
              <w:t>22,013</w:t>
            </w:r>
          </w:p>
        </w:tc>
        <w:tc>
          <w:tcPr>
            <w:tcW w:w="1640" w:type="dxa"/>
            <w:vAlign w:val="bottom"/>
          </w:tcPr>
          <w:p>
            <w:pPr>
              <w:jc w:val="right"/>
              <w:ind w:right="454"/>
              <w:spacing w:after="0"/>
              <w:rPr>
                <w:sz w:val="20"/>
                <w:szCs w:val="20"/>
                <w:color w:val="auto"/>
              </w:rPr>
            </w:pPr>
            <w:r>
              <w:rPr>
                <w:rFonts w:ascii="Arial" w:cs="Arial" w:eastAsia="Arial" w:hAnsi="Arial"/>
                <w:sz w:val="18"/>
                <w:szCs w:val="18"/>
                <w:color w:val="auto"/>
              </w:rPr>
              <w:t>397</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403</w:t>
            </w:r>
          </w:p>
        </w:tc>
      </w:tr>
      <w:tr>
        <w:trPr>
          <w:trHeight w:val="270"/>
        </w:trPr>
        <w:tc>
          <w:tcPr>
            <w:tcW w:w="5420" w:type="dxa"/>
            <w:vAlign w:val="bottom"/>
          </w:tcPr>
          <w:p>
            <w:pPr>
              <w:ind w:left="360"/>
              <w:spacing w:after="0"/>
              <w:rPr>
                <w:sz w:val="20"/>
                <w:szCs w:val="20"/>
                <w:color w:val="auto"/>
              </w:rPr>
            </w:pPr>
            <w:r>
              <w:rPr>
                <w:rFonts w:ascii="Arial" w:cs="Arial" w:eastAsia="Arial" w:hAnsi="Arial"/>
                <w:sz w:val="18"/>
                <w:szCs w:val="18"/>
                <w:color w:val="auto"/>
              </w:rPr>
              <w:t>High-speed Internet business services customers</w:t>
            </w:r>
          </w:p>
        </w:tc>
        <w:tc>
          <w:tcPr>
            <w:tcW w:w="3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1,907</w:t>
            </w:r>
          </w:p>
        </w:tc>
        <w:tc>
          <w:tcPr>
            <w:tcW w:w="580" w:type="dxa"/>
            <w:vAlign w:val="bottom"/>
          </w:tcPr>
          <w:p>
            <w:pPr>
              <w:spacing w:after="0"/>
              <w:rPr>
                <w:sz w:val="23"/>
                <w:szCs w:val="23"/>
                <w:color w:val="auto"/>
              </w:rPr>
            </w:pPr>
          </w:p>
        </w:tc>
        <w:tc>
          <w:tcPr>
            <w:tcW w:w="1160" w:type="dxa"/>
            <w:vAlign w:val="bottom"/>
          </w:tcPr>
          <w:p>
            <w:pPr>
              <w:jc w:val="right"/>
              <w:ind w:right="251"/>
              <w:spacing w:after="0"/>
              <w:rPr>
                <w:sz w:val="20"/>
                <w:szCs w:val="20"/>
                <w:color w:val="auto"/>
              </w:rPr>
            </w:pPr>
            <w:r>
              <w:rPr>
                <w:rFonts w:ascii="Arial" w:cs="Arial" w:eastAsia="Arial" w:hAnsi="Arial"/>
                <w:sz w:val="18"/>
                <w:szCs w:val="18"/>
                <w:color w:val="auto"/>
              </w:rPr>
              <w:t>1,754</w:t>
            </w:r>
          </w:p>
        </w:tc>
        <w:tc>
          <w:tcPr>
            <w:tcW w:w="1640" w:type="dxa"/>
            <w:vAlign w:val="bottom"/>
          </w:tcPr>
          <w:p>
            <w:pPr>
              <w:jc w:val="right"/>
              <w:ind w:right="454"/>
              <w:spacing w:after="0"/>
              <w:rPr>
                <w:sz w:val="20"/>
                <w:szCs w:val="20"/>
                <w:color w:val="auto"/>
              </w:rPr>
            </w:pPr>
            <w:r>
              <w:rPr>
                <w:rFonts w:ascii="Arial" w:cs="Arial" w:eastAsia="Arial" w:hAnsi="Arial"/>
                <w:sz w:val="18"/>
                <w:szCs w:val="18"/>
                <w:color w:val="auto"/>
              </w:rPr>
              <w:t>32</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35</w:t>
            </w:r>
          </w:p>
        </w:tc>
      </w:tr>
      <w:tr>
        <w:trPr>
          <w:trHeight w:val="270"/>
        </w:trPr>
        <w:tc>
          <w:tcPr>
            <w:tcW w:w="5420" w:type="dxa"/>
            <w:vAlign w:val="bottom"/>
          </w:tcPr>
          <w:p>
            <w:pPr>
              <w:ind w:left="40"/>
              <w:spacing w:after="0"/>
              <w:rPr>
                <w:sz w:val="20"/>
                <w:szCs w:val="20"/>
                <w:color w:val="auto"/>
              </w:rPr>
            </w:pPr>
            <w:r>
              <w:rPr>
                <w:rFonts w:ascii="Arial" w:cs="Arial" w:eastAsia="Arial" w:hAnsi="Arial"/>
                <w:sz w:val="18"/>
                <w:szCs w:val="18"/>
                <w:color w:val="auto"/>
              </w:rPr>
              <w:t>Total high-speed Internet customers</w:t>
            </w:r>
          </w:p>
        </w:tc>
        <w:tc>
          <w:tcPr>
            <w:tcW w:w="3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25,131</w:t>
            </w:r>
          </w:p>
        </w:tc>
        <w:tc>
          <w:tcPr>
            <w:tcW w:w="580" w:type="dxa"/>
            <w:vAlign w:val="bottom"/>
          </w:tcPr>
          <w:p>
            <w:pPr>
              <w:spacing w:after="0"/>
              <w:rPr>
                <w:sz w:val="23"/>
                <w:szCs w:val="23"/>
                <w:color w:val="auto"/>
              </w:rPr>
            </w:pPr>
          </w:p>
        </w:tc>
        <w:tc>
          <w:tcPr>
            <w:tcW w:w="1160" w:type="dxa"/>
            <w:vAlign w:val="bottom"/>
          </w:tcPr>
          <w:p>
            <w:pPr>
              <w:jc w:val="right"/>
              <w:ind w:right="251"/>
              <w:spacing w:after="0"/>
              <w:rPr>
                <w:sz w:val="20"/>
                <w:szCs w:val="20"/>
                <w:color w:val="auto"/>
              </w:rPr>
            </w:pPr>
            <w:r>
              <w:rPr>
                <w:rFonts w:ascii="Arial" w:cs="Arial" w:eastAsia="Arial" w:hAnsi="Arial"/>
                <w:sz w:val="18"/>
                <w:szCs w:val="18"/>
                <w:color w:val="auto"/>
              </w:rPr>
              <w:t>23,767</w:t>
            </w:r>
          </w:p>
        </w:tc>
        <w:tc>
          <w:tcPr>
            <w:tcW w:w="1640" w:type="dxa"/>
            <w:vAlign w:val="bottom"/>
          </w:tcPr>
          <w:p>
            <w:pPr>
              <w:jc w:val="right"/>
              <w:ind w:right="454"/>
              <w:spacing w:after="0"/>
              <w:rPr>
                <w:sz w:val="20"/>
                <w:szCs w:val="20"/>
                <w:color w:val="auto"/>
              </w:rPr>
            </w:pPr>
            <w:r>
              <w:rPr>
                <w:rFonts w:ascii="Arial" w:cs="Arial" w:eastAsia="Arial" w:hAnsi="Arial"/>
                <w:sz w:val="18"/>
                <w:szCs w:val="18"/>
                <w:color w:val="auto"/>
              </w:rPr>
              <w:t>429</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438</w:t>
            </w:r>
          </w:p>
        </w:tc>
      </w:tr>
      <w:tr>
        <w:trPr>
          <w:trHeight w:val="27"/>
        </w:trPr>
        <w:tc>
          <w:tcPr>
            <w:tcW w:w="5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420" w:type="dxa"/>
            <w:vAlign w:val="bottom"/>
          </w:tcPr>
          <w:p>
            <w:pPr>
              <w:ind w:left="40"/>
              <w:spacing w:after="0"/>
              <w:rPr>
                <w:sz w:val="20"/>
                <w:szCs w:val="20"/>
                <w:color w:val="auto"/>
              </w:rPr>
            </w:pPr>
            <w:r>
              <w:rPr>
                <w:rFonts w:ascii="Arial" w:cs="Arial" w:eastAsia="Arial" w:hAnsi="Arial"/>
                <w:sz w:val="18"/>
                <w:szCs w:val="18"/>
                <w:b w:val="1"/>
                <w:bCs w:val="1"/>
                <w:color w:val="auto"/>
              </w:rPr>
              <w:t>Voice</w:t>
            </w: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0"/>
        </w:trPr>
        <w:tc>
          <w:tcPr>
            <w:tcW w:w="5420" w:type="dxa"/>
            <w:vAlign w:val="bottom"/>
          </w:tcPr>
          <w:p>
            <w:pPr>
              <w:ind w:left="360"/>
              <w:spacing w:after="0"/>
              <w:rPr>
                <w:sz w:val="20"/>
                <w:szCs w:val="20"/>
                <w:color w:val="auto"/>
              </w:rPr>
            </w:pPr>
            <w:r>
              <w:rPr>
                <w:rFonts w:ascii="Arial" w:cs="Arial" w:eastAsia="Arial" w:hAnsi="Arial"/>
                <w:sz w:val="18"/>
                <w:szCs w:val="18"/>
                <w:color w:val="auto"/>
              </w:rPr>
              <w:t>Voice residential customers</w:t>
            </w:r>
          </w:p>
        </w:tc>
        <w:tc>
          <w:tcPr>
            <w:tcW w:w="3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10,520</w:t>
            </w:r>
          </w:p>
        </w:tc>
        <w:tc>
          <w:tcPr>
            <w:tcW w:w="580" w:type="dxa"/>
            <w:vAlign w:val="bottom"/>
          </w:tcPr>
          <w:p>
            <w:pPr>
              <w:spacing w:after="0"/>
              <w:rPr>
                <w:sz w:val="23"/>
                <w:szCs w:val="23"/>
                <w:color w:val="auto"/>
              </w:rPr>
            </w:pPr>
          </w:p>
        </w:tc>
        <w:tc>
          <w:tcPr>
            <w:tcW w:w="1160" w:type="dxa"/>
            <w:vAlign w:val="bottom"/>
          </w:tcPr>
          <w:p>
            <w:pPr>
              <w:jc w:val="right"/>
              <w:ind w:right="251"/>
              <w:spacing w:after="0"/>
              <w:rPr>
                <w:sz w:val="20"/>
                <w:szCs w:val="20"/>
                <w:color w:val="auto"/>
              </w:rPr>
            </w:pPr>
            <w:r>
              <w:rPr>
                <w:rFonts w:ascii="Arial" w:cs="Arial" w:eastAsia="Arial" w:hAnsi="Arial"/>
                <w:sz w:val="18"/>
                <w:szCs w:val="18"/>
                <w:color w:val="auto"/>
              </w:rPr>
              <w:t>10,516</w:t>
            </w:r>
          </w:p>
        </w:tc>
        <w:tc>
          <w:tcPr>
            <w:tcW w:w="1640" w:type="dxa"/>
            <w:vAlign w:val="bottom"/>
          </w:tcPr>
          <w:p>
            <w:pPr>
              <w:jc w:val="right"/>
              <w:ind w:right="394"/>
              <w:spacing w:after="0"/>
              <w:rPr>
                <w:sz w:val="20"/>
                <w:szCs w:val="20"/>
                <w:color w:val="auto"/>
              </w:rPr>
            </w:pPr>
            <w:r>
              <w:rPr>
                <w:rFonts w:ascii="Arial" w:cs="Arial" w:eastAsia="Arial" w:hAnsi="Arial"/>
                <w:sz w:val="18"/>
                <w:szCs w:val="18"/>
                <w:color w:val="auto"/>
              </w:rPr>
              <w:t>(27)</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80</w:t>
            </w:r>
          </w:p>
        </w:tc>
      </w:tr>
      <w:tr>
        <w:trPr>
          <w:trHeight w:val="270"/>
        </w:trPr>
        <w:tc>
          <w:tcPr>
            <w:tcW w:w="5420" w:type="dxa"/>
            <w:vAlign w:val="bottom"/>
          </w:tcPr>
          <w:p>
            <w:pPr>
              <w:ind w:left="360"/>
              <w:spacing w:after="0"/>
              <w:rPr>
                <w:sz w:val="20"/>
                <w:szCs w:val="20"/>
                <w:color w:val="auto"/>
              </w:rPr>
            </w:pPr>
            <w:r>
              <w:rPr>
                <w:rFonts w:ascii="Arial" w:cs="Arial" w:eastAsia="Arial" w:hAnsi="Arial"/>
                <w:sz w:val="18"/>
                <w:szCs w:val="18"/>
                <w:color w:val="auto"/>
              </w:rPr>
              <w:t>Voice business services customers</w:t>
            </w:r>
          </w:p>
        </w:tc>
        <w:tc>
          <w:tcPr>
            <w:tcW w:w="3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1,162</w:t>
            </w:r>
          </w:p>
        </w:tc>
        <w:tc>
          <w:tcPr>
            <w:tcW w:w="580" w:type="dxa"/>
            <w:vAlign w:val="bottom"/>
          </w:tcPr>
          <w:p>
            <w:pPr>
              <w:spacing w:after="0"/>
              <w:rPr>
                <w:sz w:val="23"/>
                <w:szCs w:val="23"/>
                <w:color w:val="auto"/>
              </w:rPr>
            </w:pPr>
          </w:p>
        </w:tc>
        <w:tc>
          <w:tcPr>
            <w:tcW w:w="1160" w:type="dxa"/>
            <w:vAlign w:val="bottom"/>
          </w:tcPr>
          <w:p>
            <w:pPr>
              <w:jc w:val="right"/>
              <w:ind w:right="251"/>
              <w:spacing w:after="0"/>
              <w:rPr>
                <w:sz w:val="20"/>
                <w:szCs w:val="20"/>
                <w:color w:val="auto"/>
              </w:rPr>
            </w:pPr>
            <w:r>
              <w:rPr>
                <w:rFonts w:ascii="Arial" w:cs="Arial" w:eastAsia="Arial" w:hAnsi="Arial"/>
                <w:sz w:val="18"/>
                <w:szCs w:val="18"/>
                <w:color w:val="auto"/>
              </w:rPr>
              <w:t>1,061</w:t>
            </w:r>
          </w:p>
        </w:tc>
        <w:tc>
          <w:tcPr>
            <w:tcW w:w="1640" w:type="dxa"/>
            <w:vAlign w:val="bottom"/>
          </w:tcPr>
          <w:p>
            <w:pPr>
              <w:jc w:val="right"/>
              <w:ind w:right="454"/>
              <w:spacing w:after="0"/>
              <w:rPr>
                <w:sz w:val="20"/>
                <w:szCs w:val="20"/>
                <w:color w:val="auto"/>
              </w:rPr>
            </w:pPr>
            <w:r>
              <w:rPr>
                <w:rFonts w:ascii="Arial" w:cs="Arial" w:eastAsia="Arial" w:hAnsi="Arial"/>
                <w:sz w:val="18"/>
                <w:szCs w:val="18"/>
                <w:color w:val="auto"/>
              </w:rPr>
              <w:t>22</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22</w:t>
            </w:r>
          </w:p>
        </w:tc>
      </w:tr>
      <w:tr>
        <w:trPr>
          <w:trHeight w:val="270"/>
        </w:trPr>
        <w:tc>
          <w:tcPr>
            <w:tcW w:w="5420" w:type="dxa"/>
            <w:vAlign w:val="bottom"/>
          </w:tcPr>
          <w:p>
            <w:pPr>
              <w:ind w:left="40"/>
              <w:spacing w:after="0"/>
              <w:rPr>
                <w:sz w:val="20"/>
                <w:szCs w:val="20"/>
                <w:color w:val="auto"/>
              </w:rPr>
            </w:pPr>
            <w:r>
              <w:rPr>
                <w:rFonts w:ascii="Arial" w:cs="Arial" w:eastAsia="Arial" w:hAnsi="Arial"/>
                <w:sz w:val="18"/>
                <w:szCs w:val="18"/>
                <w:color w:val="auto"/>
              </w:rPr>
              <w:t>Total voice customers</w:t>
            </w:r>
          </w:p>
        </w:tc>
        <w:tc>
          <w:tcPr>
            <w:tcW w:w="3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11,681</w:t>
            </w:r>
          </w:p>
        </w:tc>
        <w:tc>
          <w:tcPr>
            <w:tcW w:w="580" w:type="dxa"/>
            <w:vAlign w:val="bottom"/>
          </w:tcPr>
          <w:p>
            <w:pPr>
              <w:spacing w:after="0"/>
              <w:rPr>
                <w:sz w:val="23"/>
                <w:szCs w:val="23"/>
                <w:color w:val="auto"/>
              </w:rPr>
            </w:pPr>
          </w:p>
        </w:tc>
        <w:tc>
          <w:tcPr>
            <w:tcW w:w="1160" w:type="dxa"/>
            <w:vAlign w:val="bottom"/>
          </w:tcPr>
          <w:p>
            <w:pPr>
              <w:jc w:val="right"/>
              <w:ind w:right="251"/>
              <w:spacing w:after="0"/>
              <w:rPr>
                <w:sz w:val="20"/>
                <w:szCs w:val="20"/>
                <w:color w:val="auto"/>
              </w:rPr>
            </w:pPr>
            <w:r>
              <w:rPr>
                <w:rFonts w:ascii="Arial" w:cs="Arial" w:eastAsia="Arial" w:hAnsi="Arial"/>
                <w:sz w:val="18"/>
                <w:szCs w:val="18"/>
                <w:color w:val="auto"/>
              </w:rPr>
              <w:t>11,577</w:t>
            </w:r>
          </w:p>
        </w:tc>
        <w:tc>
          <w:tcPr>
            <w:tcW w:w="1640" w:type="dxa"/>
            <w:vAlign w:val="bottom"/>
          </w:tcPr>
          <w:p>
            <w:pPr>
              <w:jc w:val="right"/>
              <w:ind w:right="394"/>
              <w:spacing w:after="0"/>
              <w:rPr>
                <w:sz w:val="20"/>
                <w:szCs w:val="20"/>
                <w:color w:val="auto"/>
              </w:rPr>
            </w:pPr>
            <w:r>
              <w:rPr>
                <w:rFonts w:ascii="Arial" w:cs="Arial" w:eastAsia="Arial" w:hAnsi="Arial"/>
                <w:sz w:val="18"/>
                <w:szCs w:val="18"/>
                <w:color w:val="auto"/>
              </w:rPr>
              <w:t>(5)</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102</w:t>
            </w:r>
          </w:p>
        </w:tc>
      </w:tr>
      <w:tr>
        <w:trPr>
          <w:trHeight w:val="27"/>
        </w:trPr>
        <w:tc>
          <w:tcPr>
            <w:tcW w:w="5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420" w:type="dxa"/>
            <w:vAlign w:val="bottom"/>
          </w:tcPr>
          <w:p>
            <w:pPr>
              <w:ind w:left="40"/>
              <w:spacing w:after="0"/>
              <w:rPr>
                <w:sz w:val="20"/>
                <w:szCs w:val="20"/>
                <w:color w:val="auto"/>
              </w:rPr>
            </w:pPr>
            <w:r>
              <w:rPr>
                <w:rFonts w:ascii="Arial" w:cs="Arial" w:eastAsia="Arial" w:hAnsi="Arial"/>
                <w:sz w:val="18"/>
                <w:szCs w:val="18"/>
                <w:b w:val="1"/>
                <w:bCs w:val="1"/>
                <w:color w:val="auto"/>
              </w:rPr>
              <w:t>Security and Automation</w:t>
            </w: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0"/>
        </w:trPr>
        <w:tc>
          <w:tcPr>
            <w:tcW w:w="5420" w:type="dxa"/>
            <w:vAlign w:val="bottom"/>
          </w:tcPr>
          <w:p>
            <w:pPr>
              <w:ind w:left="40"/>
              <w:spacing w:after="0"/>
              <w:rPr>
                <w:sz w:val="20"/>
                <w:szCs w:val="20"/>
                <w:color w:val="auto"/>
              </w:rPr>
            </w:pPr>
            <w:r>
              <w:rPr>
                <w:rFonts w:ascii="Arial" w:cs="Arial" w:eastAsia="Arial" w:hAnsi="Arial"/>
                <w:sz w:val="18"/>
                <w:szCs w:val="18"/>
                <w:color w:val="auto"/>
              </w:rPr>
              <w:t>Security and automation customers</w:t>
            </w:r>
          </w:p>
        </w:tc>
        <w:tc>
          <w:tcPr>
            <w:tcW w:w="3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957</w:t>
            </w:r>
          </w:p>
        </w:tc>
        <w:tc>
          <w:tcPr>
            <w:tcW w:w="580" w:type="dxa"/>
            <w:vAlign w:val="bottom"/>
          </w:tcPr>
          <w:p>
            <w:pPr>
              <w:spacing w:after="0"/>
              <w:rPr>
                <w:sz w:val="23"/>
                <w:szCs w:val="23"/>
                <w:color w:val="auto"/>
              </w:rPr>
            </w:pPr>
          </w:p>
        </w:tc>
        <w:tc>
          <w:tcPr>
            <w:tcW w:w="1160" w:type="dxa"/>
            <w:vAlign w:val="bottom"/>
          </w:tcPr>
          <w:p>
            <w:pPr>
              <w:jc w:val="right"/>
              <w:ind w:right="251"/>
              <w:spacing w:after="0"/>
              <w:rPr>
                <w:sz w:val="20"/>
                <w:szCs w:val="20"/>
                <w:color w:val="auto"/>
              </w:rPr>
            </w:pPr>
            <w:r>
              <w:rPr>
                <w:rFonts w:ascii="Arial" w:cs="Arial" w:eastAsia="Arial" w:hAnsi="Arial"/>
                <w:sz w:val="18"/>
                <w:szCs w:val="18"/>
                <w:color w:val="auto"/>
              </w:rPr>
              <w:t>668</w:t>
            </w:r>
          </w:p>
        </w:tc>
        <w:tc>
          <w:tcPr>
            <w:tcW w:w="1640" w:type="dxa"/>
            <w:vAlign w:val="bottom"/>
          </w:tcPr>
          <w:p>
            <w:pPr>
              <w:jc w:val="right"/>
              <w:ind w:right="454"/>
              <w:spacing w:after="0"/>
              <w:rPr>
                <w:sz w:val="20"/>
                <w:szCs w:val="20"/>
                <w:color w:val="auto"/>
              </w:rPr>
            </w:pPr>
            <w:r>
              <w:rPr>
                <w:rFonts w:ascii="Arial" w:cs="Arial" w:eastAsia="Arial" w:hAnsi="Arial"/>
                <w:sz w:val="18"/>
                <w:szCs w:val="18"/>
                <w:color w:val="auto"/>
              </w:rPr>
              <w:t>66</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56</w:t>
            </w:r>
          </w:p>
        </w:tc>
      </w:tr>
      <w:tr>
        <w:trPr>
          <w:trHeight w:val="27"/>
        </w:trPr>
        <w:tc>
          <w:tcPr>
            <w:tcW w:w="5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534"/>
        </w:trPr>
        <w:tc>
          <w:tcPr>
            <w:tcW w:w="5420" w:type="dxa"/>
            <w:vAlign w:val="bottom"/>
          </w:tcPr>
          <w:p>
            <w:pPr>
              <w:ind w:left="40"/>
              <w:spacing w:after="0"/>
              <w:rPr>
                <w:sz w:val="20"/>
                <w:szCs w:val="20"/>
                <w:color w:val="auto"/>
              </w:rPr>
            </w:pPr>
            <w:r>
              <w:rPr>
                <w:rFonts w:ascii="Arial" w:cs="Arial" w:eastAsia="Arial" w:hAnsi="Arial"/>
                <w:sz w:val="18"/>
                <w:szCs w:val="18"/>
                <w:b w:val="1"/>
                <w:bCs w:val="1"/>
                <w:color w:val="auto"/>
              </w:rPr>
              <w:t>Customer Relationships</w:t>
            </w: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0"/>
        </w:trPr>
        <w:tc>
          <w:tcPr>
            <w:tcW w:w="5420" w:type="dxa"/>
            <w:vAlign w:val="bottom"/>
          </w:tcPr>
          <w:p>
            <w:pPr>
              <w:ind w:left="380"/>
              <w:spacing w:after="0"/>
              <w:rPr>
                <w:sz w:val="20"/>
                <w:szCs w:val="20"/>
                <w:color w:val="auto"/>
              </w:rPr>
            </w:pPr>
            <w:r>
              <w:rPr>
                <w:rFonts w:ascii="Arial" w:cs="Arial" w:eastAsia="Arial" w:hAnsi="Arial"/>
                <w:sz w:val="18"/>
                <w:szCs w:val="18"/>
                <w:color w:val="auto"/>
              </w:rPr>
              <w:t>Residential customer relationships</w:t>
            </w:r>
          </w:p>
        </w:tc>
        <w:tc>
          <w:tcPr>
            <w:tcW w:w="3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26,797</w:t>
            </w:r>
          </w:p>
        </w:tc>
        <w:tc>
          <w:tcPr>
            <w:tcW w:w="580" w:type="dxa"/>
            <w:vAlign w:val="bottom"/>
          </w:tcPr>
          <w:p>
            <w:pPr>
              <w:spacing w:after="0"/>
              <w:rPr>
                <w:sz w:val="23"/>
                <w:szCs w:val="23"/>
                <w:color w:val="auto"/>
              </w:rPr>
            </w:pPr>
          </w:p>
        </w:tc>
        <w:tc>
          <w:tcPr>
            <w:tcW w:w="1160" w:type="dxa"/>
            <w:vAlign w:val="bottom"/>
          </w:tcPr>
          <w:p>
            <w:pPr>
              <w:jc w:val="right"/>
              <w:ind w:right="251"/>
              <w:spacing w:after="0"/>
              <w:rPr>
                <w:sz w:val="20"/>
                <w:szCs w:val="20"/>
                <w:color w:val="auto"/>
              </w:rPr>
            </w:pPr>
            <w:r>
              <w:rPr>
                <w:rFonts w:ascii="Arial" w:cs="Arial" w:eastAsia="Arial" w:hAnsi="Arial"/>
                <w:sz w:val="18"/>
                <w:szCs w:val="18"/>
                <w:color w:val="auto"/>
              </w:rPr>
              <w:t>26,065</w:t>
            </w:r>
          </w:p>
        </w:tc>
        <w:tc>
          <w:tcPr>
            <w:tcW w:w="1640" w:type="dxa"/>
            <w:vAlign w:val="bottom"/>
          </w:tcPr>
          <w:p>
            <w:pPr>
              <w:jc w:val="right"/>
              <w:ind w:right="454"/>
              <w:spacing w:after="0"/>
              <w:rPr>
                <w:sz w:val="20"/>
                <w:szCs w:val="20"/>
                <w:color w:val="auto"/>
              </w:rPr>
            </w:pPr>
            <w:r>
              <w:rPr>
                <w:rFonts w:ascii="Arial" w:cs="Arial" w:eastAsia="Arial" w:hAnsi="Arial"/>
                <w:sz w:val="18"/>
                <w:szCs w:val="18"/>
                <w:color w:val="auto"/>
              </w:rPr>
              <w:t>263</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237</w:t>
            </w:r>
          </w:p>
        </w:tc>
      </w:tr>
      <w:tr>
        <w:trPr>
          <w:trHeight w:val="270"/>
        </w:trPr>
        <w:tc>
          <w:tcPr>
            <w:tcW w:w="5420" w:type="dxa"/>
            <w:vAlign w:val="bottom"/>
          </w:tcPr>
          <w:p>
            <w:pPr>
              <w:ind w:left="360"/>
              <w:spacing w:after="0"/>
              <w:rPr>
                <w:sz w:val="20"/>
                <w:szCs w:val="20"/>
                <w:color w:val="auto"/>
              </w:rPr>
            </w:pPr>
            <w:r>
              <w:rPr>
                <w:rFonts w:ascii="Arial" w:cs="Arial" w:eastAsia="Arial" w:hAnsi="Arial"/>
                <w:sz w:val="18"/>
                <w:szCs w:val="18"/>
                <w:color w:val="auto"/>
              </w:rPr>
              <w:t>Business services customer relationships</w:t>
            </w:r>
          </w:p>
        </w:tc>
        <w:tc>
          <w:tcPr>
            <w:tcW w:w="3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2,078</w:t>
            </w:r>
          </w:p>
        </w:tc>
        <w:tc>
          <w:tcPr>
            <w:tcW w:w="580" w:type="dxa"/>
            <w:vAlign w:val="bottom"/>
          </w:tcPr>
          <w:p>
            <w:pPr>
              <w:spacing w:after="0"/>
              <w:rPr>
                <w:sz w:val="23"/>
                <w:szCs w:val="23"/>
                <w:color w:val="auto"/>
              </w:rPr>
            </w:pPr>
          </w:p>
        </w:tc>
        <w:tc>
          <w:tcPr>
            <w:tcW w:w="1160" w:type="dxa"/>
            <w:vAlign w:val="bottom"/>
          </w:tcPr>
          <w:p>
            <w:pPr>
              <w:jc w:val="right"/>
              <w:ind w:right="251"/>
              <w:spacing w:after="0"/>
              <w:rPr>
                <w:sz w:val="20"/>
                <w:szCs w:val="20"/>
                <w:color w:val="auto"/>
              </w:rPr>
            </w:pPr>
            <w:r>
              <w:rPr>
                <w:rFonts w:ascii="Arial" w:cs="Arial" w:eastAsia="Arial" w:hAnsi="Arial"/>
                <w:sz w:val="18"/>
                <w:szCs w:val="18"/>
                <w:color w:val="auto"/>
              </w:rPr>
              <w:t>1,921</w:t>
            </w:r>
          </w:p>
        </w:tc>
        <w:tc>
          <w:tcPr>
            <w:tcW w:w="1640" w:type="dxa"/>
            <w:vAlign w:val="bottom"/>
          </w:tcPr>
          <w:p>
            <w:pPr>
              <w:jc w:val="right"/>
              <w:ind w:right="454"/>
              <w:spacing w:after="0"/>
              <w:rPr>
                <w:sz w:val="20"/>
                <w:szCs w:val="20"/>
                <w:color w:val="auto"/>
              </w:rPr>
            </w:pPr>
            <w:r>
              <w:rPr>
                <w:rFonts w:ascii="Arial" w:cs="Arial" w:eastAsia="Arial" w:hAnsi="Arial"/>
                <w:sz w:val="18"/>
                <w:szCs w:val="18"/>
                <w:color w:val="auto"/>
              </w:rPr>
              <w:t>34</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34</w:t>
            </w:r>
          </w:p>
        </w:tc>
      </w:tr>
      <w:tr>
        <w:trPr>
          <w:trHeight w:val="270"/>
        </w:trPr>
        <w:tc>
          <w:tcPr>
            <w:tcW w:w="5420" w:type="dxa"/>
            <w:vAlign w:val="bottom"/>
          </w:tcPr>
          <w:p>
            <w:pPr>
              <w:ind w:left="40"/>
              <w:spacing w:after="0"/>
              <w:rPr>
                <w:sz w:val="20"/>
                <w:szCs w:val="20"/>
                <w:color w:val="auto"/>
              </w:rPr>
            </w:pPr>
            <w:r>
              <w:rPr>
                <w:rFonts w:ascii="Arial" w:cs="Arial" w:eastAsia="Arial" w:hAnsi="Arial"/>
                <w:sz w:val="18"/>
                <w:szCs w:val="18"/>
                <w:color w:val="auto"/>
              </w:rPr>
              <w:t>Total customer relationships</w:t>
            </w:r>
          </w:p>
        </w:tc>
        <w:tc>
          <w:tcPr>
            <w:tcW w:w="3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28,875</w:t>
            </w:r>
          </w:p>
        </w:tc>
        <w:tc>
          <w:tcPr>
            <w:tcW w:w="580" w:type="dxa"/>
            <w:vAlign w:val="bottom"/>
          </w:tcPr>
          <w:p>
            <w:pPr>
              <w:spacing w:after="0"/>
              <w:rPr>
                <w:sz w:val="23"/>
                <w:szCs w:val="23"/>
                <w:color w:val="auto"/>
              </w:rPr>
            </w:pPr>
          </w:p>
        </w:tc>
        <w:tc>
          <w:tcPr>
            <w:tcW w:w="1160" w:type="dxa"/>
            <w:vAlign w:val="bottom"/>
          </w:tcPr>
          <w:p>
            <w:pPr>
              <w:jc w:val="right"/>
              <w:ind w:right="251"/>
              <w:spacing w:after="0"/>
              <w:rPr>
                <w:sz w:val="20"/>
                <w:szCs w:val="20"/>
                <w:color w:val="auto"/>
              </w:rPr>
            </w:pPr>
            <w:r>
              <w:rPr>
                <w:rFonts w:ascii="Arial" w:cs="Arial" w:eastAsia="Arial" w:hAnsi="Arial"/>
                <w:sz w:val="18"/>
                <w:szCs w:val="18"/>
                <w:color w:val="auto"/>
              </w:rPr>
              <w:t>27,986</w:t>
            </w:r>
          </w:p>
        </w:tc>
        <w:tc>
          <w:tcPr>
            <w:tcW w:w="1640" w:type="dxa"/>
            <w:vAlign w:val="bottom"/>
          </w:tcPr>
          <w:p>
            <w:pPr>
              <w:jc w:val="right"/>
              <w:ind w:right="454"/>
              <w:spacing w:after="0"/>
              <w:rPr>
                <w:sz w:val="20"/>
                <w:szCs w:val="20"/>
                <w:color w:val="auto"/>
              </w:rPr>
            </w:pPr>
            <w:r>
              <w:rPr>
                <w:rFonts w:ascii="Arial" w:cs="Arial" w:eastAsia="Arial" w:hAnsi="Arial"/>
                <w:sz w:val="18"/>
                <w:szCs w:val="18"/>
                <w:color w:val="auto"/>
              </w:rPr>
              <w:t>297</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271</w:t>
            </w:r>
          </w:p>
        </w:tc>
      </w:tr>
      <w:tr>
        <w:trPr>
          <w:trHeight w:val="27"/>
        </w:trPr>
        <w:tc>
          <w:tcPr>
            <w:tcW w:w="5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420" w:type="dxa"/>
            <w:vAlign w:val="bottom"/>
          </w:tcPr>
          <w:p>
            <w:pPr>
              <w:ind w:left="40"/>
              <w:spacing w:after="0"/>
              <w:rPr>
                <w:sz w:val="20"/>
                <w:szCs w:val="20"/>
                <w:color w:val="auto"/>
              </w:rPr>
            </w:pPr>
            <w:r>
              <w:rPr>
                <w:rFonts w:ascii="Arial" w:cs="Arial" w:eastAsia="Arial" w:hAnsi="Arial"/>
                <w:sz w:val="18"/>
                <w:szCs w:val="18"/>
                <w:color w:val="auto"/>
              </w:rPr>
              <w:t>Residential customer relationships mix</w:t>
            </w: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0"/>
        </w:trPr>
        <w:tc>
          <w:tcPr>
            <w:tcW w:w="5420" w:type="dxa"/>
            <w:vAlign w:val="bottom"/>
          </w:tcPr>
          <w:p>
            <w:pPr>
              <w:ind w:left="380"/>
              <w:spacing w:after="0"/>
              <w:rPr>
                <w:sz w:val="20"/>
                <w:szCs w:val="20"/>
                <w:color w:val="auto"/>
              </w:rPr>
            </w:pPr>
            <w:r>
              <w:rPr>
                <w:rFonts w:ascii="Arial" w:cs="Arial" w:eastAsia="Arial" w:hAnsi="Arial"/>
                <w:sz w:val="18"/>
                <w:szCs w:val="18"/>
                <w:color w:val="auto"/>
              </w:rPr>
              <w:t>Single product customers</w:t>
            </w:r>
          </w:p>
        </w:tc>
        <w:tc>
          <w:tcPr>
            <w:tcW w:w="3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7,861</w:t>
            </w:r>
          </w:p>
        </w:tc>
        <w:tc>
          <w:tcPr>
            <w:tcW w:w="580" w:type="dxa"/>
            <w:vAlign w:val="bottom"/>
          </w:tcPr>
          <w:p>
            <w:pPr>
              <w:spacing w:after="0"/>
              <w:rPr>
                <w:sz w:val="23"/>
                <w:szCs w:val="23"/>
                <w:color w:val="auto"/>
              </w:rPr>
            </w:pPr>
          </w:p>
        </w:tc>
        <w:tc>
          <w:tcPr>
            <w:tcW w:w="1160" w:type="dxa"/>
            <w:vAlign w:val="bottom"/>
          </w:tcPr>
          <w:p>
            <w:pPr>
              <w:jc w:val="right"/>
              <w:ind w:right="251"/>
              <w:spacing w:after="0"/>
              <w:rPr>
                <w:sz w:val="20"/>
                <w:szCs w:val="20"/>
                <w:color w:val="auto"/>
              </w:rPr>
            </w:pPr>
            <w:r>
              <w:rPr>
                <w:rFonts w:ascii="Arial" w:cs="Arial" w:eastAsia="Arial" w:hAnsi="Arial"/>
                <w:sz w:val="18"/>
                <w:szCs w:val="18"/>
                <w:color w:val="auto"/>
              </w:rPr>
              <w:t>7,681</w:t>
            </w:r>
          </w:p>
        </w:tc>
        <w:tc>
          <w:tcPr>
            <w:tcW w:w="1640" w:type="dxa"/>
            <w:vAlign w:val="bottom"/>
          </w:tcPr>
          <w:p>
            <w:pPr>
              <w:jc w:val="right"/>
              <w:ind w:right="454"/>
              <w:spacing w:after="0"/>
              <w:rPr>
                <w:sz w:val="20"/>
                <w:szCs w:val="20"/>
                <w:color w:val="auto"/>
              </w:rPr>
            </w:pPr>
            <w:r>
              <w:rPr>
                <w:rFonts w:ascii="Arial" w:cs="Arial" w:eastAsia="Arial" w:hAnsi="Arial"/>
                <w:sz w:val="18"/>
                <w:szCs w:val="18"/>
                <w:color w:val="auto"/>
              </w:rPr>
              <w:t>104</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34</w:t>
            </w:r>
          </w:p>
        </w:tc>
      </w:tr>
      <w:tr>
        <w:trPr>
          <w:trHeight w:val="270"/>
        </w:trPr>
        <w:tc>
          <w:tcPr>
            <w:tcW w:w="5420" w:type="dxa"/>
            <w:vAlign w:val="bottom"/>
          </w:tcPr>
          <w:p>
            <w:pPr>
              <w:ind w:left="380"/>
              <w:spacing w:after="0"/>
              <w:rPr>
                <w:sz w:val="20"/>
                <w:szCs w:val="20"/>
                <w:color w:val="auto"/>
              </w:rPr>
            </w:pPr>
            <w:r>
              <w:rPr>
                <w:rFonts w:ascii="Arial" w:cs="Arial" w:eastAsia="Arial" w:hAnsi="Arial"/>
                <w:sz w:val="18"/>
                <w:szCs w:val="18"/>
                <w:color w:val="auto"/>
              </w:rPr>
              <w:t>Double product customers</w:t>
            </w:r>
          </w:p>
        </w:tc>
        <w:tc>
          <w:tcPr>
            <w:tcW w:w="3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8,938</w:t>
            </w:r>
          </w:p>
        </w:tc>
        <w:tc>
          <w:tcPr>
            <w:tcW w:w="580" w:type="dxa"/>
            <w:vAlign w:val="bottom"/>
          </w:tcPr>
          <w:p>
            <w:pPr>
              <w:spacing w:after="0"/>
              <w:rPr>
                <w:sz w:val="23"/>
                <w:szCs w:val="23"/>
                <w:color w:val="auto"/>
              </w:rPr>
            </w:pPr>
          </w:p>
        </w:tc>
        <w:tc>
          <w:tcPr>
            <w:tcW w:w="1160" w:type="dxa"/>
            <w:vAlign w:val="bottom"/>
          </w:tcPr>
          <w:p>
            <w:pPr>
              <w:jc w:val="right"/>
              <w:ind w:right="251"/>
              <w:spacing w:after="0"/>
              <w:rPr>
                <w:sz w:val="20"/>
                <w:szCs w:val="20"/>
                <w:color w:val="auto"/>
              </w:rPr>
            </w:pPr>
            <w:r>
              <w:rPr>
                <w:rFonts w:ascii="Arial" w:cs="Arial" w:eastAsia="Arial" w:hAnsi="Arial"/>
                <w:sz w:val="18"/>
                <w:szCs w:val="18"/>
                <w:color w:val="auto"/>
              </w:rPr>
              <w:t>8,572</w:t>
            </w:r>
          </w:p>
        </w:tc>
        <w:tc>
          <w:tcPr>
            <w:tcW w:w="1640" w:type="dxa"/>
            <w:vAlign w:val="bottom"/>
          </w:tcPr>
          <w:p>
            <w:pPr>
              <w:jc w:val="right"/>
              <w:ind w:right="454"/>
              <w:spacing w:after="0"/>
              <w:rPr>
                <w:sz w:val="20"/>
                <w:szCs w:val="20"/>
                <w:color w:val="auto"/>
              </w:rPr>
            </w:pPr>
            <w:r>
              <w:rPr>
                <w:rFonts w:ascii="Arial" w:cs="Arial" w:eastAsia="Arial" w:hAnsi="Arial"/>
                <w:sz w:val="18"/>
                <w:szCs w:val="18"/>
                <w:color w:val="auto"/>
              </w:rPr>
              <w:t>141</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94</w:t>
            </w:r>
          </w:p>
        </w:tc>
      </w:tr>
      <w:tr>
        <w:trPr>
          <w:trHeight w:val="270"/>
        </w:trPr>
        <w:tc>
          <w:tcPr>
            <w:tcW w:w="5420" w:type="dxa"/>
            <w:vAlign w:val="bottom"/>
          </w:tcPr>
          <w:p>
            <w:pPr>
              <w:ind w:left="380"/>
              <w:spacing w:after="0"/>
              <w:rPr>
                <w:sz w:val="20"/>
                <w:szCs w:val="20"/>
                <w:color w:val="auto"/>
              </w:rPr>
            </w:pPr>
            <w:r>
              <w:rPr>
                <w:rFonts w:ascii="Arial" w:cs="Arial" w:eastAsia="Arial" w:hAnsi="Arial"/>
                <w:sz w:val="18"/>
                <w:szCs w:val="18"/>
                <w:color w:val="auto"/>
              </w:rPr>
              <w:t>Triple and quad product customers</w:t>
            </w:r>
          </w:p>
        </w:tc>
        <w:tc>
          <w:tcPr>
            <w:tcW w:w="3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9,998</w:t>
            </w:r>
          </w:p>
        </w:tc>
        <w:tc>
          <w:tcPr>
            <w:tcW w:w="580" w:type="dxa"/>
            <w:vAlign w:val="bottom"/>
          </w:tcPr>
          <w:p>
            <w:pPr>
              <w:spacing w:after="0"/>
              <w:rPr>
                <w:sz w:val="23"/>
                <w:szCs w:val="23"/>
                <w:color w:val="auto"/>
              </w:rPr>
            </w:pPr>
          </w:p>
        </w:tc>
        <w:tc>
          <w:tcPr>
            <w:tcW w:w="1160" w:type="dxa"/>
            <w:vAlign w:val="bottom"/>
          </w:tcPr>
          <w:p>
            <w:pPr>
              <w:jc w:val="right"/>
              <w:ind w:right="251"/>
              <w:spacing w:after="0"/>
              <w:rPr>
                <w:sz w:val="20"/>
                <w:szCs w:val="20"/>
                <w:color w:val="auto"/>
              </w:rPr>
            </w:pPr>
            <w:r>
              <w:rPr>
                <w:rFonts w:ascii="Arial" w:cs="Arial" w:eastAsia="Arial" w:hAnsi="Arial"/>
                <w:sz w:val="18"/>
                <w:szCs w:val="18"/>
                <w:color w:val="auto"/>
              </w:rPr>
              <w:t>9,812</w:t>
            </w:r>
          </w:p>
        </w:tc>
        <w:tc>
          <w:tcPr>
            <w:tcW w:w="1640" w:type="dxa"/>
            <w:vAlign w:val="bottom"/>
          </w:tcPr>
          <w:p>
            <w:pPr>
              <w:jc w:val="right"/>
              <w:ind w:right="454"/>
              <w:spacing w:after="0"/>
              <w:rPr>
                <w:sz w:val="20"/>
                <w:szCs w:val="20"/>
                <w:color w:val="auto"/>
              </w:rPr>
            </w:pPr>
            <w:r>
              <w:rPr>
                <w:rFonts w:ascii="Arial" w:cs="Arial" w:eastAsia="Arial" w:hAnsi="Arial"/>
                <w:sz w:val="18"/>
                <w:szCs w:val="18"/>
                <w:color w:val="auto"/>
              </w:rPr>
              <w:t>18</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109</w:t>
            </w:r>
          </w:p>
        </w:tc>
      </w:tr>
      <w:tr>
        <w:trPr>
          <w:trHeight w:val="27"/>
        </w:trPr>
        <w:tc>
          <w:tcPr>
            <w:tcW w:w="5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420" w:type="dxa"/>
            <w:vAlign w:val="bottom"/>
          </w:tcPr>
          <w:p>
            <w:pPr>
              <w:ind w:left="40"/>
              <w:spacing w:after="0"/>
              <w:rPr>
                <w:sz w:val="20"/>
                <w:szCs w:val="20"/>
                <w:color w:val="auto"/>
              </w:rPr>
            </w:pPr>
            <w:r>
              <w:rPr>
                <w:rFonts w:ascii="Arial" w:cs="Arial" w:eastAsia="Arial" w:hAnsi="Arial"/>
                <w:sz w:val="18"/>
                <w:szCs w:val="18"/>
                <w:color w:val="auto"/>
              </w:rPr>
              <w:t>Average monthly total revenue per customer relationship</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149.83</w:t>
            </w:r>
          </w:p>
        </w:tc>
        <w:tc>
          <w:tcPr>
            <w:tcW w:w="5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51"/>
              <w:spacing w:after="0"/>
              <w:rPr>
                <w:sz w:val="20"/>
                <w:szCs w:val="20"/>
                <w:color w:val="auto"/>
              </w:rPr>
            </w:pPr>
            <w:r>
              <w:rPr>
                <w:rFonts w:ascii="Arial" w:cs="Arial" w:eastAsia="Arial" w:hAnsi="Arial"/>
                <w:sz w:val="18"/>
                <w:szCs w:val="18"/>
                <w:color w:val="auto"/>
              </w:rPr>
              <w:t>146.07</w:t>
            </w:r>
          </w:p>
        </w:tc>
        <w:tc>
          <w:tcPr>
            <w:tcW w:w="16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5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auto"/>
        </w:rPr>
        <w:t>Customer metrics are presented based on actual amounts. Minor differences may exist due to rounding. Beginning in 2017, we include prepaid customers, which are customers who prepay for at least 30 days of service, in our customer metrics. Residential video and high-speed Internet total customers as of March 31, 2017 included 2,000 and 21,000, respectively, prepaid customers. Customer relationships represent the number of residential and business customers that subscribe to at least one of our cable services. Single product, double product, and triple and quad product customers represent residential customers that subscribe to one, two, or three and four of our cable services, respectively. In 2017, we began including customers subscribing to our security and automation services in customer relationship information. All periods presented have been adjusted for the inclusion of security and automation customers.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Segment—Revenue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Video</w:t>
      </w:r>
    </w:p>
    <w:p>
      <w:pPr>
        <w:spacing w:after="0" w:line="12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Video revenue increased 4.3% for the three months ended March 31, 2017 compared to the same period in 2016. The primary contributors to revenue growth were rate adjustments and an increase in the number of residential customers subscribing to additional services such as premium channels and advanced services. These contributors accounted for an increase in revenue of 3.8% for the three months ended March 31, 2017. We have in the past, and may in the future, experience declines in the number of residential video customers due to competitive pressures and the impact of rate adjustments.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High-Speed Internet</w:t>
      </w:r>
    </w:p>
    <w:p>
      <w:pPr>
        <w:spacing w:after="0" w:line="126"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High-speed Internet revenue increased 10.1% for the three months ended March 31, 2017 compared to the same period in 2016. An increase in the number of residential customers receiving our high-speed Internet services accounted for an increase in revenue of 5.5% for the three months ended March 31, 2017. The remaining increase in revenue for the three months ended March 31, 2017 was primarily due to an increase in the number of customers receiving higher levels of service and the impact of rate adjustments. Our customer base continues to grow as consumers choose our high-speed Internet services and seek higher-speed offerings.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Voice</w:t>
      </w:r>
    </w:p>
    <w:p>
      <w:pPr>
        <w:spacing w:after="0" w:line="12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Voice revenue decreased 3.6% for the three months ended March 31, 2017 compared to the same period in 2016. The decrease was primarily due to the allocation of voice revenue for our customers who received bundled services. The amount allocated to</w:t>
      </w:r>
    </w:p>
    <w:p>
      <w:pPr>
        <w:sectPr>
          <w:pgSz w:w="11900" w:h="16838" w:orient="portrait"/>
          <w:cols w:equalWidth="0" w:num="1">
            <w:col w:w="11420"/>
          </w:cols>
          <w:pgMar w:left="240" w:top="175" w:right="239" w:bottom="1440" w:gutter="0" w:footer="0" w:header="0"/>
        </w:sect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75" w:right="23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voice revenue in the rate charged for bundled services decreased for the three months ended March 31, 2017 because video and high-speed Internet rates increased while voice rates remained relatively flat.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Services</w:t>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Business services revenue increased 13.6% for the three months ended March 31, 2017 compared to the same period in 2016. The increase was primarily due to an increase in the number of small business customers, as well as continued growth in our medium-sized business services, including Ethernet network and advanced voice services. We believe the increase in the number of business customers is primarily the result of our efforts to gain market share from competitors by offering competitive services and pricing, although the rate of growth in the number of our small business customers may slow as the business matures.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1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Advertising revenue decreased 6.3% for the three months ended March 31, 2017 compared to the same period in 2016 primarily due to a decrease in political advertising revenue. Excluding political advertising revenue, advertising revenue decreased 2.3% for the three months ended March 31, 2017 compared to the same period in 2016 primarily due to decreases in national and local advertising markets.</w:t>
      </w:r>
    </w:p>
    <w:p>
      <w:pPr>
        <w:spacing w:after="0" w:line="6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both the three months ended March 31, 2017 and 2016, 5% of our Cable Communications segment advertising revenue was generated from our NBCUniversal segments. These amounts are eliminated in our condensed consolidated financial statements but are included in the amounts presented above.</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revenue increased 4.4% for the three months ended March 31, 2017 compared to the same period in 2016 primarily due to an increase in revenue from our security and automation services and an increase in cable franchise and other regulatory fees.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Segment—Operating Costs and Expenses</w:t>
      </w:r>
    </w:p>
    <w:p>
      <w:pPr>
        <w:spacing w:after="0" w:line="11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Programming expenses increased for the three months ended March 31, 2017 compared to the same period in 2016 primarily due to the timing of contract renewals and other increases in programming license fees, including retransmission consent fees and sports programming costs.</w:t>
      </w:r>
    </w:p>
    <w:p>
      <w:pPr>
        <w:spacing w:after="0" w:line="10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Technical and product support expenses increased for the three months ended March 31, 2017 compared to the same period in 2016 primarily due to expenses related to the development, delivery and support of our X1 platform, cloud DVR technology and wireless gateways, and the continued growth in business services and security and automation services. The increase was also due to expenses related to investments to improve the customer experience.</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Customer service expenses decreased for the three months ended March 31, 2017 compared to the same period in 2016 primarily due to reduced call volumes.</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Advertising, marketing and promotion expenses increased for the three months ended March 31, 2017 compared to the same period in 2016 primarily due to an increase in spending associated with attracting new customers and encouraging existing customers to add additional or higher-tier services.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Franchise and other regulatory fees increased for the three months ended March 31, 2017 compared to the same period in 2016 primarily due to an increase in the revenue to which the fees apply.</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costs and expenses decreased for the three months ended March 31, 2017 compared to the same period in 2016 primarily due to higher administrative costs in the prior year period.</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Segment—Operating Margin</w:t>
      </w:r>
    </w:p>
    <w:p>
      <w:pPr>
        <w:spacing w:after="0" w:line="11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Cable Communications segment operating margin is Adjusted EBITDA as a percentage of revenue. The most significant operating costs and expenses for our Cable Communications segment are the programming expenses we incur to provide content to our video customers. We expect that our programming expenses will continue to increase, which may negatively impact our operating margin. We will attempt to mitigate increases in operating costs and expenses by growing revenue, particularly in our high-speed Internet, video and business services businesses and through cost management.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Our operating margin for the three months ended March 31, 2017 and 2016 was 40.3% and 40.1%, respectively.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75"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 Segments Results of Operations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80" w:type="dxa"/>
            <w:vAlign w:val="bottom"/>
            <w:gridSpan w:val="3"/>
          </w:tcPr>
          <w:p>
            <w:pPr>
              <w:jc w:val="right"/>
              <w:ind w:right="732"/>
              <w:spacing w:after="0"/>
              <w:rPr>
                <w:sz w:val="20"/>
                <w:szCs w:val="20"/>
                <w:color w:val="auto"/>
              </w:rPr>
            </w:pPr>
            <w:r>
              <w:rPr>
                <w:rFonts w:ascii="Arial" w:cs="Arial" w:eastAsia="Arial" w:hAnsi="Arial"/>
                <w:sz w:val="14"/>
                <w:szCs w:val="14"/>
                <w:color w:val="auto"/>
              </w:rPr>
              <w:t>Three Months Ended</w:t>
            </w:r>
          </w:p>
        </w:tc>
        <w:tc>
          <w:tcPr>
            <w:tcW w:w="420" w:type="dxa"/>
            <w:vAlign w:val="bottom"/>
          </w:tcPr>
          <w:p>
            <w:pPr>
              <w:spacing w:after="0"/>
              <w:rPr>
                <w:sz w:val="14"/>
                <w:szCs w:val="14"/>
                <w:color w:val="auto"/>
              </w:rPr>
            </w:pPr>
          </w:p>
        </w:tc>
        <w:tc>
          <w:tcPr>
            <w:tcW w:w="1620" w:type="dxa"/>
            <w:vAlign w:val="bottom"/>
          </w:tcPr>
          <w:p>
            <w:pPr>
              <w:jc w:val="center"/>
              <w:ind w:left="574"/>
              <w:spacing w:after="0"/>
              <w:rPr>
                <w:sz w:val="20"/>
                <w:szCs w:val="20"/>
                <w:color w:val="auto"/>
              </w:rPr>
            </w:pPr>
            <w:r>
              <w:rPr>
                <w:rFonts w:ascii="Arial" w:cs="Arial" w:eastAsia="Arial" w:hAnsi="Arial"/>
                <w:sz w:val="14"/>
                <w:szCs w:val="14"/>
                <w:color w:val="auto"/>
                <w:w w:val="90"/>
              </w:rPr>
              <w:t>Increase/</w:t>
            </w:r>
          </w:p>
        </w:tc>
        <w:tc>
          <w:tcPr>
            <w:tcW w:w="1040" w:type="dxa"/>
            <w:vAlign w:val="bottom"/>
          </w:tcPr>
          <w:p>
            <w:pPr>
              <w:spacing w:after="0"/>
              <w:rPr>
                <w:sz w:val="14"/>
                <w:szCs w:val="14"/>
                <w:color w:val="auto"/>
              </w:rPr>
            </w:pPr>
          </w:p>
        </w:tc>
      </w:tr>
      <w:tr>
        <w:trPr>
          <w:trHeight w:val="188"/>
        </w:trPr>
        <w:tc>
          <w:tcPr>
            <w:tcW w:w="54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color w:val="auto"/>
              </w:rPr>
              <w:t>March 31</w:t>
            </w:r>
          </w:p>
        </w:tc>
        <w:tc>
          <w:tcPr>
            <w:tcW w:w="10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left="594"/>
              <w:spacing w:after="0"/>
              <w:rPr>
                <w:sz w:val="20"/>
                <w:szCs w:val="20"/>
                <w:color w:val="auto"/>
              </w:rPr>
            </w:pPr>
            <w:r>
              <w:rPr>
                <w:rFonts w:ascii="Arial" w:cs="Arial" w:eastAsia="Arial" w:hAnsi="Arial"/>
                <w:sz w:val="14"/>
                <w:szCs w:val="14"/>
                <w:color w:val="auto"/>
                <w:w w:val="89"/>
              </w:rPr>
              <w:t>(Decrease)</w:t>
            </w:r>
          </w:p>
        </w:tc>
        <w:tc>
          <w:tcPr>
            <w:tcW w:w="1040" w:type="dxa"/>
            <w:vAlign w:val="bottom"/>
            <w:tcBorders>
              <w:bottom w:val="single" w:sz="8" w:color="auto"/>
            </w:tcBorders>
          </w:tcPr>
          <w:p>
            <w:pPr>
              <w:spacing w:after="0"/>
              <w:rPr>
                <w:sz w:val="16"/>
                <w:szCs w:val="16"/>
                <w:color w:val="auto"/>
              </w:rPr>
            </w:pPr>
          </w:p>
        </w:tc>
      </w:tr>
      <w:tr>
        <w:trPr>
          <w:trHeight w:val="196"/>
        </w:trPr>
        <w:tc>
          <w:tcPr>
            <w:tcW w:w="5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color w:val="auto"/>
              </w:rPr>
              <w:t>2017</w:t>
            </w:r>
          </w:p>
        </w:tc>
        <w:tc>
          <w:tcPr>
            <w:tcW w:w="4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2016</w:t>
            </w:r>
          </w:p>
        </w:tc>
        <w:tc>
          <w:tcPr>
            <w:tcW w:w="4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1154"/>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color w:val="auto"/>
              </w:rPr>
              <w:t>%</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5420" w:type="dxa"/>
            <w:vAlign w:val="bottom"/>
          </w:tcPr>
          <w:p>
            <w:pPr>
              <w:ind w:left="380"/>
              <w:spacing w:after="0"/>
              <w:rPr>
                <w:sz w:val="20"/>
                <w:szCs w:val="20"/>
                <w:color w:val="auto"/>
              </w:rPr>
            </w:pPr>
            <w:r>
              <w:rPr>
                <w:rFonts w:ascii="Arial" w:cs="Arial" w:eastAsia="Arial" w:hAnsi="Arial"/>
                <w:sz w:val="18"/>
                <w:szCs w:val="18"/>
                <w:color w:val="auto"/>
              </w:rPr>
              <w:t>Cable Networks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2,641</w:t>
            </w: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2,453</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54"/>
              <w:spacing w:after="0"/>
              <w:rPr>
                <w:sz w:val="20"/>
                <w:szCs w:val="20"/>
                <w:color w:val="auto"/>
              </w:rPr>
            </w:pPr>
            <w:r>
              <w:rPr>
                <w:rFonts w:ascii="Arial" w:cs="Arial" w:eastAsia="Arial" w:hAnsi="Arial"/>
                <w:sz w:val="18"/>
                <w:szCs w:val="18"/>
                <w:color w:val="auto"/>
              </w:rPr>
              <w:t>188</w:t>
            </w:r>
          </w:p>
        </w:tc>
        <w:tc>
          <w:tcPr>
            <w:tcW w:w="10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70"/>
        </w:trPr>
        <w:tc>
          <w:tcPr>
            <w:tcW w:w="5420" w:type="dxa"/>
            <w:vAlign w:val="bottom"/>
          </w:tcPr>
          <w:p>
            <w:pPr>
              <w:ind w:left="380"/>
              <w:spacing w:after="0"/>
              <w:rPr>
                <w:sz w:val="20"/>
                <w:szCs w:val="20"/>
                <w:color w:val="auto"/>
              </w:rPr>
            </w:pPr>
            <w:r>
              <w:rPr>
                <w:rFonts w:ascii="Arial" w:cs="Arial" w:eastAsia="Arial" w:hAnsi="Arial"/>
                <w:sz w:val="18"/>
                <w:szCs w:val="18"/>
                <w:color w:val="auto"/>
              </w:rPr>
              <w:t>Broadcast Television</w:t>
            </w:r>
          </w:p>
        </w:tc>
        <w:tc>
          <w:tcPr>
            <w:tcW w:w="34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2,208</w:t>
            </w: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2,084</w:t>
            </w:r>
          </w:p>
        </w:tc>
        <w:tc>
          <w:tcPr>
            <w:tcW w:w="420" w:type="dxa"/>
            <w:vAlign w:val="bottom"/>
          </w:tcPr>
          <w:p>
            <w:pPr>
              <w:spacing w:after="0"/>
              <w:rPr>
                <w:sz w:val="23"/>
                <w:szCs w:val="23"/>
                <w:color w:val="auto"/>
              </w:rPr>
            </w:pPr>
          </w:p>
        </w:tc>
        <w:tc>
          <w:tcPr>
            <w:tcW w:w="1620" w:type="dxa"/>
            <w:vAlign w:val="bottom"/>
          </w:tcPr>
          <w:p>
            <w:pPr>
              <w:jc w:val="right"/>
              <w:ind w:right="554"/>
              <w:spacing w:after="0"/>
              <w:rPr>
                <w:sz w:val="20"/>
                <w:szCs w:val="20"/>
                <w:color w:val="auto"/>
              </w:rPr>
            </w:pPr>
            <w:r>
              <w:rPr>
                <w:rFonts w:ascii="Arial" w:cs="Arial" w:eastAsia="Arial" w:hAnsi="Arial"/>
                <w:sz w:val="18"/>
                <w:szCs w:val="18"/>
                <w:color w:val="auto"/>
              </w:rPr>
              <w:t>124</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5.9</w:t>
            </w:r>
          </w:p>
        </w:tc>
      </w:tr>
      <w:tr>
        <w:trPr>
          <w:trHeight w:val="270"/>
        </w:trPr>
        <w:tc>
          <w:tcPr>
            <w:tcW w:w="5420" w:type="dxa"/>
            <w:vAlign w:val="bottom"/>
          </w:tcPr>
          <w:p>
            <w:pPr>
              <w:ind w:left="380"/>
              <w:spacing w:after="0"/>
              <w:rPr>
                <w:sz w:val="20"/>
                <w:szCs w:val="20"/>
                <w:color w:val="auto"/>
              </w:rPr>
            </w:pPr>
            <w:r>
              <w:rPr>
                <w:rFonts w:ascii="Arial" w:cs="Arial" w:eastAsia="Arial" w:hAnsi="Arial"/>
                <w:sz w:val="18"/>
                <w:szCs w:val="18"/>
                <w:color w:val="auto"/>
              </w:rPr>
              <w:t>Filmed Entertainment</w:t>
            </w:r>
          </w:p>
        </w:tc>
        <w:tc>
          <w:tcPr>
            <w:tcW w:w="34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1,981</w:t>
            </w: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1,383</w:t>
            </w:r>
          </w:p>
        </w:tc>
        <w:tc>
          <w:tcPr>
            <w:tcW w:w="420" w:type="dxa"/>
            <w:vAlign w:val="bottom"/>
          </w:tcPr>
          <w:p>
            <w:pPr>
              <w:spacing w:after="0"/>
              <w:rPr>
                <w:sz w:val="23"/>
                <w:szCs w:val="23"/>
                <w:color w:val="auto"/>
              </w:rPr>
            </w:pPr>
          </w:p>
        </w:tc>
        <w:tc>
          <w:tcPr>
            <w:tcW w:w="1620" w:type="dxa"/>
            <w:vAlign w:val="bottom"/>
          </w:tcPr>
          <w:p>
            <w:pPr>
              <w:jc w:val="right"/>
              <w:ind w:right="554"/>
              <w:spacing w:after="0"/>
              <w:rPr>
                <w:sz w:val="20"/>
                <w:szCs w:val="20"/>
                <w:color w:val="auto"/>
              </w:rPr>
            </w:pPr>
            <w:r>
              <w:rPr>
                <w:rFonts w:ascii="Arial" w:cs="Arial" w:eastAsia="Arial" w:hAnsi="Arial"/>
                <w:sz w:val="18"/>
                <w:szCs w:val="18"/>
                <w:color w:val="auto"/>
              </w:rPr>
              <w:t>598</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43.2</w:t>
            </w:r>
          </w:p>
        </w:tc>
      </w:tr>
      <w:tr>
        <w:trPr>
          <w:trHeight w:val="270"/>
        </w:trPr>
        <w:tc>
          <w:tcPr>
            <w:tcW w:w="5420" w:type="dxa"/>
            <w:vAlign w:val="bottom"/>
          </w:tcPr>
          <w:p>
            <w:pPr>
              <w:ind w:left="380"/>
              <w:spacing w:after="0"/>
              <w:rPr>
                <w:sz w:val="20"/>
                <w:szCs w:val="20"/>
                <w:color w:val="auto"/>
              </w:rPr>
            </w:pPr>
            <w:r>
              <w:rPr>
                <w:rFonts w:ascii="Arial" w:cs="Arial" w:eastAsia="Arial" w:hAnsi="Arial"/>
                <w:sz w:val="18"/>
                <w:szCs w:val="18"/>
                <w:color w:val="auto"/>
              </w:rPr>
              <w:t>Theme Parks</w:t>
            </w:r>
          </w:p>
        </w:tc>
        <w:tc>
          <w:tcPr>
            <w:tcW w:w="34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1,118</w:t>
            </w: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1,026</w:t>
            </w:r>
          </w:p>
        </w:tc>
        <w:tc>
          <w:tcPr>
            <w:tcW w:w="420" w:type="dxa"/>
            <w:vAlign w:val="bottom"/>
          </w:tcPr>
          <w:p>
            <w:pPr>
              <w:spacing w:after="0"/>
              <w:rPr>
                <w:sz w:val="23"/>
                <w:szCs w:val="23"/>
                <w:color w:val="auto"/>
              </w:rPr>
            </w:pPr>
          </w:p>
        </w:tc>
        <w:tc>
          <w:tcPr>
            <w:tcW w:w="1620" w:type="dxa"/>
            <w:vAlign w:val="bottom"/>
          </w:tcPr>
          <w:p>
            <w:pPr>
              <w:jc w:val="right"/>
              <w:ind w:right="554"/>
              <w:spacing w:after="0"/>
              <w:rPr>
                <w:sz w:val="20"/>
                <w:szCs w:val="20"/>
                <w:color w:val="auto"/>
              </w:rPr>
            </w:pPr>
            <w:r>
              <w:rPr>
                <w:rFonts w:ascii="Arial" w:cs="Arial" w:eastAsia="Arial" w:hAnsi="Arial"/>
                <w:sz w:val="18"/>
                <w:szCs w:val="18"/>
                <w:color w:val="auto"/>
              </w:rPr>
              <w:t>92</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9.0</w:t>
            </w:r>
          </w:p>
        </w:tc>
      </w:tr>
      <w:tr>
        <w:trPr>
          <w:trHeight w:val="270"/>
        </w:trPr>
        <w:tc>
          <w:tcPr>
            <w:tcW w:w="5420" w:type="dxa"/>
            <w:vAlign w:val="bottom"/>
          </w:tcPr>
          <w:p>
            <w:pPr>
              <w:ind w:left="380"/>
              <w:spacing w:after="0"/>
              <w:rPr>
                <w:sz w:val="20"/>
                <w:szCs w:val="20"/>
                <w:color w:val="auto"/>
              </w:rPr>
            </w:pPr>
            <w:r>
              <w:rPr>
                <w:rFonts w:ascii="Arial" w:cs="Arial" w:eastAsia="Arial" w:hAnsi="Arial"/>
                <w:sz w:val="18"/>
                <w:szCs w:val="18"/>
                <w:color w:val="auto"/>
              </w:rPr>
              <w:t>Headquarters, other and eliminations</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w:t>
            </w: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w:t>
            </w:r>
          </w:p>
        </w:tc>
        <w:tc>
          <w:tcPr>
            <w:tcW w:w="420" w:type="dxa"/>
            <w:vAlign w:val="bottom"/>
          </w:tcPr>
          <w:p>
            <w:pPr>
              <w:spacing w:after="0"/>
              <w:rPr>
                <w:sz w:val="23"/>
                <w:szCs w:val="23"/>
                <w:color w:val="auto"/>
              </w:rPr>
            </w:pPr>
          </w:p>
        </w:tc>
        <w:tc>
          <w:tcPr>
            <w:tcW w:w="1620" w:type="dxa"/>
            <w:vAlign w:val="bottom"/>
          </w:tcPr>
          <w:p>
            <w:pPr>
              <w:jc w:val="right"/>
              <w:ind w:right="554"/>
              <w:spacing w:after="0"/>
              <w:rPr>
                <w:sz w:val="20"/>
                <w:szCs w:val="20"/>
                <w:color w:val="auto"/>
              </w:rPr>
            </w:pPr>
            <w:r>
              <w:rPr>
                <w:rFonts w:ascii="Arial" w:cs="Arial" w:eastAsia="Arial" w:hAnsi="Arial"/>
                <w:sz w:val="18"/>
                <w:szCs w:val="18"/>
                <w:color w:val="auto"/>
              </w:rPr>
              <w:t>5</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NM</w:t>
            </w:r>
          </w:p>
        </w:tc>
      </w:tr>
      <w:tr>
        <w:trPr>
          <w:trHeight w:val="27"/>
        </w:trPr>
        <w:tc>
          <w:tcPr>
            <w:tcW w:w="54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42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b w:val="1"/>
                <w:bCs w:val="1"/>
                <w:color w:val="auto"/>
              </w:rPr>
              <w:t>7,868</w:t>
            </w:r>
          </w:p>
        </w:tc>
        <w:tc>
          <w:tcPr>
            <w:tcW w:w="44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6,861</w:t>
            </w:r>
          </w:p>
        </w:tc>
        <w:tc>
          <w:tcPr>
            <w:tcW w:w="42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620" w:type="dxa"/>
            <w:vAlign w:val="bottom"/>
          </w:tcPr>
          <w:p>
            <w:pPr>
              <w:jc w:val="right"/>
              <w:ind w:right="554"/>
              <w:spacing w:after="0"/>
              <w:rPr>
                <w:sz w:val="20"/>
                <w:szCs w:val="20"/>
                <w:color w:val="auto"/>
              </w:rPr>
            </w:pPr>
            <w:r>
              <w:rPr>
                <w:rFonts w:ascii="Arial" w:cs="Arial" w:eastAsia="Arial" w:hAnsi="Arial"/>
                <w:sz w:val="18"/>
                <w:szCs w:val="18"/>
                <w:b w:val="1"/>
                <w:bCs w:val="1"/>
                <w:color w:val="auto"/>
              </w:rPr>
              <w:t>1,007</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14.7%</w:t>
            </w:r>
          </w:p>
        </w:tc>
      </w:tr>
      <w:tr>
        <w:trPr>
          <w:trHeight w:val="34"/>
        </w:trPr>
        <w:tc>
          <w:tcPr>
            <w:tcW w:w="54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5420" w:type="dxa"/>
            <w:vAlign w:val="bottom"/>
          </w:tcPr>
          <w:p>
            <w:pPr>
              <w:ind w:left="380"/>
              <w:spacing w:after="0"/>
              <w:rPr>
                <w:sz w:val="20"/>
                <w:szCs w:val="20"/>
                <w:color w:val="auto"/>
              </w:rPr>
            </w:pPr>
            <w:r>
              <w:rPr>
                <w:rFonts w:ascii="Arial" w:cs="Arial" w:eastAsia="Arial" w:hAnsi="Arial"/>
                <w:sz w:val="18"/>
                <w:szCs w:val="18"/>
                <w:color w:val="auto"/>
              </w:rPr>
              <w:t>Cable Networks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1,116</w:t>
            </w: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956</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54"/>
              <w:spacing w:after="0"/>
              <w:rPr>
                <w:sz w:val="20"/>
                <w:szCs w:val="20"/>
                <w:color w:val="auto"/>
              </w:rPr>
            </w:pPr>
            <w:r>
              <w:rPr>
                <w:rFonts w:ascii="Arial" w:cs="Arial" w:eastAsia="Arial" w:hAnsi="Arial"/>
                <w:sz w:val="18"/>
                <w:szCs w:val="18"/>
                <w:color w:val="auto"/>
              </w:rPr>
              <w:t>160</w:t>
            </w:r>
          </w:p>
        </w:tc>
        <w:tc>
          <w:tcPr>
            <w:tcW w:w="104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70"/>
        </w:trPr>
        <w:tc>
          <w:tcPr>
            <w:tcW w:w="5420" w:type="dxa"/>
            <w:vAlign w:val="bottom"/>
          </w:tcPr>
          <w:p>
            <w:pPr>
              <w:ind w:left="380"/>
              <w:spacing w:after="0"/>
              <w:rPr>
                <w:sz w:val="20"/>
                <w:szCs w:val="20"/>
                <w:color w:val="auto"/>
              </w:rPr>
            </w:pPr>
            <w:r>
              <w:rPr>
                <w:rFonts w:ascii="Arial" w:cs="Arial" w:eastAsia="Arial" w:hAnsi="Arial"/>
                <w:sz w:val="18"/>
                <w:szCs w:val="18"/>
                <w:color w:val="auto"/>
              </w:rPr>
              <w:t>Broadcast Television</w:t>
            </w:r>
          </w:p>
        </w:tc>
        <w:tc>
          <w:tcPr>
            <w:tcW w:w="34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322</w:t>
            </w: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284</w:t>
            </w:r>
          </w:p>
        </w:tc>
        <w:tc>
          <w:tcPr>
            <w:tcW w:w="420" w:type="dxa"/>
            <w:vAlign w:val="bottom"/>
          </w:tcPr>
          <w:p>
            <w:pPr>
              <w:spacing w:after="0"/>
              <w:rPr>
                <w:sz w:val="23"/>
                <w:szCs w:val="23"/>
                <w:color w:val="auto"/>
              </w:rPr>
            </w:pPr>
          </w:p>
        </w:tc>
        <w:tc>
          <w:tcPr>
            <w:tcW w:w="1620" w:type="dxa"/>
            <w:vAlign w:val="bottom"/>
          </w:tcPr>
          <w:p>
            <w:pPr>
              <w:jc w:val="right"/>
              <w:ind w:right="554"/>
              <w:spacing w:after="0"/>
              <w:rPr>
                <w:sz w:val="20"/>
                <w:szCs w:val="20"/>
                <w:color w:val="auto"/>
              </w:rPr>
            </w:pPr>
            <w:r>
              <w:rPr>
                <w:rFonts w:ascii="Arial" w:cs="Arial" w:eastAsia="Arial" w:hAnsi="Arial"/>
                <w:sz w:val="18"/>
                <w:szCs w:val="18"/>
                <w:color w:val="auto"/>
              </w:rPr>
              <w:t>38</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13.4</w:t>
            </w:r>
          </w:p>
        </w:tc>
      </w:tr>
      <w:tr>
        <w:trPr>
          <w:trHeight w:val="270"/>
        </w:trPr>
        <w:tc>
          <w:tcPr>
            <w:tcW w:w="5420" w:type="dxa"/>
            <w:vAlign w:val="bottom"/>
          </w:tcPr>
          <w:p>
            <w:pPr>
              <w:ind w:left="380"/>
              <w:spacing w:after="0"/>
              <w:rPr>
                <w:sz w:val="20"/>
                <w:szCs w:val="20"/>
                <w:color w:val="auto"/>
              </w:rPr>
            </w:pPr>
            <w:r>
              <w:rPr>
                <w:rFonts w:ascii="Arial" w:cs="Arial" w:eastAsia="Arial" w:hAnsi="Arial"/>
                <w:sz w:val="18"/>
                <w:szCs w:val="18"/>
                <w:color w:val="auto"/>
              </w:rPr>
              <w:t>Filmed Entertainment</w:t>
            </w:r>
          </w:p>
        </w:tc>
        <w:tc>
          <w:tcPr>
            <w:tcW w:w="34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368</w:t>
            </w: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167</w:t>
            </w:r>
          </w:p>
        </w:tc>
        <w:tc>
          <w:tcPr>
            <w:tcW w:w="420" w:type="dxa"/>
            <w:vAlign w:val="bottom"/>
          </w:tcPr>
          <w:p>
            <w:pPr>
              <w:spacing w:after="0"/>
              <w:rPr>
                <w:sz w:val="23"/>
                <w:szCs w:val="23"/>
                <w:color w:val="auto"/>
              </w:rPr>
            </w:pPr>
          </w:p>
        </w:tc>
        <w:tc>
          <w:tcPr>
            <w:tcW w:w="1620" w:type="dxa"/>
            <w:vAlign w:val="bottom"/>
          </w:tcPr>
          <w:p>
            <w:pPr>
              <w:jc w:val="right"/>
              <w:ind w:right="554"/>
              <w:spacing w:after="0"/>
              <w:rPr>
                <w:sz w:val="20"/>
                <w:szCs w:val="20"/>
                <w:color w:val="auto"/>
              </w:rPr>
            </w:pPr>
            <w:r>
              <w:rPr>
                <w:rFonts w:ascii="Arial" w:cs="Arial" w:eastAsia="Arial" w:hAnsi="Arial"/>
                <w:sz w:val="18"/>
                <w:szCs w:val="18"/>
                <w:color w:val="auto"/>
              </w:rPr>
              <w:t>201</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120.6</w:t>
            </w:r>
          </w:p>
        </w:tc>
      </w:tr>
      <w:tr>
        <w:trPr>
          <w:trHeight w:val="270"/>
        </w:trPr>
        <w:tc>
          <w:tcPr>
            <w:tcW w:w="5420" w:type="dxa"/>
            <w:vAlign w:val="bottom"/>
          </w:tcPr>
          <w:p>
            <w:pPr>
              <w:ind w:left="380"/>
              <w:spacing w:after="0"/>
              <w:rPr>
                <w:sz w:val="20"/>
                <w:szCs w:val="20"/>
                <w:color w:val="auto"/>
              </w:rPr>
            </w:pPr>
            <w:r>
              <w:rPr>
                <w:rFonts w:ascii="Arial" w:cs="Arial" w:eastAsia="Arial" w:hAnsi="Arial"/>
                <w:sz w:val="18"/>
                <w:szCs w:val="18"/>
                <w:color w:val="auto"/>
              </w:rPr>
              <w:t>Theme Parks</w:t>
            </w:r>
          </w:p>
        </w:tc>
        <w:tc>
          <w:tcPr>
            <w:tcW w:w="34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397</w:t>
            </w: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375</w:t>
            </w:r>
          </w:p>
        </w:tc>
        <w:tc>
          <w:tcPr>
            <w:tcW w:w="420" w:type="dxa"/>
            <w:vAlign w:val="bottom"/>
          </w:tcPr>
          <w:p>
            <w:pPr>
              <w:spacing w:after="0"/>
              <w:rPr>
                <w:sz w:val="23"/>
                <w:szCs w:val="23"/>
                <w:color w:val="auto"/>
              </w:rPr>
            </w:pPr>
          </w:p>
        </w:tc>
        <w:tc>
          <w:tcPr>
            <w:tcW w:w="1620" w:type="dxa"/>
            <w:vAlign w:val="bottom"/>
          </w:tcPr>
          <w:p>
            <w:pPr>
              <w:jc w:val="right"/>
              <w:ind w:right="554"/>
              <w:spacing w:after="0"/>
              <w:rPr>
                <w:sz w:val="20"/>
                <w:szCs w:val="20"/>
                <w:color w:val="auto"/>
              </w:rPr>
            </w:pPr>
            <w:r>
              <w:rPr>
                <w:rFonts w:ascii="Arial" w:cs="Arial" w:eastAsia="Arial" w:hAnsi="Arial"/>
                <w:sz w:val="18"/>
                <w:szCs w:val="18"/>
                <w:color w:val="auto"/>
              </w:rPr>
              <w:t>22</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6.1</w:t>
            </w:r>
          </w:p>
        </w:tc>
      </w:tr>
      <w:tr>
        <w:trPr>
          <w:trHeight w:val="270"/>
        </w:trPr>
        <w:tc>
          <w:tcPr>
            <w:tcW w:w="5420" w:type="dxa"/>
            <w:vAlign w:val="bottom"/>
          </w:tcPr>
          <w:p>
            <w:pPr>
              <w:ind w:left="380"/>
              <w:spacing w:after="0"/>
              <w:rPr>
                <w:sz w:val="20"/>
                <w:szCs w:val="20"/>
                <w:color w:val="auto"/>
              </w:rPr>
            </w:pPr>
            <w:r>
              <w:rPr>
                <w:rFonts w:ascii="Arial" w:cs="Arial" w:eastAsia="Arial" w:hAnsi="Arial"/>
                <w:sz w:val="18"/>
                <w:szCs w:val="18"/>
                <w:color w:val="auto"/>
              </w:rPr>
              <w:t>Headquarters, other and eliminations</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(186)</w:t>
            </w: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(160)</w:t>
            </w:r>
          </w:p>
        </w:tc>
        <w:tc>
          <w:tcPr>
            <w:tcW w:w="420" w:type="dxa"/>
            <w:vAlign w:val="bottom"/>
          </w:tcPr>
          <w:p>
            <w:pPr>
              <w:spacing w:after="0"/>
              <w:rPr>
                <w:sz w:val="23"/>
                <w:szCs w:val="23"/>
                <w:color w:val="auto"/>
              </w:rPr>
            </w:pPr>
          </w:p>
        </w:tc>
        <w:tc>
          <w:tcPr>
            <w:tcW w:w="1620" w:type="dxa"/>
            <w:vAlign w:val="bottom"/>
          </w:tcPr>
          <w:p>
            <w:pPr>
              <w:jc w:val="right"/>
              <w:ind w:right="494"/>
              <w:spacing w:after="0"/>
              <w:rPr>
                <w:sz w:val="20"/>
                <w:szCs w:val="20"/>
                <w:color w:val="auto"/>
              </w:rPr>
            </w:pPr>
            <w:r>
              <w:rPr>
                <w:rFonts w:ascii="Arial" w:cs="Arial" w:eastAsia="Arial" w:hAnsi="Arial"/>
                <w:sz w:val="18"/>
                <w:szCs w:val="18"/>
                <w:color w:val="auto"/>
              </w:rPr>
              <w:t>(26)</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NM</w:t>
            </w:r>
          </w:p>
        </w:tc>
      </w:tr>
      <w:tr>
        <w:trPr>
          <w:trHeight w:val="27"/>
        </w:trPr>
        <w:tc>
          <w:tcPr>
            <w:tcW w:w="54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420" w:type="dxa"/>
            <w:vAlign w:val="bottom"/>
          </w:tcPr>
          <w:p>
            <w:pPr>
              <w:ind w:left="40"/>
              <w:spacing w:after="0"/>
              <w:rPr>
                <w:sz w:val="20"/>
                <w:szCs w:val="20"/>
                <w:color w:val="auto"/>
              </w:rPr>
            </w:pPr>
            <w:r>
              <w:rPr>
                <w:rFonts w:ascii="Arial" w:cs="Arial" w:eastAsia="Arial" w:hAnsi="Arial"/>
                <w:sz w:val="18"/>
                <w:szCs w:val="18"/>
                <w:b w:val="1"/>
                <w:bCs w:val="1"/>
                <w:color w:val="auto"/>
              </w:rPr>
              <w:t>Total Adjusted EBITDA</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b w:val="1"/>
                <w:bCs w:val="1"/>
                <w:color w:val="auto"/>
              </w:rPr>
              <w:t>2,017</w:t>
            </w:r>
          </w:p>
        </w:tc>
        <w:tc>
          <w:tcPr>
            <w:tcW w:w="44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1,622</w:t>
            </w:r>
          </w:p>
        </w:tc>
        <w:tc>
          <w:tcPr>
            <w:tcW w:w="42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620" w:type="dxa"/>
            <w:vAlign w:val="bottom"/>
          </w:tcPr>
          <w:p>
            <w:pPr>
              <w:jc w:val="right"/>
              <w:ind w:right="554"/>
              <w:spacing w:after="0"/>
              <w:rPr>
                <w:sz w:val="20"/>
                <w:szCs w:val="20"/>
                <w:color w:val="auto"/>
              </w:rPr>
            </w:pPr>
            <w:r>
              <w:rPr>
                <w:rFonts w:ascii="Arial" w:cs="Arial" w:eastAsia="Arial" w:hAnsi="Arial"/>
                <w:sz w:val="18"/>
                <w:szCs w:val="18"/>
                <w:b w:val="1"/>
                <w:bCs w:val="1"/>
                <w:color w:val="auto"/>
              </w:rPr>
              <w:t>395</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24.4%</w:t>
            </w:r>
          </w:p>
        </w:tc>
      </w:tr>
      <w:tr>
        <w:trPr>
          <w:trHeight w:val="34"/>
        </w:trPr>
        <w:tc>
          <w:tcPr>
            <w:tcW w:w="54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1"/>
        </w:trPr>
        <w:tc>
          <w:tcPr>
            <w:tcW w:w="5420" w:type="dxa"/>
            <w:vAlign w:val="bottom"/>
          </w:tcPr>
          <w:p>
            <w:pPr>
              <w:spacing w:after="0"/>
              <w:rPr>
                <w:sz w:val="20"/>
                <w:szCs w:val="20"/>
                <w:color w:val="auto"/>
              </w:rPr>
            </w:pPr>
            <w:r>
              <w:rPr>
                <w:rFonts w:ascii="Arial" w:cs="Arial" w:eastAsia="Arial" w:hAnsi="Arial"/>
                <w:sz w:val="14"/>
                <w:szCs w:val="14"/>
                <w:color w:val="auto"/>
              </w:rPr>
              <w:t>Percentage changes that are considered not meaningful are denoted with NM.</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414"/>
        </w:trPr>
        <w:tc>
          <w:tcPr>
            <w:tcW w:w="5420" w:type="dxa"/>
            <w:vAlign w:val="bottom"/>
          </w:tcPr>
          <w:p>
            <w:pPr>
              <w:spacing w:after="0"/>
              <w:rPr>
                <w:sz w:val="20"/>
                <w:szCs w:val="20"/>
                <w:color w:val="auto"/>
              </w:rPr>
            </w:pPr>
            <w:r>
              <w:rPr>
                <w:rFonts w:ascii="Arial" w:cs="Arial" w:eastAsia="Arial" w:hAnsi="Arial"/>
                <w:sz w:val="22"/>
                <w:szCs w:val="22"/>
                <w:b w:val="1"/>
                <w:bCs w:val="1"/>
                <w:color w:val="auto"/>
              </w:rPr>
              <w:t>Cable Networks Segment Results of Operations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82"/>
        </w:trPr>
        <w:tc>
          <w:tcPr>
            <w:tcW w:w="5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80" w:type="dxa"/>
            <w:vAlign w:val="bottom"/>
            <w:gridSpan w:val="3"/>
          </w:tcPr>
          <w:p>
            <w:pPr>
              <w:jc w:val="right"/>
              <w:ind w:right="772"/>
              <w:spacing w:after="0"/>
              <w:rPr>
                <w:sz w:val="20"/>
                <w:szCs w:val="20"/>
                <w:color w:val="auto"/>
              </w:rPr>
            </w:pPr>
            <w:r>
              <w:rPr>
                <w:rFonts w:ascii="Arial" w:cs="Arial" w:eastAsia="Arial" w:hAnsi="Arial"/>
                <w:sz w:val="14"/>
                <w:szCs w:val="14"/>
                <w:color w:val="auto"/>
              </w:rPr>
              <w:t>Three Months Ended</w:t>
            </w:r>
          </w:p>
        </w:tc>
        <w:tc>
          <w:tcPr>
            <w:tcW w:w="420" w:type="dxa"/>
            <w:vAlign w:val="bottom"/>
          </w:tcPr>
          <w:p>
            <w:pPr>
              <w:spacing w:after="0"/>
              <w:rPr>
                <w:sz w:val="24"/>
                <w:szCs w:val="24"/>
                <w:color w:val="auto"/>
              </w:rPr>
            </w:pPr>
          </w:p>
        </w:tc>
        <w:tc>
          <w:tcPr>
            <w:tcW w:w="1620" w:type="dxa"/>
            <w:vAlign w:val="bottom"/>
          </w:tcPr>
          <w:p>
            <w:pPr>
              <w:jc w:val="center"/>
              <w:ind w:left="534"/>
              <w:spacing w:after="0"/>
              <w:rPr>
                <w:sz w:val="20"/>
                <w:szCs w:val="20"/>
                <w:color w:val="auto"/>
              </w:rPr>
            </w:pPr>
            <w:r>
              <w:rPr>
                <w:rFonts w:ascii="Arial" w:cs="Arial" w:eastAsia="Arial" w:hAnsi="Arial"/>
                <w:sz w:val="14"/>
                <w:szCs w:val="14"/>
                <w:color w:val="auto"/>
                <w:w w:val="90"/>
              </w:rPr>
              <w:t>Increase/</w:t>
            </w:r>
          </w:p>
        </w:tc>
        <w:tc>
          <w:tcPr>
            <w:tcW w:w="1040" w:type="dxa"/>
            <w:vAlign w:val="bottom"/>
          </w:tcPr>
          <w:p>
            <w:pPr>
              <w:spacing w:after="0"/>
              <w:rPr>
                <w:sz w:val="24"/>
                <w:szCs w:val="24"/>
                <w:color w:val="auto"/>
              </w:rPr>
            </w:pPr>
          </w:p>
        </w:tc>
      </w:tr>
      <w:tr>
        <w:trPr>
          <w:trHeight w:val="188"/>
        </w:trPr>
        <w:tc>
          <w:tcPr>
            <w:tcW w:w="54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color w:val="auto"/>
              </w:rPr>
              <w:t>March 31</w:t>
            </w:r>
          </w:p>
        </w:tc>
        <w:tc>
          <w:tcPr>
            <w:tcW w:w="10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left="554"/>
              <w:spacing w:after="0"/>
              <w:rPr>
                <w:sz w:val="20"/>
                <w:szCs w:val="20"/>
                <w:color w:val="auto"/>
              </w:rPr>
            </w:pPr>
            <w:r>
              <w:rPr>
                <w:rFonts w:ascii="Arial" w:cs="Arial" w:eastAsia="Arial" w:hAnsi="Arial"/>
                <w:sz w:val="14"/>
                <w:szCs w:val="14"/>
                <w:color w:val="auto"/>
                <w:w w:val="89"/>
              </w:rPr>
              <w:t>(Decrease)</w:t>
            </w:r>
          </w:p>
        </w:tc>
        <w:tc>
          <w:tcPr>
            <w:tcW w:w="1040" w:type="dxa"/>
            <w:vAlign w:val="bottom"/>
            <w:tcBorders>
              <w:bottom w:val="single" w:sz="8" w:color="auto"/>
            </w:tcBorders>
          </w:tcPr>
          <w:p>
            <w:pPr>
              <w:spacing w:after="0"/>
              <w:rPr>
                <w:sz w:val="16"/>
                <w:szCs w:val="16"/>
                <w:color w:val="auto"/>
              </w:rPr>
            </w:pPr>
          </w:p>
        </w:tc>
      </w:tr>
      <w:tr>
        <w:trPr>
          <w:trHeight w:val="196"/>
        </w:trPr>
        <w:tc>
          <w:tcPr>
            <w:tcW w:w="5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color w:val="auto"/>
              </w:rPr>
              <w:t>2017</w:t>
            </w:r>
          </w:p>
        </w:tc>
        <w:tc>
          <w:tcPr>
            <w:tcW w:w="4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color w:val="auto"/>
              </w:rPr>
              <w:t>2016</w:t>
            </w:r>
          </w:p>
        </w:tc>
        <w:tc>
          <w:tcPr>
            <w:tcW w:w="4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1194"/>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color w:val="auto"/>
              </w:rPr>
              <w:t>%</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5420" w:type="dxa"/>
            <w:vAlign w:val="bottom"/>
          </w:tcPr>
          <w:p>
            <w:pPr>
              <w:ind w:left="380"/>
              <w:spacing w:after="0"/>
              <w:rPr>
                <w:sz w:val="20"/>
                <w:szCs w:val="20"/>
                <w:color w:val="auto"/>
              </w:rPr>
            </w:pPr>
            <w:r>
              <w:rPr>
                <w:rFonts w:ascii="Arial" w:cs="Arial" w:eastAsia="Arial" w:hAnsi="Arial"/>
                <w:sz w:val="18"/>
                <w:szCs w:val="18"/>
                <w:color w:val="auto"/>
              </w:rPr>
              <w:t>Distribution</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1,562</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1,438</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ind w:right="594"/>
              <w:spacing w:after="0"/>
              <w:rPr>
                <w:sz w:val="20"/>
                <w:szCs w:val="20"/>
                <w:color w:val="auto"/>
              </w:rPr>
            </w:pPr>
            <w:r>
              <w:rPr>
                <w:rFonts w:ascii="Arial" w:cs="Arial" w:eastAsia="Arial" w:hAnsi="Arial"/>
                <w:sz w:val="18"/>
                <w:szCs w:val="18"/>
                <w:color w:val="auto"/>
              </w:rPr>
              <w:t>124</w:t>
            </w:r>
          </w:p>
        </w:tc>
        <w:tc>
          <w:tcPr>
            <w:tcW w:w="1040" w:type="dxa"/>
            <w:vAlign w:val="bottom"/>
          </w:tcPr>
          <w:p>
            <w:pPr>
              <w:jc w:val="right"/>
              <w:spacing w:after="0"/>
              <w:rPr>
                <w:sz w:val="20"/>
                <w:szCs w:val="20"/>
                <w:color w:val="auto"/>
              </w:rPr>
            </w:pPr>
            <w:r>
              <w:rPr>
                <w:rFonts w:ascii="Arial" w:cs="Arial" w:eastAsia="Arial" w:hAnsi="Arial"/>
                <w:sz w:val="18"/>
                <w:szCs w:val="18"/>
                <w:color w:val="auto"/>
              </w:rPr>
              <w:t>8.6 %</w:t>
            </w:r>
          </w:p>
        </w:tc>
      </w:tr>
      <w:tr>
        <w:trPr>
          <w:trHeight w:val="270"/>
        </w:trPr>
        <w:tc>
          <w:tcPr>
            <w:tcW w:w="5420" w:type="dxa"/>
            <w:vAlign w:val="bottom"/>
          </w:tcPr>
          <w:p>
            <w:pPr>
              <w:ind w:left="380"/>
              <w:spacing w:after="0"/>
              <w:rPr>
                <w:sz w:val="20"/>
                <w:szCs w:val="20"/>
                <w:color w:val="auto"/>
              </w:rPr>
            </w:pPr>
            <w:r>
              <w:rPr>
                <w:rFonts w:ascii="Arial" w:cs="Arial" w:eastAsia="Arial" w:hAnsi="Arial"/>
                <w:sz w:val="18"/>
                <w:szCs w:val="18"/>
                <w:color w:val="auto"/>
              </w:rPr>
              <w:t>Advertising</w:t>
            </w:r>
          </w:p>
        </w:tc>
        <w:tc>
          <w:tcPr>
            <w:tcW w:w="340" w:type="dxa"/>
            <w:vAlign w:val="bottom"/>
          </w:tcPr>
          <w:p>
            <w:pPr>
              <w:spacing w:after="0"/>
              <w:rPr>
                <w:sz w:val="23"/>
                <w:szCs w:val="23"/>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826</w:t>
            </w:r>
          </w:p>
        </w:tc>
        <w:tc>
          <w:tcPr>
            <w:tcW w:w="440" w:type="dxa"/>
            <w:vAlign w:val="bottom"/>
          </w:tcPr>
          <w:p>
            <w:pPr>
              <w:spacing w:after="0"/>
              <w:rPr>
                <w:sz w:val="23"/>
                <w:szCs w:val="23"/>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851</w:t>
            </w:r>
          </w:p>
        </w:tc>
        <w:tc>
          <w:tcPr>
            <w:tcW w:w="420" w:type="dxa"/>
            <w:vAlign w:val="bottom"/>
          </w:tcPr>
          <w:p>
            <w:pPr>
              <w:spacing w:after="0"/>
              <w:rPr>
                <w:sz w:val="23"/>
                <w:szCs w:val="23"/>
                <w:color w:val="auto"/>
              </w:rPr>
            </w:pPr>
          </w:p>
        </w:tc>
        <w:tc>
          <w:tcPr>
            <w:tcW w:w="1620" w:type="dxa"/>
            <w:vAlign w:val="bottom"/>
          </w:tcPr>
          <w:p>
            <w:pPr>
              <w:jc w:val="right"/>
              <w:ind w:right="534"/>
              <w:spacing w:after="0"/>
              <w:rPr>
                <w:sz w:val="20"/>
                <w:szCs w:val="20"/>
                <w:color w:val="auto"/>
              </w:rPr>
            </w:pPr>
            <w:r>
              <w:rPr>
                <w:rFonts w:ascii="Arial" w:cs="Arial" w:eastAsia="Arial" w:hAnsi="Arial"/>
                <w:sz w:val="18"/>
                <w:szCs w:val="18"/>
                <w:color w:val="auto"/>
              </w:rPr>
              <w:t>(25)</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(2.9)</w:t>
            </w:r>
          </w:p>
        </w:tc>
      </w:tr>
      <w:tr>
        <w:trPr>
          <w:trHeight w:val="270"/>
        </w:trPr>
        <w:tc>
          <w:tcPr>
            <w:tcW w:w="5420" w:type="dxa"/>
            <w:vAlign w:val="bottom"/>
          </w:tcPr>
          <w:p>
            <w:pPr>
              <w:ind w:left="380"/>
              <w:spacing w:after="0"/>
              <w:rPr>
                <w:sz w:val="20"/>
                <w:szCs w:val="20"/>
                <w:color w:val="auto"/>
              </w:rPr>
            </w:pPr>
            <w:r>
              <w:rPr>
                <w:rFonts w:ascii="Arial" w:cs="Arial" w:eastAsia="Arial" w:hAnsi="Arial"/>
                <w:sz w:val="18"/>
                <w:szCs w:val="18"/>
                <w:color w:val="auto"/>
              </w:rPr>
              <w:t>Content licensing and other</w:t>
            </w:r>
          </w:p>
        </w:tc>
        <w:tc>
          <w:tcPr>
            <w:tcW w:w="340" w:type="dxa"/>
            <w:vAlign w:val="bottom"/>
          </w:tcPr>
          <w:p>
            <w:pPr>
              <w:spacing w:after="0"/>
              <w:rPr>
                <w:sz w:val="23"/>
                <w:szCs w:val="23"/>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253</w:t>
            </w:r>
          </w:p>
        </w:tc>
        <w:tc>
          <w:tcPr>
            <w:tcW w:w="440" w:type="dxa"/>
            <w:vAlign w:val="bottom"/>
          </w:tcPr>
          <w:p>
            <w:pPr>
              <w:spacing w:after="0"/>
              <w:rPr>
                <w:sz w:val="23"/>
                <w:szCs w:val="23"/>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164</w:t>
            </w:r>
          </w:p>
        </w:tc>
        <w:tc>
          <w:tcPr>
            <w:tcW w:w="420" w:type="dxa"/>
            <w:vAlign w:val="bottom"/>
          </w:tcPr>
          <w:p>
            <w:pPr>
              <w:spacing w:after="0"/>
              <w:rPr>
                <w:sz w:val="23"/>
                <w:szCs w:val="23"/>
                <w:color w:val="auto"/>
              </w:rPr>
            </w:pPr>
          </w:p>
        </w:tc>
        <w:tc>
          <w:tcPr>
            <w:tcW w:w="1620" w:type="dxa"/>
            <w:vAlign w:val="bottom"/>
          </w:tcPr>
          <w:p>
            <w:pPr>
              <w:jc w:val="right"/>
              <w:ind w:right="594"/>
              <w:spacing w:after="0"/>
              <w:rPr>
                <w:sz w:val="20"/>
                <w:szCs w:val="20"/>
                <w:color w:val="auto"/>
              </w:rPr>
            </w:pPr>
            <w:r>
              <w:rPr>
                <w:rFonts w:ascii="Arial" w:cs="Arial" w:eastAsia="Arial" w:hAnsi="Arial"/>
                <w:sz w:val="18"/>
                <w:szCs w:val="18"/>
                <w:color w:val="auto"/>
              </w:rPr>
              <w:t>89</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54.0</w:t>
            </w:r>
          </w:p>
        </w:tc>
      </w:tr>
      <w:tr>
        <w:trPr>
          <w:trHeight w:val="27"/>
        </w:trPr>
        <w:tc>
          <w:tcPr>
            <w:tcW w:w="54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42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spacing w:after="0"/>
              <w:rPr>
                <w:sz w:val="20"/>
                <w:szCs w:val="20"/>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b w:val="1"/>
                <w:bCs w:val="1"/>
                <w:color w:val="auto"/>
              </w:rPr>
              <w:t>2,641</w:t>
            </w:r>
          </w:p>
        </w:tc>
        <w:tc>
          <w:tcPr>
            <w:tcW w:w="44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b w:val="1"/>
                <w:bCs w:val="1"/>
                <w:color w:val="auto"/>
              </w:rPr>
              <w:t>2,453</w:t>
            </w:r>
          </w:p>
        </w:tc>
        <w:tc>
          <w:tcPr>
            <w:tcW w:w="420" w:type="dxa"/>
            <w:vAlign w:val="bottom"/>
          </w:tcPr>
          <w:p>
            <w:pPr>
              <w:spacing w:after="0"/>
              <w:rPr>
                <w:sz w:val="20"/>
                <w:szCs w:val="20"/>
                <w:color w:val="auto"/>
              </w:rPr>
            </w:pPr>
          </w:p>
        </w:tc>
        <w:tc>
          <w:tcPr>
            <w:tcW w:w="1620" w:type="dxa"/>
            <w:vAlign w:val="bottom"/>
          </w:tcPr>
          <w:p>
            <w:pPr>
              <w:jc w:val="right"/>
              <w:ind w:right="594"/>
              <w:spacing w:after="0"/>
              <w:rPr>
                <w:sz w:val="20"/>
                <w:szCs w:val="20"/>
                <w:color w:val="auto"/>
              </w:rPr>
            </w:pPr>
            <w:r>
              <w:rPr>
                <w:rFonts w:ascii="Arial" w:cs="Arial" w:eastAsia="Arial" w:hAnsi="Arial"/>
                <w:sz w:val="18"/>
                <w:szCs w:val="18"/>
                <w:b w:val="1"/>
                <w:bCs w:val="1"/>
                <w:color w:val="auto"/>
              </w:rPr>
              <w:t>188</w:t>
            </w:r>
          </w:p>
        </w:tc>
        <w:tc>
          <w:tcPr>
            <w:tcW w:w="1040" w:type="dxa"/>
            <w:vAlign w:val="bottom"/>
          </w:tcPr>
          <w:p>
            <w:pPr>
              <w:jc w:val="right"/>
              <w:ind w:right="172"/>
              <w:spacing w:after="0"/>
              <w:rPr>
                <w:sz w:val="20"/>
                <w:szCs w:val="20"/>
                <w:color w:val="auto"/>
              </w:rPr>
            </w:pPr>
            <w:r>
              <w:rPr>
                <w:rFonts w:ascii="Arial" w:cs="Arial" w:eastAsia="Arial" w:hAnsi="Arial"/>
                <w:sz w:val="18"/>
                <w:szCs w:val="18"/>
                <w:b w:val="1"/>
                <w:bCs w:val="1"/>
                <w:color w:val="auto"/>
              </w:rPr>
              <w:t>7.6</w:t>
            </w:r>
          </w:p>
        </w:tc>
      </w:tr>
      <w:tr>
        <w:trPr>
          <w:trHeight w:val="270"/>
        </w:trPr>
        <w:tc>
          <w:tcPr>
            <w:tcW w:w="5420" w:type="dxa"/>
            <w:vAlign w:val="bottom"/>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5420" w:type="dxa"/>
            <w:vAlign w:val="bottom"/>
          </w:tcPr>
          <w:p>
            <w:pPr>
              <w:ind w:left="380"/>
              <w:spacing w:after="0"/>
              <w:rPr>
                <w:sz w:val="20"/>
                <w:szCs w:val="20"/>
                <w:color w:val="auto"/>
              </w:rPr>
            </w:pPr>
            <w:r>
              <w:rPr>
                <w:rFonts w:ascii="Arial" w:cs="Arial" w:eastAsia="Arial" w:hAnsi="Arial"/>
                <w:sz w:val="18"/>
                <w:szCs w:val="18"/>
                <w:color w:val="auto"/>
              </w:rPr>
              <w:t>Programming and production</w:t>
            </w:r>
          </w:p>
        </w:tc>
        <w:tc>
          <w:tcPr>
            <w:tcW w:w="340" w:type="dxa"/>
            <w:vAlign w:val="bottom"/>
          </w:tcPr>
          <w:p>
            <w:pPr>
              <w:spacing w:after="0"/>
              <w:rPr>
                <w:sz w:val="23"/>
                <w:szCs w:val="23"/>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1,083</w:t>
            </w:r>
          </w:p>
        </w:tc>
        <w:tc>
          <w:tcPr>
            <w:tcW w:w="440" w:type="dxa"/>
            <w:vAlign w:val="bottom"/>
          </w:tcPr>
          <w:p>
            <w:pPr>
              <w:spacing w:after="0"/>
              <w:rPr>
                <w:sz w:val="23"/>
                <w:szCs w:val="23"/>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1,058</w:t>
            </w:r>
          </w:p>
        </w:tc>
        <w:tc>
          <w:tcPr>
            <w:tcW w:w="420" w:type="dxa"/>
            <w:vAlign w:val="bottom"/>
          </w:tcPr>
          <w:p>
            <w:pPr>
              <w:spacing w:after="0"/>
              <w:rPr>
                <w:sz w:val="23"/>
                <w:szCs w:val="23"/>
                <w:color w:val="auto"/>
              </w:rPr>
            </w:pPr>
          </w:p>
        </w:tc>
        <w:tc>
          <w:tcPr>
            <w:tcW w:w="1620" w:type="dxa"/>
            <w:vAlign w:val="bottom"/>
          </w:tcPr>
          <w:p>
            <w:pPr>
              <w:jc w:val="right"/>
              <w:ind w:right="594"/>
              <w:spacing w:after="0"/>
              <w:rPr>
                <w:sz w:val="20"/>
                <w:szCs w:val="20"/>
                <w:color w:val="auto"/>
              </w:rPr>
            </w:pPr>
            <w:r>
              <w:rPr>
                <w:rFonts w:ascii="Arial" w:cs="Arial" w:eastAsia="Arial" w:hAnsi="Arial"/>
                <w:sz w:val="18"/>
                <w:szCs w:val="18"/>
                <w:color w:val="auto"/>
              </w:rPr>
              <w:t>25</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2.3</w:t>
            </w:r>
          </w:p>
        </w:tc>
      </w:tr>
      <w:tr>
        <w:trPr>
          <w:trHeight w:val="270"/>
        </w:trPr>
        <w:tc>
          <w:tcPr>
            <w:tcW w:w="5420" w:type="dxa"/>
            <w:vAlign w:val="bottom"/>
          </w:tcPr>
          <w:p>
            <w:pPr>
              <w:ind w:left="380"/>
              <w:spacing w:after="0"/>
              <w:rPr>
                <w:sz w:val="20"/>
                <w:szCs w:val="20"/>
                <w:color w:val="auto"/>
              </w:rPr>
            </w:pPr>
            <w:r>
              <w:rPr>
                <w:rFonts w:ascii="Arial" w:cs="Arial" w:eastAsia="Arial" w:hAnsi="Arial"/>
                <w:sz w:val="18"/>
                <w:szCs w:val="18"/>
                <w:color w:val="auto"/>
              </w:rPr>
              <w:t>Other operating and administrative</w:t>
            </w:r>
          </w:p>
        </w:tc>
        <w:tc>
          <w:tcPr>
            <w:tcW w:w="340" w:type="dxa"/>
            <w:vAlign w:val="bottom"/>
          </w:tcPr>
          <w:p>
            <w:pPr>
              <w:spacing w:after="0"/>
              <w:rPr>
                <w:sz w:val="23"/>
                <w:szCs w:val="23"/>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321</w:t>
            </w:r>
          </w:p>
        </w:tc>
        <w:tc>
          <w:tcPr>
            <w:tcW w:w="440" w:type="dxa"/>
            <w:vAlign w:val="bottom"/>
          </w:tcPr>
          <w:p>
            <w:pPr>
              <w:spacing w:after="0"/>
              <w:rPr>
                <w:sz w:val="23"/>
                <w:szCs w:val="23"/>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307</w:t>
            </w:r>
          </w:p>
        </w:tc>
        <w:tc>
          <w:tcPr>
            <w:tcW w:w="420" w:type="dxa"/>
            <w:vAlign w:val="bottom"/>
          </w:tcPr>
          <w:p>
            <w:pPr>
              <w:spacing w:after="0"/>
              <w:rPr>
                <w:sz w:val="23"/>
                <w:szCs w:val="23"/>
                <w:color w:val="auto"/>
              </w:rPr>
            </w:pPr>
          </w:p>
        </w:tc>
        <w:tc>
          <w:tcPr>
            <w:tcW w:w="1620" w:type="dxa"/>
            <w:vAlign w:val="bottom"/>
          </w:tcPr>
          <w:p>
            <w:pPr>
              <w:jc w:val="right"/>
              <w:ind w:right="594"/>
              <w:spacing w:after="0"/>
              <w:rPr>
                <w:sz w:val="20"/>
                <w:szCs w:val="20"/>
                <w:color w:val="auto"/>
              </w:rPr>
            </w:pPr>
            <w:r>
              <w:rPr>
                <w:rFonts w:ascii="Arial" w:cs="Arial" w:eastAsia="Arial" w:hAnsi="Arial"/>
                <w:sz w:val="18"/>
                <w:szCs w:val="18"/>
                <w:color w:val="auto"/>
              </w:rPr>
              <w:t>14</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4.4</w:t>
            </w:r>
          </w:p>
        </w:tc>
      </w:tr>
      <w:tr>
        <w:trPr>
          <w:trHeight w:val="270"/>
        </w:trPr>
        <w:tc>
          <w:tcPr>
            <w:tcW w:w="542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340" w:type="dxa"/>
            <w:vAlign w:val="bottom"/>
          </w:tcPr>
          <w:p>
            <w:pPr>
              <w:spacing w:after="0"/>
              <w:rPr>
                <w:sz w:val="23"/>
                <w:szCs w:val="23"/>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121</w:t>
            </w:r>
          </w:p>
        </w:tc>
        <w:tc>
          <w:tcPr>
            <w:tcW w:w="440" w:type="dxa"/>
            <w:vAlign w:val="bottom"/>
          </w:tcPr>
          <w:p>
            <w:pPr>
              <w:spacing w:after="0"/>
              <w:rPr>
                <w:sz w:val="23"/>
                <w:szCs w:val="23"/>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132</w:t>
            </w:r>
          </w:p>
        </w:tc>
        <w:tc>
          <w:tcPr>
            <w:tcW w:w="420" w:type="dxa"/>
            <w:vAlign w:val="bottom"/>
          </w:tcPr>
          <w:p>
            <w:pPr>
              <w:spacing w:after="0"/>
              <w:rPr>
                <w:sz w:val="23"/>
                <w:szCs w:val="23"/>
                <w:color w:val="auto"/>
              </w:rPr>
            </w:pPr>
          </w:p>
        </w:tc>
        <w:tc>
          <w:tcPr>
            <w:tcW w:w="1620" w:type="dxa"/>
            <w:vAlign w:val="bottom"/>
          </w:tcPr>
          <w:p>
            <w:pPr>
              <w:jc w:val="right"/>
              <w:ind w:right="534"/>
              <w:spacing w:after="0"/>
              <w:rPr>
                <w:sz w:val="20"/>
                <w:szCs w:val="20"/>
                <w:color w:val="auto"/>
              </w:rPr>
            </w:pPr>
            <w:r>
              <w:rPr>
                <w:rFonts w:ascii="Arial" w:cs="Arial" w:eastAsia="Arial" w:hAnsi="Arial"/>
                <w:sz w:val="18"/>
                <w:szCs w:val="18"/>
                <w:color w:val="auto"/>
              </w:rPr>
              <w:t>(11)</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(8.4)</w:t>
            </w:r>
          </w:p>
        </w:tc>
      </w:tr>
      <w:tr>
        <w:trPr>
          <w:trHeight w:val="27"/>
        </w:trPr>
        <w:tc>
          <w:tcPr>
            <w:tcW w:w="54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42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Pr>
          <w:p>
            <w:pPr>
              <w:spacing w:after="0"/>
              <w:rPr>
                <w:sz w:val="20"/>
                <w:szCs w:val="20"/>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1,525</w:t>
            </w:r>
          </w:p>
        </w:tc>
        <w:tc>
          <w:tcPr>
            <w:tcW w:w="44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1,497</w:t>
            </w:r>
          </w:p>
        </w:tc>
        <w:tc>
          <w:tcPr>
            <w:tcW w:w="420" w:type="dxa"/>
            <w:vAlign w:val="bottom"/>
          </w:tcPr>
          <w:p>
            <w:pPr>
              <w:spacing w:after="0"/>
              <w:rPr>
                <w:sz w:val="20"/>
                <w:szCs w:val="20"/>
                <w:color w:val="auto"/>
              </w:rPr>
            </w:pPr>
          </w:p>
        </w:tc>
        <w:tc>
          <w:tcPr>
            <w:tcW w:w="1620" w:type="dxa"/>
            <w:vAlign w:val="bottom"/>
          </w:tcPr>
          <w:p>
            <w:pPr>
              <w:jc w:val="right"/>
              <w:ind w:right="594"/>
              <w:spacing w:after="0"/>
              <w:rPr>
                <w:sz w:val="20"/>
                <w:szCs w:val="20"/>
                <w:color w:val="auto"/>
              </w:rPr>
            </w:pPr>
            <w:r>
              <w:rPr>
                <w:rFonts w:ascii="Arial" w:cs="Arial" w:eastAsia="Arial" w:hAnsi="Arial"/>
                <w:sz w:val="18"/>
                <w:szCs w:val="18"/>
                <w:color w:val="auto"/>
              </w:rPr>
              <w:t>28</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1.8</w:t>
            </w:r>
          </w:p>
        </w:tc>
      </w:tr>
      <w:tr>
        <w:trPr>
          <w:trHeight w:val="27"/>
        </w:trPr>
        <w:tc>
          <w:tcPr>
            <w:tcW w:w="54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42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ind w:right="34"/>
              <w:spacing w:after="0"/>
              <w:rPr>
                <w:sz w:val="20"/>
                <w:szCs w:val="20"/>
                <w:color w:val="auto"/>
              </w:rPr>
            </w:pPr>
            <w:r>
              <w:rPr>
                <w:rFonts w:ascii="Arial" w:cs="Arial" w:eastAsia="Arial" w:hAnsi="Arial"/>
                <w:sz w:val="18"/>
                <w:szCs w:val="18"/>
                <w:b w:val="1"/>
                <w:bCs w:val="1"/>
                <w:color w:val="auto"/>
              </w:rPr>
              <w:t>1,116</w:t>
            </w:r>
          </w:p>
        </w:tc>
        <w:tc>
          <w:tcPr>
            <w:tcW w:w="440" w:type="dxa"/>
            <w:vAlign w:val="bottom"/>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ind w:right="32"/>
              <w:spacing w:after="0"/>
              <w:rPr>
                <w:sz w:val="20"/>
                <w:szCs w:val="20"/>
                <w:color w:val="auto"/>
              </w:rPr>
            </w:pPr>
            <w:r>
              <w:rPr>
                <w:rFonts w:ascii="Arial" w:cs="Arial" w:eastAsia="Arial" w:hAnsi="Arial"/>
                <w:sz w:val="18"/>
                <w:szCs w:val="18"/>
                <w:b w:val="1"/>
                <w:bCs w:val="1"/>
                <w:color w:val="auto"/>
              </w:rPr>
              <w:t>956</w:t>
            </w:r>
          </w:p>
        </w:tc>
        <w:tc>
          <w:tcPr>
            <w:tcW w:w="42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620" w:type="dxa"/>
            <w:vAlign w:val="bottom"/>
          </w:tcPr>
          <w:p>
            <w:pPr>
              <w:jc w:val="right"/>
              <w:ind w:right="594"/>
              <w:spacing w:after="0"/>
              <w:rPr>
                <w:sz w:val="20"/>
                <w:szCs w:val="20"/>
                <w:color w:val="auto"/>
              </w:rPr>
            </w:pPr>
            <w:r>
              <w:rPr>
                <w:rFonts w:ascii="Arial" w:cs="Arial" w:eastAsia="Arial" w:hAnsi="Arial"/>
                <w:sz w:val="18"/>
                <w:szCs w:val="18"/>
                <w:b w:val="1"/>
                <w:bCs w:val="1"/>
                <w:color w:val="auto"/>
              </w:rPr>
              <w:t>160</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16.8 %</w:t>
            </w:r>
          </w:p>
        </w:tc>
      </w:tr>
      <w:tr>
        <w:trPr>
          <w:trHeight w:val="34"/>
        </w:trPr>
        <w:tc>
          <w:tcPr>
            <w:tcW w:w="54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Segment—Revenue</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Cable Networks revenue increased for the three months ended March 31, 2017 compared to the same period in 2016 due to increases in distribution revenue and content licensing and other revenue, which were partially offset by a decrease in advertising revenue. The increase in distribution revenue was primarily due to increases in the contractual rates charged under distribution agreements and the timing of contract renewals, which were partially offset by a decline in the number of subscribers at our cable networks. The increase in content licensing and other revenue was primarily due to a new content licensing agreement, as well as the timing of content provided under our existing licensing agreements. The decrease in advertising revenue was primarily due to continued declines in audience ratings at our networks, which were partially offset by higher prices for advertising units sold.</w:t>
      </w:r>
    </w:p>
    <w:p>
      <w:pPr>
        <w:spacing w:after="0" w:line="12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both the three months ended March 31, 2017 and 2016, 15% of our Cable Networks segment revenue was generated from our Cable Communications segment. These amounts are eliminated in our condensed consolidated financial statements but are included in the amounts presented above.</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75"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Segment—Operating Costs and Expenses</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costs and expenses increased for the three months ended March 31, 2017 compared to the same period in 2016 primarily due to increases in programming and production costs and other operating and administrative expenses, which were partially offset by a decrease in advertising, marketing and promotion expenses. The increase in programming and production costs was primarily due to our continued investment in original programming and an increase in sports programming rights costs. The increase in other operating and administrative expenses was primarily due to an increase in employee-related costs.</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Broadcast Television Segment Results of Operations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40" w:type="dxa"/>
            <w:vAlign w:val="bottom"/>
            <w:gridSpan w:val="3"/>
          </w:tcPr>
          <w:p>
            <w:pPr>
              <w:jc w:val="right"/>
              <w:ind w:right="712"/>
              <w:spacing w:after="0"/>
              <w:rPr>
                <w:sz w:val="20"/>
                <w:szCs w:val="20"/>
                <w:color w:val="auto"/>
              </w:rPr>
            </w:pPr>
            <w:r>
              <w:rPr>
                <w:rFonts w:ascii="Arial" w:cs="Arial" w:eastAsia="Arial" w:hAnsi="Arial"/>
                <w:sz w:val="14"/>
                <w:szCs w:val="14"/>
                <w:color w:val="auto"/>
              </w:rPr>
              <w:t>Three Months Ended</w:t>
            </w:r>
          </w:p>
        </w:tc>
        <w:tc>
          <w:tcPr>
            <w:tcW w:w="440" w:type="dxa"/>
            <w:vAlign w:val="bottom"/>
          </w:tcPr>
          <w:p>
            <w:pPr>
              <w:spacing w:after="0"/>
              <w:rPr>
                <w:sz w:val="14"/>
                <w:szCs w:val="14"/>
                <w:color w:val="auto"/>
              </w:rPr>
            </w:pPr>
          </w:p>
        </w:tc>
        <w:tc>
          <w:tcPr>
            <w:tcW w:w="1640" w:type="dxa"/>
            <w:vAlign w:val="bottom"/>
          </w:tcPr>
          <w:p>
            <w:pPr>
              <w:jc w:val="right"/>
              <w:ind w:right="134"/>
              <w:spacing w:after="0"/>
              <w:rPr>
                <w:sz w:val="20"/>
                <w:szCs w:val="20"/>
                <w:color w:val="auto"/>
              </w:rPr>
            </w:pPr>
            <w:r>
              <w:rPr>
                <w:rFonts w:ascii="Arial" w:cs="Arial" w:eastAsia="Arial" w:hAnsi="Arial"/>
                <w:sz w:val="14"/>
                <w:szCs w:val="14"/>
                <w:color w:val="auto"/>
              </w:rPr>
              <w:t>Increase/</w:t>
            </w:r>
          </w:p>
        </w:tc>
        <w:tc>
          <w:tcPr>
            <w:tcW w:w="1040" w:type="dxa"/>
            <w:vAlign w:val="bottom"/>
          </w:tcPr>
          <w:p>
            <w:pPr>
              <w:spacing w:after="0"/>
              <w:rPr>
                <w:sz w:val="14"/>
                <w:szCs w:val="14"/>
                <w:color w:val="auto"/>
              </w:rPr>
            </w:pPr>
          </w:p>
        </w:tc>
      </w:tr>
      <w:tr>
        <w:trPr>
          <w:trHeight w:val="188"/>
        </w:trPr>
        <w:tc>
          <w:tcPr>
            <w:tcW w:w="54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color w:val="auto"/>
              </w:rPr>
              <w:t>March 31</w:t>
            </w:r>
          </w:p>
        </w:tc>
        <w:tc>
          <w:tcPr>
            <w:tcW w:w="9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(Decrease)</w:t>
            </w:r>
          </w:p>
        </w:tc>
        <w:tc>
          <w:tcPr>
            <w:tcW w:w="1040" w:type="dxa"/>
            <w:vAlign w:val="bottom"/>
            <w:tcBorders>
              <w:bottom w:val="single" w:sz="8" w:color="auto"/>
            </w:tcBorders>
          </w:tcPr>
          <w:p>
            <w:pPr>
              <w:spacing w:after="0"/>
              <w:rPr>
                <w:sz w:val="16"/>
                <w:szCs w:val="16"/>
                <w:color w:val="auto"/>
              </w:rPr>
            </w:pPr>
          </w:p>
        </w:tc>
      </w:tr>
      <w:tr>
        <w:trPr>
          <w:trHeight w:val="196"/>
        </w:trPr>
        <w:tc>
          <w:tcPr>
            <w:tcW w:w="5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color w:val="auto"/>
              </w:rPr>
              <w:t>2017</w:t>
            </w: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2016</w:t>
            </w:r>
          </w:p>
        </w:tc>
        <w:tc>
          <w:tcPr>
            <w:tcW w:w="4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194"/>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color w:val="auto"/>
              </w:rPr>
              <w:t>%</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5420" w:type="dxa"/>
            <w:vAlign w:val="bottom"/>
          </w:tcPr>
          <w:p>
            <w:pPr>
              <w:ind w:left="380"/>
              <w:spacing w:after="0"/>
              <w:rPr>
                <w:sz w:val="20"/>
                <w:szCs w:val="20"/>
                <w:color w:val="auto"/>
              </w:rPr>
            </w:pPr>
            <w:r>
              <w:rPr>
                <w:rFonts w:ascii="Arial" w:cs="Arial" w:eastAsia="Arial" w:hAnsi="Arial"/>
                <w:sz w:val="18"/>
                <w:szCs w:val="18"/>
                <w:color w:val="auto"/>
              </w:rPr>
              <w:t>Advertising</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1,279</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1,275</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4</w:t>
            </w:r>
          </w:p>
        </w:tc>
        <w:tc>
          <w:tcPr>
            <w:tcW w:w="1040" w:type="dxa"/>
            <w:vAlign w:val="bottom"/>
          </w:tcPr>
          <w:p>
            <w:pPr>
              <w:jc w:val="right"/>
              <w:spacing w:after="0"/>
              <w:rPr>
                <w:sz w:val="20"/>
                <w:szCs w:val="20"/>
                <w:color w:val="auto"/>
              </w:rPr>
            </w:pPr>
            <w:r>
              <w:rPr>
                <w:rFonts w:ascii="Arial" w:cs="Arial" w:eastAsia="Arial" w:hAnsi="Arial"/>
                <w:sz w:val="18"/>
                <w:szCs w:val="18"/>
                <w:color w:val="auto"/>
              </w:rPr>
              <w:t>0.3 %</w:t>
            </w:r>
          </w:p>
        </w:tc>
      </w:tr>
      <w:tr>
        <w:trPr>
          <w:trHeight w:val="270"/>
        </w:trPr>
        <w:tc>
          <w:tcPr>
            <w:tcW w:w="5420" w:type="dxa"/>
            <w:vAlign w:val="bottom"/>
          </w:tcPr>
          <w:p>
            <w:pPr>
              <w:ind w:left="380"/>
              <w:spacing w:after="0"/>
              <w:rPr>
                <w:sz w:val="20"/>
                <w:szCs w:val="20"/>
                <w:color w:val="auto"/>
              </w:rPr>
            </w:pPr>
            <w:r>
              <w:rPr>
                <w:rFonts w:ascii="Arial" w:cs="Arial" w:eastAsia="Arial" w:hAnsi="Arial"/>
                <w:sz w:val="18"/>
                <w:szCs w:val="18"/>
                <w:color w:val="auto"/>
              </w:rPr>
              <w:t>Content licensing</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503</w:t>
            </w:r>
          </w:p>
        </w:tc>
        <w:tc>
          <w:tcPr>
            <w:tcW w:w="5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490</w:t>
            </w:r>
          </w:p>
        </w:tc>
        <w:tc>
          <w:tcPr>
            <w:tcW w:w="44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13</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2.6</w:t>
            </w:r>
          </w:p>
        </w:tc>
      </w:tr>
      <w:tr>
        <w:trPr>
          <w:trHeight w:val="270"/>
        </w:trPr>
        <w:tc>
          <w:tcPr>
            <w:tcW w:w="5420" w:type="dxa"/>
            <w:vAlign w:val="bottom"/>
          </w:tcPr>
          <w:p>
            <w:pPr>
              <w:ind w:left="380"/>
              <w:spacing w:after="0"/>
              <w:rPr>
                <w:sz w:val="20"/>
                <w:szCs w:val="20"/>
                <w:color w:val="auto"/>
              </w:rPr>
            </w:pPr>
            <w:r>
              <w:rPr>
                <w:rFonts w:ascii="Arial" w:cs="Arial" w:eastAsia="Arial" w:hAnsi="Arial"/>
                <w:sz w:val="18"/>
                <w:szCs w:val="18"/>
                <w:color w:val="auto"/>
              </w:rPr>
              <w:t>Distribution and other</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426</w:t>
            </w:r>
          </w:p>
        </w:tc>
        <w:tc>
          <w:tcPr>
            <w:tcW w:w="5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319</w:t>
            </w:r>
          </w:p>
        </w:tc>
        <w:tc>
          <w:tcPr>
            <w:tcW w:w="44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107</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33.4</w:t>
            </w:r>
          </w:p>
        </w:tc>
      </w:tr>
      <w:tr>
        <w:trPr>
          <w:trHeight w:val="27"/>
        </w:trPr>
        <w:tc>
          <w:tcPr>
            <w:tcW w:w="54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42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2,208</w:t>
            </w: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2,084</w:t>
            </w:r>
          </w:p>
        </w:tc>
        <w:tc>
          <w:tcPr>
            <w:tcW w:w="440" w:type="dxa"/>
            <w:vAlign w:val="bottom"/>
          </w:tcPr>
          <w:p>
            <w:pPr>
              <w:spacing w:after="0"/>
              <w:rPr>
                <w:sz w:val="20"/>
                <w:szCs w:val="20"/>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b w:val="1"/>
                <w:bCs w:val="1"/>
                <w:color w:val="auto"/>
              </w:rPr>
              <w:t>124</w:t>
            </w:r>
          </w:p>
        </w:tc>
        <w:tc>
          <w:tcPr>
            <w:tcW w:w="1040" w:type="dxa"/>
            <w:vAlign w:val="bottom"/>
          </w:tcPr>
          <w:p>
            <w:pPr>
              <w:jc w:val="right"/>
              <w:ind w:right="172"/>
              <w:spacing w:after="0"/>
              <w:rPr>
                <w:sz w:val="20"/>
                <w:szCs w:val="20"/>
                <w:color w:val="auto"/>
              </w:rPr>
            </w:pPr>
            <w:r>
              <w:rPr>
                <w:rFonts w:ascii="Arial" w:cs="Arial" w:eastAsia="Arial" w:hAnsi="Arial"/>
                <w:sz w:val="18"/>
                <w:szCs w:val="18"/>
                <w:b w:val="1"/>
                <w:bCs w:val="1"/>
                <w:color w:val="auto"/>
              </w:rPr>
              <w:t>5.9</w:t>
            </w:r>
          </w:p>
        </w:tc>
      </w:tr>
      <w:tr>
        <w:trPr>
          <w:trHeight w:val="270"/>
        </w:trPr>
        <w:tc>
          <w:tcPr>
            <w:tcW w:w="5420" w:type="dxa"/>
            <w:vAlign w:val="bottom"/>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5420" w:type="dxa"/>
            <w:vAlign w:val="bottom"/>
          </w:tcPr>
          <w:p>
            <w:pPr>
              <w:ind w:left="380"/>
              <w:spacing w:after="0"/>
              <w:rPr>
                <w:sz w:val="20"/>
                <w:szCs w:val="20"/>
                <w:color w:val="auto"/>
              </w:rPr>
            </w:pPr>
            <w:r>
              <w:rPr>
                <w:rFonts w:ascii="Arial" w:cs="Arial" w:eastAsia="Arial" w:hAnsi="Arial"/>
                <w:sz w:val="18"/>
                <w:szCs w:val="18"/>
                <w:color w:val="auto"/>
              </w:rPr>
              <w:t>Programming and production</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1,432</w:t>
            </w:r>
          </w:p>
        </w:tc>
        <w:tc>
          <w:tcPr>
            <w:tcW w:w="5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1,363</w:t>
            </w:r>
          </w:p>
        </w:tc>
        <w:tc>
          <w:tcPr>
            <w:tcW w:w="44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69</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5.0</w:t>
            </w:r>
          </w:p>
        </w:tc>
      </w:tr>
      <w:tr>
        <w:trPr>
          <w:trHeight w:val="270"/>
        </w:trPr>
        <w:tc>
          <w:tcPr>
            <w:tcW w:w="5420" w:type="dxa"/>
            <w:vAlign w:val="bottom"/>
          </w:tcPr>
          <w:p>
            <w:pPr>
              <w:ind w:left="380"/>
              <w:spacing w:after="0"/>
              <w:rPr>
                <w:sz w:val="20"/>
                <w:szCs w:val="20"/>
                <w:color w:val="auto"/>
              </w:rPr>
            </w:pPr>
            <w:r>
              <w:rPr>
                <w:rFonts w:ascii="Arial" w:cs="Arial" w:eastAsia="Arial" w:hAnsi="Arial"/>
                <w:sz w:val="18"/>
                <w:szCs w:val="18"/>
                <w:color w:val="auto"/>
              </w:rPr>
              <w:t>Other operating and administrative</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336</w:t>
            </w:r>
          </w:p>
        </w:tc>
        <w:tc>
          <w:tcPr>
            <w:tcW w:w="5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318</w:t>
            </w:r>
          </w:p>
        </w:tc>
        <w:tc>
          <w:tcPr>
            <w:tcW w:w="44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18</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5.6</w:t>
            </w:r>
          </w:p>
        </w:tc>
      </w:tr>
      <w:tr>
        <w:trPr>
          <w:trHeight w:val="270"/>
        </w:trPr>
        <w:tc>
          <w:tcPr>
            <w:tcW w:w="542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118</w:t>
            </w:r>
          </w:p>
        </w:tc>
        <w:tc>
          <w:tcPr>
            <w:tcW w:w="5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119</w:t>
            </w:r>
          </w:p>
        </w:tc>
        <w:tc>
          <w:tcPr>
            <w:tcW w:w="440" w:type="dxa"/>
            <w:vAlign w:val="bottom"/>
          </w:tcPr>
          <w:p>
            <w:pPr>
              <w:spacing w:after="0"/>
              <w:rPr>
                <w:sz w:val="23"/>
                <w:szCs w:val="23"/>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(1)</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(0.6)</w:t>
            </w:r>
          </w:p>
        </w:tc>
      </w:tr>
      <w:tr>
        <w:trPr>
          <w:trHeight w:val="27"/>
        </w:trPr>
        <w:tc>
          <w:tcPr>
            <w:tcW w:w="54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42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1,886</w:t>
            </w: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1,800</w:t>
            </w:r>
          </w:p>
        </w:tc>
        <w:tc>
          <w:tcPr>
            <w:tcW w:w="440" w:type="dxa"/>
            <w:vAlign w:val="bottom"/>
          </w:tcPr>
          <w:p>
            <w:pPr>
              <w:spacing w:after="0"/>
              <w:rPr>
                <w:sz w:val="20"/>
                <w:szCs w:val="20"/>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86</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4.8</w:t>
            </w:r>
          </w:p>
        </w:tc>
      </w:tr>
      <w:tr>
        <w:trPr>
          <w:trHeight w:val="27"/>
        </w:trPr>
        <w:tc>
          <w:tcPr>
            <w:tcW w:w="54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42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322</w:t>
            </w:r>
          </w:p>
        </w:tc>
        <w:tc>
          <w:tcPr>
            <w:tcW w:w="50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284</w:t>
            </w:r>
          </w:p>
        </w:tc>
        <w:tc>
          <w:tcPr>
            <w:tcW w:w="4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640" w:type="dxa"/>
            <w:vAlign w:val="bottom"/>
          </w:tcPr>
          <w:p>
            <w:pPr>
              <w:jc w:val="right"/>
              <w:ind w:right="594"/>
              <w:spacing w:after="0"/>
              <w:rPr>
                <w:sz w:val="20"/>
                <w:szCs w:val="20"/>
                <w:color w:val="auto"/>
              </w:rPr>
            </w:pPr>
            <w:r>
              <w:rPr>
                <w:rFonts w:ascii="Arial" w:cs="Arial" w:eastAsia="Arial" w:hAnsi="Arial"/>
                <w:sz w:val="18"/>
                <w:szCs w:val="18"/>
                <w:b w:val="1"/>
                <w:bCs w:val="1"/>
                <w:color w:val="auto"/>
              </w:rPr>
              <w:t>38</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13.4 %</w:t>
            </w:r>
          </w:p>
        </w:tc>
      </w:tr>
      <w:tr>
        <w:trPr>
          <w:trHeight w:val="34"/>
        </w:trPr>
        <w:tc>
          <w:tcPr>
            <w:tcW w:w="54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 Segment—Revenue</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Broadcast Television revenue increased for the three months ended March 31, 2017 compared to the same period in 2016 primarily due to increases in distribution and other revenue and content licensing revenue. The increase in distribution and other revenue was primarily due to increases in fees recognized under our retransmission consent agreements. The increase in content licensing revenue was primarily due to the timing of content provided under our new and existing licensing agreements. Advertising revenue increased slightly due to higher prices for advertising units sold, which was offset by declines in audience ratings and a decrease in the volume of advertising units sold.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 Segment—Operating Costs and Expenses</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costs and expenses increased for the three months ended March 31, 2017 compared to the same period in 2016 primarily due to increases in programming and production costs and other operating and administrative expenses. The increase in programming and production costs was primarily due to higher studio production costs. The increase in other operating and administrative costs and expenses was primarily due to an increase in employee-related costs.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75"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Filmed Entertainment Segment Results of Operations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540" w:type="dxa"/>
            <w:vAlign w:val="bottom"/>
            <w:gridSpan w:val="3"/>
          </w:tcPr>
          <w:p>
            <w:pPr>
              <w:jc w:val="right"/>
              <w:ind w:right="712"/>
              <w:spacing w:after="0"/>
              <w:rPr>
                <w:sz w:val="20"/>
                <w:szCs w:val="20"/>
                <w:color w:val="auto"/>
              </w:rPr>
            </w:pPr>
            <w:r>
              <w:rPr>
                <w:rFonts w:ascii="Arial" w:cs="Arial" w:eastAsia="Arial" w:hAnsi="Arial"/>
                <w:sz w:val="14"/>
                <w:szCs w:val="14"/>
                <w:color w:val="auto"/>
              </w:rPr>
              <w:t>Three Months Ended</w:t>
            </w:r>
          </w:p>
        </w:tc>
        <w:tc>
          <w:tcPr>
            <w:tcW w:w="460" w:type="dxa"/>
            <w:vAlign w:val="bottom"/>
          </w:tcPr>
          <w:p>
            <w:pPr>
              <w:spacing w:after="0"/>
              <w:rPr>
                <w:sz w:val="14"/>
                <w:szCs w:val="14"/>
                <w:color w:val="auto"/>
              </w:rPr>
            </w:pPr>
          </w:p>
        </w:tc>
        <w:tc>
          <w:tcPr>
            <w:tcW w:w="1620" w:type="dxa"/>
            <w:vAlign w:val="bottom"/>
          </w:tcPr>
          <w:p>
            <w:pPr>
              <w:jc w:val="right"/>
              <w:ind w:right="154"/>
              <w:spacing w:after="0"/>
              <w:rPr>
                <w:sz w:val="20"/>
                <w:szCs w:val="20"/>
                <w:color w:val="auto"/>
              </w:rPr>
            </w:pPr>
            <w:r>
              <w:rPr>
                <w:rFonts w:ascii="Arial" w:cs="Arial" w:eastAsia="Arial" w:hAnsi="Arial"/>
                <w:sz w:val="14"/>
                <w:szCs w:val="14"/>
                <w:color w:val="auto"/>
              </w:rPr>
              <w:t>Increase/</w:t>
            </w:r>
          </w:p>
        </w:tc>
        <w:tc>
          <w:tcPr>
            <w:tcW w:w="1020" w:type="dxa"/>
            <w:vAlign w:val="bottom"/>
          </w:tcPr>
          <w:p>
            <w:pPr>
              <w:spacing w:after="0"/>
              <w:rPr>
                <w:sz w:val="14"/>
                <w:szCs w:val="14"/>
                <w:color w:val="auto"/>
              </w:rPr>
            </w:pPr>
          </w:p>
        </w:tc>
      </w:tr>
      <w:tr>
        <w:trPr>
          <w:trHeight w:val="188"/>
        </w:trPr>
        <w:tc>
          <w:tcPr>
            <w:tcW w:w="54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color w:val="auto"/>
              </w:rPr>
              <w:t>March 31</w:t>
            </w:r>
          </w:p>
        </w:tc>
        <w:tc>
          <w:tcPr>
            <w:tcW w:w="9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(Decrease)</w:t>
            </w:r>
          </w:p>
        </w:tc>
        <w:tc>
          <w:tcPr>
            <w:tcW w:w="1020" w:type="dxa"/>
            <w:vAlign w:val="bottom"/>
            <w:tcBorders>
              <w:bottom w:val="single" w:sz="8" w:color="auto"/>
            </w:tcBorders>
          </w:tcPr>
          <w:p>
            <w:pPr>
              <w:spacing w:after="0"/>
              <w:rPr>
                <w:sz w:val="16"/>
                <w:szCs w:val="16"/>
                <w:color w:val="auto"/>
              </w:rPr>
            </w:pPr>
          </w:p>
        </w:tc>
      </w:tr>
      <w:tr>
        <w:trPr>
          <w:trHeight w:val="196"/>
        </w:trPr>
        <w:tc>
          <w:tcPr>
            <w:tcW w:w="5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color w:val="auto"/>
              </w:rPr>
              <w:t>2017</w:t>
            </w:r>
          </w:p>
        </w:tc>
        <w:tc>
          <w:tcPr>
            <w:tcW w:w="4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color w:val="auto"/>
              </w:rPr>
              <w:t>2016</w:t>
            </w:r>
          </w:p>
        </w:tc>
        <w:tc>
          <w:tcPr>
            <w:tcW w:w="4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1174"/>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color w:val="auto"/>
              </w:rPr>
              <w:t>%</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0"/>
        </w:trPr>
        <w:tc>
          <w:tcPr>
            <w:tcW w:w="5420" w:type="dxa"/>
            <w:vAlign w:val="bottom"/>
          </w:tcPr>
          <w:p>
            <w:pPr>
              <w:ind w:left="380"/>
              <w:spacing w:after="0"/>
              <w:rPr>
                <w:sz w:val="20"/>
                <w:szCs w:val="20"/>
                <w:color w:val="auto"/>
              </w:rPr>
            </w:pPr>
            <w:r>
              <w:rPr>
                <w:rFonts w:ascii="Arial" w:cs="Arial" w:eastAsia="Arial" w:hAnsi="Arial"/>
                <w:sz w:val="18"/>
                <w:szCs w:val="18"/>
                <w:color w:val="auto"/>
              </w:rPr>
              <w:t>Theatrical</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651</w:t>
            </w:r>
          </w:p>
        </w:tc>
        <w:tc>
          <w:tcPr>
            <w:tcW w:w="4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236</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74"/>
              <w:spacing w:after="0"/>
              <w:rPr>
                <w:sz w:val="20"/>
                <w:szCs w:val="20"/>
                <w:color w:val="auto"/>
              </w:rPr>
            </w:pPr>
            <w:r>
              <w:rPr>
                <w:rFonts w:ascii="Arial" w:cs="Arial" w:eastAsia="Arial" w:hAnsi="Arial"/>
                <w:sz w:val="18"/>
                <w:szCs w:val="18"/>
                <w:color w:val="auto"/>
              </w:rPr>
              <w:t>415</w:t>
            </w:r>
          </w:p>
        </w:tc>
        <w:tc>
          <w:tcPr>
            <w:tcW w:w="1020" w:type="dxa"/>
            <w:vAlign w:val="bottom"/>
          </w:tcPr>
          <w:p>
            <w:pPr>
              <w:jc w:val="right"/>
              <w:spacing w:after="0"/>
              <w:rPr>
                <w:sz w:val="20"/>
                <w:szCs w:val="20"/>
                <w:color w:val="auto"/>
              </w:rPr>
            </w:pPr>
            <w:r>
              <w:rPr>
                <w:rFonts w:ascii="Arial" w:cs="Arial" w:eastAsia="Arial" w:hAnsi="Arial"/>
                <w:sz w:val="18"/>
                <w:szCs w:val="18"/>
                <w:color w:val="auto"/>
              </w:rPr>
              <w:t>176.2%</w:t>
            </w:r>
          </w:p>
        </w:tc>
      </w:tr>
      <w:tr>
        <w:trPr>
          <w:trHeight w:val="270"/>
        </w:trPr>
        <w:tc>
          <w:tcPr>
            <w:tcW w:w="5420" w:type="dxa"/>
            <w:vAlign w:val="bottom"/>
          </w:tcPr>
          <w:p>
            <w:pPr>
              <w:ind w:left="380"/>
              <w:spacing w:after="0"/>
              <w:rPr>
                <w:sz w:val="20"/>
                <w:szCs w:val="20"/>
                <w:color w:val="auto"/>
              </w:rPr>
            </w:pPr>
            <w:r>
              <w:rPr>
                <w:rFonts w:ascii="Arial" w:cs="Arial" w:eastAsia="Arial" w:hAnsi="Arial"/>
                <w:sz w:val="18"/>
                <w:szCs w:val="18"/>
                <w:color w:val="auto"/>
              </w:rPr>
              <w:t>Content licensing</w:t>
            </w:r>
          </w:p>
        </w:tc>
        <w:tc>
          <w:tcPr>
            <w:tcW w:w="3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731</w:t>
            </w:r>
          </w:p>
        </w:tc>
        <w:tc>
          <w:tcPr>
            <w:tcW w:w="4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652</w:t>
            </w:r>
          </w:p>
        </w:tc>
        <w:tc>
          <w:tcPr>
            <w:tcW w:w="460" w:type="dxa"/>
            <w:vAlign w:val="bottom"/>
          </w:tcPr>
          <w:p>
            <w:pPr>
              <w:spacing w:after="0"/>
              <w:rPr>
                <w:sz w:val="23"/>
                <w:szCs w:val="23"/>
                <w:color w:val="auto"/>
              </w:rPr>
            </w:pPr>
          </w:p>
        </w:tc>
        <w:tc>
          <w:tcPr>
            <w:tcW w:w="1620" w:type="dxa"/>
            <w:vAlign w:val="bottom"/>
          </w:tcPr>
          <w:p>
            <w:pPr>
              <w:jc w:val="right"/>
              <w:ind w:right="574"/>
              <w:spacing w:after="0"/>
              <w:rPr>
                <w:sz w:val="20"/>
                <w:szCs w:val="20"/>
                <w:color w:val="auto"/>
              </w:rPr>
            </w:pPr>
            <w:r>
              <w:rPr>
                <w:rFonts w:ascii="Arial" w:cs="Arial" w:eastAsia="Arial" w:hAnsi="Arial"/>
                <w:sz w:val="18"/>
                <w:szCs w:val="18"/>
                <w:color w:val="auto"/>
              </w:rPr>
              <w:t>79</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12.1</w:t>
            </w:r>
          </w:p>
        </w:tc>
      </w:tr>
      <w:tr>
        <w:trPr>
          <w:trHeight w:val="270"/>
        </w:trPr>
        <w:tc>
          <w:tcPr>
            <w:tcW w:w="5420" w:type="dxa"/>
            <w:vAlign w:val="bottom"/>
          </w:tcPr>
          <w:p>
            <w:pPr>
              <w:ind w:left="380"/>
              <w:spacing w:after="0"/>
              <w:rPr>
                <w:sz w:val="20"/>
                <w:szCs w:val="20"/>
                <w:color w:val="auto"/>
              </w:rPr>
            </w:pPr>
            <w:r>
              <w:rPr>
                <w:rFonts w:ascii="Arial" w:cs="Arial" w:eastAsia="Arial" w:hAnsi="Arial"/>
                <w:sz w:val="18"/>
                <w:szCs w:val="18"/>
                <w:color w:val="auto"/>
              </w:rPr>
              <w:t>Home entertainment</w:t>
            </w:r>
          </w:p>
        </w:tc>
        <w:tc>
          <w:tcPr>
            <w:tcW w:w="3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299</w:t>
            </w:r>
          </w:p>
        </w:tc>
        <w:tc>
          <w:tcPr>
            <w:tcW w:w="4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275</w:t>
            </w:r>
          </w:p>
        </w:tc>
        <w:tc>
          <w:tcPr>
            <w:tcW w:w="460" w:type="dxa"/>
            <w:vAlign w:val="bottom"/>
          </w:tcPr>
          <w:p>
            <w:pPr>
              <w:spacing w:after="0"/>
              <w:rPr>
                <w:sz w:val="23"/>
                <w:szCs w:val="23"/>
                <w:color w:val="auto"/>
              </w:rPr>
            </w:pPr>
          </w:p>
        </w:tc>
        <w:tc>
          <w:tcPr>
            <w:tcW w:w="1620" w:type="dxa"/>
            <w:vAlign w:val="bottom"/>
          </w:tcPr>
          <w:p>
            <w:pPr>
              <w:jc w:val="right"/>
              <w:ind w:right="574"/>
              <w:spacing w:after="0"/>
              <w:rPr>
                <w:sz w:val="20"/>
                <w:szCs w:val="20"/>
                <w:color w:val="auto"/>
              </w:rPr>
            </w:pPr>
            <w:r>
              <w:rPr>
                <w:rFonts w:ascii="Arial" w:cs="Arial" w:eastAsia="Arial" w:hAnsi="Arial"/>
                <w:sz w:val="18"/>
                <w:szCs w:val="18"/>
                <w:color w:val="auto"/>
              </w:rPr>
              <w:t>24</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8.8</w:t>
            </w:r>
          </w:p>
        </w:tc>
      </w:tr>
      <w:tr>
        <w:trPr>
          <w:trHeight w:val="270"/>
        </w:trPr>
        <w:tc>
          <w:tcPr>
            <w:tcW w:w="5420" w:type="dxa"/>
            <w:vAlign w:val="bottom"/>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300</w:t>
            </w:r>
          </w:p>
        </w:tc>
        <w:tc>
          <w:tcPr>
            <w:tcW w:w="4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220</w:t>
            </w:r>
          </w:p>
        </w:tc>
        <w:tc>
          <w:tcPr>
            <w:tcW w:w="460" w:type="dxa"/>
            <w:vAlign w:val="bottom"/>
          </w:tcPr>
          <w:p>
            <w:pPr>
              <w:spacing w:after="0"/>
              <w:rPr>
                <w:sz w:val="23"/>
                <w:szCs w:val="23"/>
                <w:color w:val="auto"/>
              </w:rPr>
            </w:pPr>
          </w:p>
        </w:tc>
        <w:tc>
          <w:tcPr>
            <w:tcW w:w="1620" w:type="dxa"/>
            <w:vAlign w:val="bottom"/>
          </w:tcPr>
          <w:p>
            <w:pPr>
              <w:jc w:val="right"/>
              <w:ind w:right="574"/>
              <w:spacing w:after="0"/>
              <w:rPr>
                <w:sz w:val="20"/>
                <w:szCs w:val="20"/>
                <w:color w:val="auto"/>
              </w:rPr>
            </w:pPr>
            <w:r>
              <w:rPr>
                <w:rFonts w:ascii="Arial" w:cs="Arial" w:eastAsia="Arial" w:hAnsi="Arial"/>
                <w:sz w:val="18"/>
                <w:szCs w:val="18"/>
                <w:color w:val="auto"/>
              </w:rPr>
              <w:t>80</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35.9</w:t>
            </w:r>
          </w:p>
        </w:tc>
      </w:tr>
      <w:tr>
        <w:trPr>
          <w:trHeight w:val="27"/>
        </w:trPr>
        <w:tc>
          <w:tcPr>
            <w:tcW w:w="5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42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1,981</w:t>
            </w: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1,383</w:t>
            </w:r>
          </w:p>
        </w:tc>
        <w:tc>
          <w:tcPr>
            <w:tcW w:w="460" w:type="dxa"/>
            <w:vAlign w:val="bottom"/>
          </w:tcPr>
          <w:p>
            <w:pPr>
              <w:spacing w:after="0"/>
              <w:rPr>
                <w:sz w:val="20"/>
                <w:szCs w:val="20"/>
                <w:color w:val="auto"/>
              </w:rPr>
            </w:pPr>
          </w:p>
        </w:tc>
        <w:tc>
          <w:tcPr>
            <w:tcW w:w="1620" w:type="dxa"/>
            <w:vAlign w:val="bottom"/>
          </w:tcPr>
          <w:p>
            <w:pPr>
              <w:jc w:val="right"/>
              <w:ind w:right="574"/>
              <w:spacing w:after="0"/>
              <w:rPr>
                <w:sz w:val="20"/>
                <w:szCs w:val="20"/>
                <w:color w:val="auto"/>
              </w:rPr>
            </w:pPr>
            <w:r>
              <w:rPr>
                <w:rFonts w:ascii="Arial" w:cs="Arial" w:eastAsia="Arial" w:hAnsi="Arial"/>
                <w:sz w:val="18"/>
                <w:szCs w:val="18"/>
                <w:b w:val="1"/>
                <w:bCs w:val="1"/>
                <w:color w:val="auto"/>
              </w:rPr>
              <w:t>598</w:t>
            </w:r>
          </w:p>
        </w:tc>
        <w:tc>
          <w:tcPr>
            <w:tcW w:w="1020" w:type="dxa"/>
            <w:vAlign w:val="bottom"/>
          </w:tcPr>
          <w:p>
            <w:pPr>
              <w:jc w:val="right"/>
              <w:ind w:right="132"/>
              <w:spacing w:after="0"/>
              <w:rPr>
                <w:sz w:val="20"/>
                <w:szCs w:val="20"/>
                <w:color w:val="auto"/>
              </w:rPr>
            </w:pPr>
            <w:r>
              <w:rPr>
                <w:rFonts w:ascii="Arial" w:cs="Arial" w:eastAsia="Arial" w:hAnsi="Arial"/>
                <w:sz w:val="18"/>
                <w:szCs w:val="18"/>
                <w:b w:val="1"/>
                <w:bCs w:val="1"/>
                <w:color w:val="auto"/>
              </w:rPr>
              <w:t>43.2</w:t>
            </w:r>
          </w:p>
        </w:tc>
      </w:tr>
      <w:tr>
        <w:trPr>
          <w:trHeight w:val="270"/>
        </w:trPr>
        <w:tc>
          <w:tcPr>
            <w:tcW w:w="5420" w:type="dxa"/>
            <w:vAlign w:val="bottom"/>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3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5420" w:type="dxa"/>
            <w:vAlign w:val="bottom"/>
          </w:tcPr>
          <w:p>
            <w:pPr>
              <w:ind w:left="380"/>
              <w:spacing w:after="0"/>
              <w:rPr>
                <w:sz w:val="20"/>
                <w:szCs w:val="20"/>
                <w:color w:val="auto"/>
              </w:rPr>
            </w:pPr>
            <w:r>
              <w:rPr>
                <w:rFonts w:ascii="Arial" w:cs="Arial" w:eastAsia="Arial" w:hAnsi="Arial"/>
                <w:sz w:val="18"/>
                <w:szCs w:val="18"/>
                <w:color w:val="auto"/>
              </w:rPr>
              <w:t>Programming and production</w:t>
            </w:r>
          </w:p>
        </w:tc>
        <w:tc>
          <w:tcPr>
            <w:tcW w:w="3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875</w:t>
            </w:r>
          </w:p>
        </w:tc>
        <w:tc>
          <w:tcPr>
            <w:tcW w:w="4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622</w:t>
            </w:r>
          </w:p>
        </w:tc>
        <w:tc>
          <w:tcPr>
            <w:tcW w:w="460" w:type="dxa"/>
            <w:vAlign w:val="bottom"/>
          </w:tcPr>
          <w:p>
            <w:pPr>
              <w:spacing w:after="0"/>
              <w:rPr>
                <w:sz w:val="23"/>
                <w:szCs w:val="23"/>
                <w:color w:val="auto"/>
              </w:rPr>
            </w:pPr>
          </w:p>
        </w:tc>
        <w:tc>
          <w:tcPr>
            <w:tcW w:w="1620" w:type="dxa"/>
            <w:vAlign w:val="bottom"/>
          </w:tcPr>
          <w:p>
            <w:pPr>
              <w:jc w:val="right"/>
              <w:ind w:right="574"/>
              <w:spacing w:after="0"/>
              <w:rPr>
                <w:sz w:val="20"/>
                <w:szCs w:val="20"/>
                <w:color w:val="auto"/>
              </w:rPr>
            </w:pPr>
            <w:r>
              <w:rPr>
                <w:rFonts w:ascii="Arial" w:cs="Arial" w:eastAsia="Arial" w:hAnsi="Arial"/>
                <w:sz w:val="18"/>
                <w:szCs w:val="18"/>
                <w:color w:val="auto"/>
              </w:rPr>
              <w:t>253</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40.7</w:t>
            </w:r>
          </w:p>
        </w:tc>
      </w:tr>
      <w:tr>
        <w:trPr>
          <w:trHeight w:val="270"/>
        </w:trPr>
        <w:tc>
          <w:tcPr>
            <w:tcW w:w="5420" w:type="dxa"/>
            <w:vAlign w:val="bottom"/>
          </w:tcPr>
          <w:p>
            <w:pPr>
              <w:ind w:left="380"/>
              <w:spacing w:after="0"/>
              <w:rPr>
                <w:sz w:val="20"/>
                <w:szCs w:val="20"/>
                <w:color w:val="auto"/>
              </w:rPr>
            </w:pPr>
            <w:r>
              <w:rPr>
                <w:rFonts w:ascii="Arial" w:cs="Arial" w:eastAsia="Arial" w:hAnsi="Arial"/>
                <w:sz w:val="18"/>
                <w:szCs w:val="18"/>
                <w:color w:val="auto"/>
              </w:rPr>
              <w:t>Other operating and administrative</w:t>
            </w:r>
          </w:p>
        </w:tc>
        <w:tc>
          <w:tcPr>
            <w:tcW w:w="3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330</w:t>
            </w:r>
          </w:p>
        </w:tc>
        <w:tc>
          <w:tcPr>
            <w:tcW w:w="4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209</w:t>
            </w:r>
          </w:p>
        </w:tc>
        <w:tc>
          <w:tcPr>
            <w:tcW w:w="460" w:type="dxa"/>
            <w:vAlign w:val="bottom"/>
          </w:tcPr>
          <w:p>
            <w:pPr>
              <w:spacing w:after="0"/>
              <w:rPr>
                <w:sz w:val="23"/>
                <w:szCs w:val="23"/>
                <w:color w:val="auto"/>
              </w:rPr>
            </w:pPr>
          </w:p>
        </w:tc>
        <w:tc>
          <w:tcPr>
            <w:tcW w:w="1620" w:type="dxa"/>
            <w:vAlign w:val="bottom"/>
          </w:tcPr>
          <w:p>
            <w:pPr>
              <w:jc w:val="right"/>
              <w:ind w:right="574"/>
              <w:spacing w:after="0"/>
              <w:rPr>
                <w:sz w:val="20"/>
                <w:szCs w:val="20"/>
                <w:color w:val="auto"/>
              </w:rPr>
            </w:pPr>
            <w:r>
              <w:rPr>
                <w:rFonts w:ascii="Arial" w:cs="Arial" w:eastAsia="Arial" w:hAnsi="Arial"/>
                <w:sz w:val="18"/>
                <w:szCs w:val="18"/>
                <w:color w:val="auto"/>
              </w:rPr>
              <w:t>121</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57.0</w:t>
            </w:r>
          </w:p>
        </w:tc>
      </w:tr>
      <w:tr>
        <w:trPr>
          <w:trHeight w:val="270"/>
        </w:trPr>
        <w:tc>
          <w:tcPr>
            <w:tcW w:w="542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3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408</w:t>
            </w:r>
          </w:p>
        </w:tc>
        <w:tc>
          <w:tcPr>
            <w:tcW w:w="4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385</w:t>
            </w:r>
          </w:p>
        </w:tc>
        <w:tc>
          <w:tcPr>
            <w:tcW w:w="460" w:type="dxa"/>
            <w:vAlign w:val="bottom"/>
          </w:tcPr>
          <w:p>
            <w:pPr>
              <w:spacing w:after="0"/>
              <w:rPr>
                <w:sz w:val="23"/>
                <w:szCs w:val="23"/>
                <w:color w:val="auto"/>
              </w:rPr>
            </w:pPr>
          </w:p>
        </w:tc>
        <w:tc>
          <w:tcPr>
            <w:tcW w:w="1620" w:type="dxa"/>
            <w:vAlign w:val="bottom"/>
          </w:tcPr>
          <w:p>
            <w:pPr>
              <w:jc w:val="right"/>
              <w:ind w:right="574"/>
              <w:spacing w:after="0"/>
              <w:rPr>
                <w:sz w:val="20"/>
                <w:szCs w:val="20"/>
                <w:color w:val="auto"/>
              </w:rPr>
            </w:pPr>
            <w:r>
              <w:rPr>
                <w:rFonts w:ascii="Arial" w:cs="Arial" w:eastAsia="Arial" w:hAnsi="Arial"/>
                <w:sz w:val="18"/>
                <w:szCs w:val="18"/>
                <w:color w:val="auto"/>
              </w:rPr>
              <w:t>23</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6.2</w:t>
            </w:r>
          </w:p>
        </w:tc>
      </w:tr>
      <w:tr>
        <w:trPr>
          <w:trHeight w:val="27"/>
        </w:trPr>
        <w:tc>
          <w:tcPr>
            <w:tcW w:w="5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42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1,613</w:t>
            </w: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1,216</w:t>
            </w:r>
          </w:p>
        </w:tc>
        <w:tc>
          <w:tcPr>
            <w:tcW w:w="460" w:type="dxa"/>
            <w:vAlign w:val="bottom"/>
          </w:tcPr>
          <w:p>
            <w:pPr>
              <w:spacing w:after="0"/>
              <w:rPr>
                <w:sz w:val="20"/>
                <w:szCs w:val="20"/>
                <w:color w:val="auto"/>
              </w:rPr>
            </w:pPr>
          </w:p>
        </w:tc>
        <w:tc>
          <w:tcPr>
            <w:tcW w:w="1620" w:type="dxa"/>
            <w:vAlign w:val="bottom"/>
          </w:tcPr>
          <w:p>
            <w:pPr>
              <w:jc w:val="right"/>
              <w:ind w:right="574"/>
              <w:spacing w:after="0"/>
              <w:rPr>
                <w:sz w:val="20"/>
                <w:szCs w:val="20"/>
                <w:color w:val="auto"/>
              </w:rPr>
            </w:pPr>
            <w:r>
              <w:rPr>
                <w:rFonts w:ascii="Arial" w:cs="Arial" w:eastAsia="Arial" w:hAnsi="Arial"/>
                <w:sz w:val="18"/>
                <w:szCs w:val="18"/>
                <w:color w:val="auto"/>
              </w:rPr>
              <w:t>397</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32.6</w:t>
            </w:r>
          </w:p>
        </w:tc>
      </w:tr>
      <w:tr>
        <w:trPr>
          <w:trHeight w:val="27"/>
        </w:trPr>
        <w:tc>
          <w:tcPr>
            <w:tcW w:w="5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42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368</w:t>
            </w:r>
          </w:p>
        </w:tc>
        <w:tc>
          <w:tcPr>
            <w:tcW w:w="480" w:type="dxa"/>
            <w:vAlign w:val="bottom"/>
          </w:tcPr>
          <w:p>
            <w:pPr>
              <w:jc w:val="right"/>
              <w:ind w:right="23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167</w:t>
            </w:r>
          </w:p>
        </w:tc>
        <w:tc>
          <w:tcPr>
            <w:tcW w:w="46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620" w:type="dxa"/>
            <w:vAlign w:val="bottom"/>
          </w:tcPr>
          <w:p>
            <w:pPr>
              <w:jc w:val="right"/>
              <w:ind w:right="574"/>
              <w:spacing w:after="0"/>
              <w:rPr>
                <w:sz w:val="20"/>
                <w:szCs w:val="20"/>
                <w:color w:val="auto"/>
              </w:rPr>
            </w:pPr>
            <w:r>
              <w:rPr>
                <w:rFonts w:ascii="Arial" w:cs="Arial" w:eastAsia="Arial" w:hAnsi="Arial"/>
                <w:sz w:val="18"/>
                <w:szCs w:val="18"/>
                <w:b w:val="1"/>
                <w:bCs w:val="1"/>
                <w:color w:val="auto"/>
              </w:rPr>
              <w:t>201</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120.6%</w:t>
            </w:r>
          </w:p>
        </w:tc>
      </w:tr>
      <w:tr>
        <w:trPr>
          <w:trHeight w:val="34"/>
        </w:trPr>
        <w:tc>
          <w:tcPr>
            <w:tcW w:w="5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Segment—Revenue</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Filmed Entertainment revenue increased for the three months ended March 31, 2017 compared to the same period in 2016 primarily due to an increase in theatrical revenue, as well as increases in other revenue, content licensing revenue and home entertainment revenue. The increase in theatrical revenue was primarily due to the strong performances of </w:t>
      </w:r>
      <w:r>
        <w:rPr>
          <w:rFonts w:ascii="Arial" w:cs="Arial" w:eastAsia="Arial" w:hAnsi="Arial"/>
          <w:sz w:val="18"/>
          <w:szCs w:val="18"/>
          <w:i w:val="1"/>
          <w:iCs w:val="1"/>
          <w:color w:val="auto"/>
        </w:rPr>
        <w:t>Fifty Shades Darker</w:t>
      </w:r>
      <w:r>
        <w:rPr>
          <w:rFonts w:ascii="Arial" w:cs="Arial" w:eastAsia="Arial" w:hAnsi="Arial"/>
          <w:sz w:val="18"/>
          <w:szCs w:val="18"/>
          <w:color w:val="auto"/>
        </w:rPr>
        <w:t xml:space="preserve">, </w:t>
      </w:r>
      <w:r>
        <w:rPr>
          <w:rFonts w:ascii="Arial" w:cs="Arial" w:eastAsia="Arial" w:hAnsi="Arial"/>
          <w:sz w:val="18"/>
          <w:szCs w:val="18"/>
          <w:i w:val="1"/>
          <w:iCs w:val="1"/>
          <w:color w:val="auto"/>
        </w:rPr>
        <w:t>Sing</w:t>
      </w:r>
      <w:r>
        <w:rPr>
          <w:rFonts w:ascii="Arial" w:cs="Arial" w:eastAsia="Arial" w:hAnsi="Arial"/>
          <w:sz w:val="18"/>
          <w:szCs w:val="18"/>
          <w:color w:val="auto"/>
        </w:rPr>
        <w:t xml:space="preserve">, </w:t>
      </w:r>
      <w:r>
        <w:rPr>
          <w:rFonts w:ascii="Arial" w:cs="Arial" w:eastAsia="Arial" w:hAnsi="Arial"/>
          <w:sz w:val="18"/>
          <w:szCs w:val="18"/>
          <w:i w:val="1"/>
          <w:iCs w:val="1"/>
          <w:color w:val="auto"/>
        </w:rPr>
        <w:t>Split</w:t>
      </w:r>
      <w:r>
        <w:rPr>
          <w:rFonts w:ascii="Arial" w:cs="Arial" w:eastAsia="Arial" w:hAnsi="Arial"/>
          <w:sz w:val="18"/>
          <w:szCs w:val="18"/>
          <w:color w:val="auto"/>
        </w:rPr>
        <w:t xml:space="preserve"> and </w:t>
      </w:r>
      <w:r>
        <w:rPr>
          <w:rFonts w:ascii="Arial" w:cs="Arial" w:eastAsia="Arial" w:hAnsi="Arial"/>
          <w:sz w:val="18"/>
          <w:szCs w:val="18"/>
          <w:i w:val="1"/>
          <w:iCs w:val="1"/>
          <w:color w:val="auto"/>
        </w:rPr>
        <w:t>Get Out</w:t>
      </w:r>
      <w:r>
        <w:rPr>
          <w:rFonts w:ascii="Arial" w:cs="Arial" w:eastAsia="Arial" w:hAnsi="Arial"/>
          <w:sz w:val="18"/>
          <w:szCs w:val="18"/>
          <w:color w:val="auto"/>
        </w:rPr>
        <w:t xml:space="preserve"> in the current year period. Other revenue and content licensing revenue increased primarily due to the inclusion of DreamWorks Animation in the current year period.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Segment—Operating Costs and Expenses</w:t>
      </w:r>
    </w:p>
    <w:p>
      <w:pPr>
        <w:spacing w:after="0" w:line="1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Operating costs and expenses increased for the three months ended March 31, 2017 compared to the same period in 2016 primarily due to an increase in programming and production costs, as well as increases in other operating and administrative expenses and advertising, marketing and promotion expenses. The increase in programming and production costs was primarily due to higher amortization of film production costs for our 2017 releases. The increase in other operating and administrative expenses was primarily due to expenses associated with DreamWorks Animation.</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Theme Parks Segment Results of Operations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20" w:type="dxa"/>
            <w:vAlign w:val="bottom"/>
            <w:gridSpan w:val="2"/>
          </w:tcPr>
          <w:p>
            <w:pPr>
              <w:jc w:val="right"/>
              <w:ind w:right="216"/>
              <w:spacing w:after="0"/>
              <w:rPr>
                <w:sz w:val="20"/>
                <w:szCs w:val="20"/>
                <w:color w:val="auto"/>
              </w:rPr>
            </w:pPr>
            <w:r>
              <w:rPr>
                <w:rFonts w:ascii="Arial" w:cs="Arial" w:eastAsia="Arial" w:hAnsi="Arial"/>
                <w:sz w:val="14"/>
                <w:szCs w:val="14"/>
                <w:color w:val="auto"/>
                <w:w w:val="91"/>
              </w:rPr>
              <w:t>Three Months Ended</w:t>
            </w:r>
          </w:p>
        </w:tc>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jc w:val="right"/>
              <w:ind w:right="157"/>
              <w:spacing w:after="0"/>
              <w:rPr>
                <w:sz w:val="20"/>
                <w:szCs w:val="20"/>
                <w:color w:val="auto"/>
              </w:rPr>
            </w:pPr>
            <w:r>
              <w:rPr>
                <w:rFonts w:ascii="Arial" w:cs="Arial" w:eastAsia="Arial" w:hAnsi="Arial"/>
                <w:sz w:val="14"/>
                <w:szCs w:val="14"/>
                <w:color w:val="auto"/>
              </w:rPr>
              <w:t>Increase/</w:t>
            </w:r>
          </w:p>
        </w:tc>
        <w:tc>
          <w:tcPr>
            <w:tcW w:w="1020" w:type="dxa"/>
            <w:vAlign w:val="bottom"/>
          </w:tcPr>
          <w:p>
            <w:pPr>
              <w:spacing w:after="0"/>
              <w:rPr>
                <w:sz w:val="14"/>
                <w:szCs w:val="14"/>
                <w:color w:val="auto"/>
              </w:rPr>
            </w:pPr>
          </w:p>
        </w:tc>
      </w:tr>
      <w:tr>
        <w:trPr>
          <w:trHeight w:val="188"/>
        </w:trPr>
        <w:tc>
          <w:tcPr>
            <w:tcW w:w="54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right"/>
              <w:ind w:right="556"/>
              <w:spacing w:after="0"/>
              <w:rPr>
                <w:sz w:val="20"/>
                <w:szCs w:val="20"/>
                <w:color w:val="auto"/>
              </w:rPr>
            </w:pPr>
            <w:r>
              <w:rPr>
                <w:rFonts w:ascii="Arial" w:cs="Arial" w:eastAsia="Arial" w:hAnsi="Arial"/>
                <w:sz w:val="14"/>
                <w:szCs w:val="14"/>
                <w:color w:val="auto"/>
              </w:rPr>
              <w:t>March 31</w:t>
            </w:r>
          </w:p>
        </w:tc>
        <w:tc>
          <w:tcPr>
            <w:tcW w:w="5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color w:val="auto"/>
              </w:rPr>
              <w:t>(Decrease)</w:t>
            </w:r>
          </w:p>
        </w:tc>
        <w:tc>
          <w:tcPr>
            <w:tcW w:w="1020" w:type="dxa"/>
            <w:vAlign w:val="bottom"/>
            <w:tcBorders>
              <w:bottom w:val="single" w:sz="8" w:color="auto"/>
            </w:tcBorders>
          </w:tcPr>
          <w:p>
            <w:pPr>
              <w:spacing w:after="0"/>
              <w:rPr>
                <w:sz w:val="16"/>
                <w:szCs w:val="16"/>
                <w:color w:val="auto"/>
              </w:rPr>
            </w:pPr>
          </w:p>
        </w:tc>
      </w:tr>
      <w:tr>
        <w:trPr>
          <w:trHeight w:val="196"/>
        </w:trPr>
        <w:tc>
          <w:tcPr>
            <w:tcW w:w="5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w:t>
            </w:r>
          </w:p>
        </w:tc>
        <w:tc>
          <w:tcPr>
            <w:tcW w:w="5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2016</w:t>
            </w:r>
          </w:p>
        </w:tc>
        <w:tc>
          <w:tcPr>
            <w:tcW w:w="5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color w:val="auto"/>
              </w:rPr>
              <w:t>%</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1,118</w:t>
            </w:r>
          </w:p>
        </w:tc>
        <w:tc>
          <w:tcPr>
            <w:tcW w:w="960" w:type="dxa"/>
            <w:vAlign w:val="bottom"/>
          </w:tcPr>
          <w:p>
            <w:pPr>
              <w:jc w:val="right"/>
              <w:ind w:right="716"/>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1,026</w:t>
            </w:r>
          </w:p>
        </w:tc>
        <w:tc>
          <w:tcPr>
            <w:tcW w:w="1020" w:type="dxa"/>
            <w:vAlign w:val="bottom"/>
          </w:tcPr>
          <w:p>
            <w:pPr>
              <w:jc w:val="right"/>
              <w:ind w:right="776"/>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77"/>
              <w:spacing w:after="0"/>
              <w:rPr>
                <w:sz w:val="20"/>
                <w:szCs w:val="20"/>
                <w:color w:val="auto"/>
              </w:rPr>
            </w:pPr>
            <w:r>
              <w:rPr>
                <w:rFonts w:ascii="Arial" w:cs="Arial" w:eastAsia="Arial" w:hAnsi="Arial"/>
                <w:sz w:val="18"/>
                <w:szCs w:val="18"/>
                <w:color w:val="auto"/>
              </w:rPr>
              <w:t>92</w:t>
            </w:r>
          </w:p>
        </w:tc>
        <w:tc>
          <w:tcPr>
            <w:tcW w:w="10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70"/>
        </w:trPr>
        <w:tc>
          <w:tcPr>
            <w:tcW w:w="542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8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721</w:t>
            </w:r>
          </w:p>
        </w:tc>
        <w:tc>
          <w:tcPr>
            <w:tcW w:w="9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651</w:t>
            </w:r>
          </w:p>
        </w:tc>
        <w:tc>
          <w:tcPr>
            <w:tcW w:w="1020" w:type="dxa"/>
            <w:vAlign w:val="bottom"/>
          </w:tcPr>
          <w:p>
            <w:pPr>
              <w:spacing w:after="0"/>
              <w:rPr>
                <w:sz w:val="23"/>
                <w:szCs w:val="23"/>
                <w:color w:val="auto"/>
              </w:rPr>
            </w:pPr>
          </w:p>
        </w:tc>
        <w:tc>
          <w:tcPr>
            <w:tcW w:w="1060" w:type="dxa"/>
            <w:vAlign w:val="bottom"/>
          </w:tcPr>
          <w:p>
            <w:pPr>
              <w:jc w:val="right"/>
              <w:ind w:right="577"/>
              <w:spacing w:after="0"/>
              <w:rPr>
                <w:sz w:val="20"/>
                <w:szCs w:val="20"/>
                <w:color w:val="auto"/>
              </w:rPr>
            </w:pPr>
            <w:r>
              <w:rPr>
                <w:rFonts w:ascii="Arial" w:cs="Arial" w:eastAsia="Arial" w:hAnsi="Arial"/>
                <w:sz w:val="18"/>
                <w:szCs w:val="18"/>
                <w:color w:val="auto"/>
              </w:rPr>
              <w:t>70</w:t>
            </w:r>
          </w:p>
        </w:tc>
        <w:tc>
          <w:tcPr>
            <w:tcW w:w="1020" w:type="dxa"/>
            <w:vAlign w:val="bottom"/>
          </w:tcPr>
          <w:p>
            <w:pPr>
              <w:jc w:val="right"/>
              <w:ind w:right="134"/>
              <w:spacing w:after="0"/>
              <w:rPr>
                <w:sz w:val="20"/>
                <w:szCs w:val="20"/>
                <w:color w:val="auto"/>
              </w:rPr>
            </w:pPr>
            <w:r>
              <w:rPr>
                <w:rFonts w:ascii="Arial" w:cs="Arial" w:eastAsia="Arial" w:hAnsi="Arial"/>
                <w:sz w:val="18"/>
                <w:szCs w:val="18"/>
                <w:color w:val="auto"/>
              </w:rPr>
              <w:t>10.7</w:t>
            </w:r>
          </w:p>
        </w:tc>
      </w:tr>
      <w:tr>
        <w:trPr>
          <w:trHeight w:val="27"/>
        </w:trPr>
        <w:tc>
          <w:tcPr>
            <w:tcW w:w="5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42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880" w:type="dxa"/>
            <w:vAlign w:val="bottom"/>
          </w:tcPr>
          <w:p>
            <w:pPr>
              <w:jc w:val="right"/>
              <w:ind w:right="676"/>
              <w:spacing w:after="0"/>
              <w:rPr>
                <w:sz w:val="20"/>
                <w:szCs w:val="20"/>
                <w:color w:val="auto"/>
              </w:rPr>
            </w:pPr>
            <w:r>
              <w:rPr>
                <w:rFonts w:ascii="Arial" w:cs="Arial" w:eastAsia="Arial" w:hAnsi="Arial"/>
                <w:sz w:val="18"/>
                <w:szCs w:val="18"/>
                <w:b w:val="1"/>
                <w:bCs w:val="1"/>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397</w:t>
            </w:r>
          </w:p>
        </w:tc>
        <w:tc>
          <w:tcPr>
            <w:tcW w:w="960" w:type="dxa"/>
            <w:vAlign w:val="bottom"/>
          </w:tcPr>
          <w:p>
            <w:pPr>
              <w:jc w:val="right"/>
              <w:ind w:right="716"/>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375</w:t>
            </w:r>
          </w:p>
        </w:tc>
        <w:tc>
          <w:tcPr>
            <w:tcW w:w="1020" w:type="dxa"/>
            <w:vAlign w:val="bottom"/>
          </w:tcPr>
          <w:p>
            <w:pPr>
              <w:jc w:val="right"/>
              <w:ind w:right="776"/>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577"/>
              <w:spacing w:after="0"/>
              <w:rPr>
                <w:sz w:val="20"/>
                <w:szCs w:val="20"/>
                <w:color w:val="auto"/>
              </w:rPr>
            </w:pPr>
            <w:r>
              <w:rPr>
                <w:rFonts w:ascii="Arial" w:cs="Arial" w:eastAsia="Arial" w:hAnsi="Arial"/>
                <w:sz w:val="18"/>
                <w:szCs w:val="18"/>
                <w:b w:val="1"/>
                <w:bCs w:val="1"/>
                <w:color w:val="auto"/>
              </w:rPr>
              <w:t>22</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6.1%</w:t>
            </w:r>
          </w:p>
        </w:tc>
      </w:tr>
      <w:tr>
        <w:trPr>
          <w:trHeight w:val="34"/>
        </w:trPr>
        <w:tc>
          <w:tcPr>
            <w:tcW w:w="5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Segment—Revenue</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Theme Parks revenue increased for the three months ended March 31, 2017 compared to the same period in 2016 primarily due to higher guest attendance and an increase in guest spending driven by the successful opening of </w:t>
      </w:r>
      <w:r>
        <w:rPr>
          <w:rFonts w:ascii="Arial" w:cs="Arial" w:eastAsia="Arial" w:hAnsi="Arial"/>
          <w:sz w:val="18"/>
          <w:szCs w:val="18"/>
          <w:i w:val="1"/>
          <w:iCs w:val="1"/>
          <w:color w:val="auto"/>
        </w:rPr>
        <w:t>The Wizarding World of Harry Potter</w:t>
      </w:r>
      <w:r>
        <w:rPr>
          <w:rFonts w:ascii="Arial" w:cs="Arial" w:eastAsia="Arial" w:hAnsi="Arial"/>
          <w:sz w:val="18"/>
          <w:szCs w:val="18"/>
          <w:color w:val="auto"/>
        </w:rPr>
        <w:t>™ attraction in Hollywood in April 2016. The increase was offset by the timing of spring holidays compared to the prior year period.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Segment—Operating Costs and Expenses</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costs and expenses increased for the three months ended March 31, 2017 compared to the same period in 2016 primarily due to additional marketing costs associated with our domestic parks and pre-opening costs associated with new attractions in Orlando.</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75"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and Other Results of Operations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20" w:type="dxa"/>
            <w:vAlign w:val="bottom"/>
            <w:gridSpan w:val="2"/>
          </w:tcPr>
          <w:p>
            <w:pPr>
              <w:jc w:val="right"/>
              <w:ind w:right="216"/>
              <w:spacing w:after="0"/>
              <w:rPr>
                <w:sz w:val="20"/>
                <w:szCs w:val="20"/>
                <w:color w:val="auto"/>
              </w:rPr>
            </w:pPr>
            <w:r>
              <w:rPr>
                <w:rFonts w:ascii="Arial" w:cs="Arial" w:eastAsia="Arial" w:hAnsi="Arial"/>
                <w:sz w:val="14"/>
                <w:szCs w:val="14"/>
                <w:color w:val="auto"/>
                <w:w w:val="91"/>
              </w:rPr>
              <w:t>Three Months Ended</w:t>
            </w: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20" w:type="dxa"/>
            <w:vAlign w:val="bottom"/>
          </w:tcPr>
          <w:p>
            <w:pPr>
              <w:jc w:val="right"/>
              <w:ind w:right="137"/>
              <w:spacing w:after="0"/>
              <w:rPr>
                <w:sz w:val="20"/>
                <w:szCs w:val="20"/>
                <w:color w:val="auto"/>
              </w:rPr>
            </w:pPr>
            <w:r>
              <w:rPr>
                <w:rFonts w:ascii="Arial" w:cs="Arial" w:eastAsia="Arial" w:hAnsi="Arial"/>
                <w:sz w:val="14"/>
                <w:szCs w:val="14"/>
                <w:color w:val="auto"/>
              </w:rPr>
              <w:t>Increase/</w:t>
            </w:r>
          </w:p>
        </w:tc>
        <w:tc>
          <w:tcPr>
            <w:tcW w:w="1000" w:type="dxa"/>
            <w:vAlign w:val="bottom"/>
          </w:tcPr>
          <w:p>
            <w:pPr>
              <w:spacing w:after="0"/>
              <w:rPr>
                <w:sz w:val="14"/>
                <w:szCs w:val="14"/>
                <w:color w:val="auto"/>
              </w:rPr>
            </w:pPr>
          </w:p>
        </w:tc>
      </w:tr>
      <w:tr>
        <w:trPr>
          <w:trHeight w:val="188"/>
        </w:trPr>
        <w:tc>
          <w:tcPr>
            <w:tcW w:w="55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right"/>
              <w:ind w:right="556"/>
              <w:spacing w:after="0"/>
              <w:rPr>
                <w:sz w:val="20"/>
                <w:szCs w:val="20"/>
                <w:color w:val="auto"/>
              </w:rPr>
            </w:pPr>
            <w:r>
              <w:rPr>
                <w:rFonts w:ascii="Arial" w:cs="Arial" w:eastAsia="Arial" w:hAnsi="Arial"/>
                <w:sz w:val="14"/>
                <w:szCs w:val="14"/>
                <w:color w:val="auto"/>
              </w:rPr>
              <w:t>March 31</w:t>
            </w:r>
          </w:p>
        </w:tc>
        <w:tc>
          <w:tcPr>
            <w:tcW w:w="5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color w:val="auto"/>
              </w:rPr>
              <w:t>(Decrease)</w:t>
            </w:r>
          </w:p>
        </w:tc>
        <w:tc>
          <w:tcPr>
            <w:tcW w:w="1000" w:type="dxa"/>
            <w:vAlign w:val="bottom"/>
            <w:tcBorders>
              <w:bottom w:val="single" w:sz="8" w:color="auto"/>
            </w:tcBorders>
          </w:tcPr>
          <w:p>
            <w:pPr>
              <w:spacing w:after="0"/>
              <w:rPr>
                <w:sz w:val="16"/>
                <w:szCs w:val="16"/>
                <w:color w:val="auto"/>
              </w:rPr>
            </w:pPr>
          </w:p>
        </w:tc>
      </w:tr>
      <w:tr>
        <w:trPr>
          <w:trHeight w:val="196"/>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w:t>
            </w:r>
          </w:p>
        </w:tc>
        <w:tc>
          <w:tcPr>
            <w:tcW w:w="5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2016</w:t>
            </w:r>
          </w:p>
        </w:tc>
        <w:tc>
          <w:tcPr>
            <w:tcW w:w="5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color w:val="auto"/>
              </w:rPr>
              <w:t>%</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820" w:type="dxa"/>
            <w:vAlign w:val="bottom"/>
          </w:tcPr>
          <w:p>
            <w:pPr>
              <w:jc w:val="right"/>
              <w:ind w:right="616"/>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77"/>
              <w:spacing w:after="0"/>
              <w:rPr>
                <w:sz w:val="20"/>
                <w:szCs w:val="20"/>
                <w:color w:val="auto"/>
              </w:rPr>
            </w:pPr>
            <w:r>
              <w:rPr>
                <w:rFonts w:ascii="Arial" w:cs="Arial" w:eastAsia="Arial" w:hAnsi="Arial"/>
                <w:sz w:val="18"/>
                <w:szCs w:val="18"/>
                <w:color w:val="auto"/>
              </w:rPr>
              <w:t>208</w:t>
            </w:r>
          </w:p>
        </w:tc>
        <w:tc>
          <w:tcPr>
            <w:tcW w:w="940" w:type="dxa"/>
            <w:vAlign w:val="bottom"/>
          </w:tcPr>
          <w:p>
            <w:pPr>
              <w:jc w:val="right"/>
              <w:ind w:right="676"/>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199</w:t>
            </w:r>
          </w:p>
        </w:tc>
        <w:tc>
          <w:tcPr>
            <w:tcW w:w="920" w:type="dxa"/>
            <w:vAlign w:val="bottom"/>
          </w:tcPr>
          <w:p>
            <w:pPr>
              <w:jc w:val="right"/>
              <w:ind w:right="656"/>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637"/>
              <w:spacing w:after="0"/>
              <w:rPr>
                <w:sz w:val="20"/>
                <w:szCs w:val="20"/>
                <w:color w:val="auto"/>
              </w:rPr>
            </w:pPr>
            <w:r>
              <w:rPr>
                <w:rFonts w:ascii="Arial" w:cs="Arial" w:eastAsia="Arial" w:hAnsi="Arial"/>
                <w:sz w:val="18"/>
                <w:szCs w:val="18"/>
                <w:color w:val="auto"/>
              </w:rPr>
              <w:t>9</w:t>
            </w:r>
          </w:p>
        </w:tc>
        <w:tc>
          <w:tcPr>
            <w:tcW w:w="1000" w:type="dxa"/>
            <w:vAlign w:val="bottom"/>
          </w:tcPr>
          <w:p>
            <w:pPr>
              <w:jc w:val="right"/>
              <w:spacing w:after="0"/>
              <w:rPr>
                <w:sz w:val="20"/>
                <w:szCs w:val="20"/>
                <w:color w:val="auto"/>
              </w:rPr>
            </w:pPr>
            <w:r>
              <w:rPr>
                <w:rFonts w:ascii="Arial" w:cs="Arial" w:eastAsia="Arial" w:hAnsi="Arial"/>
                <w:sz w:val="18"/>
                <w:szCs w:val="18"/>
                <w:color w:val="auto"/>
              </w:rPr>
              <w:t>4.2 %</w:t>
            </w:r>
          </w:p>
        </w:tc>
      </w:tr>
      <w:tr>
        <w:trPr>
          <w:trHeight w:val="270"/>
        </w:trPr>
        <w:tc>
          <w:tcPr>
            <w:tcW w:w="550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820" w:type="dxa"/>
            <w:vAlign w:val="bottom"/>
          </w:tcPr>
          <w:p>
            <w:pPr>
              <w:spacing w:after="0"/>
              <w:rPr>
                <w:sz w:val="23"/>
                <w:szCs w:val="23"/>
                <w:color w:val="auto"/>
              </w:rPr>
            </w:pPr>
          </w:p>
        </w:tc>
        <w:tc>
          <w:tcPr>
            <w:tcW w:w="580" w:type="dxa"/>
            <w:vAlign w:val="bottom"/>
          </w:tcPr>
          <w:p>
            <w:pPr>
              <w:jc w:val="right"/>
              <w:ind w:right="77"/>
              <w:spacing w:after="0"/>
              <w:rPr>
                <w:sz w:val="20"/>
                <w:szCs w:val="20"/>
                <w:color w:val="auto"/>
              </w:rPr>
            </w:pPr>
            <w:r>
              <w:rPr>
                <w:rFonts w:ascii="Arial" w:cs="Arial" w:eastAsia="Arial" w:hAnsi="Arial"/>
                <w:sz w:val="18"/>
                <w:szCs w:val="18"/>
                <w:color w:val="auto"/>
              </w:rPr>
              <w:t>402</w:t>
            </w:r>
          </w:p>
        </w:tc>
        <w:tc>
          <w:tcPr>
            <w:tcW w:w="940" w:type="dxa"/>
            <w:vAlign w:val="bottom"/>
          </w:tcPr>
          <w:p>
            <w:pPr>
              <w:spacing w:after="0"/>
              <w:rPr>
                <w:sz w:val="23"/>
                <w:szCs w:val="23"/>
                <w:color w:val="auto"/>
              </w:rPr>
            </w:pP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353</w:t>
            </w:r>
          </w:p>
        </w:tc>
        <w:tc>
          <w:tcPr>
            <w:tcW w:w="920" w:type="dxa"/>
            <w:vAlign w:val="bottom"/>
          </w:tcPr>
          <w:p>
            <w:pPr>
              <w:spacing w:after="0"/>
              <w:rPr>
                <w:sz w:val="23"/>
                <w:szCs w:val="23"/>
                <w:color w:val="auto"/>
              </w:rPr>
            </w:pPr>
          </w:p>
        </w:tc>
        <w:tc>
          <w:tcPr>
            <w:tcW w:w="1120" w:type="dxa"/>
            <w:vAlign w:val="bottom"/>
          </w:tcPr>
          <w:p>
            <w:pPr>
              <w:jc w:val="right"/>
              <w:ind w:right="637"/>
              <w:spacing w:after="0"/>
              <w:rPr>
                <w:sz w:val="20"/>
                <w:szCs w:val="20"/>
                <w:color w:val="auto"/>
              </w:rPr>
            </w:pPr>
            <w:r>
              <w:rPr>
                <w:rFonts w:ascii="Arial" w:cs="Arial" w:eastAsia="Arial" w:hAnsi="Arial"/>
                <w:sz w:val="18"/>
                <w:szCs w:val="18"/>
                <w:color w:val="auto"/>
              </w:rPr>
              <w:t>49</w:t>
            </w:r>
          </w:p>
        </w:tc>
        <w:tc>
          <w:tcPr>
            <w:tcW w:w="1000" w:type="dxa"/>
            <w:vAlign w:val="bottom"/>
          </w:tcPr>
          <w:p>
            <w:pPr>
              <w:jc w:val="right"/>
              <w:ind w:right="174"/>
              <w:spacing w:after="0"/>
              <w:rPr>
                <w:sz w:val="20"/>
                <w:szCs w:val="20"/>
                <w:color w:val="auto"/>
              </w:rPr>
            </w:pPr>
            <w:r>
              <w:rPr>
                <w:rFonts w:ascii="Arial" w:cs="Arial" w:eastAsia="Arial" w:hAnsi="Arial"/>
                <w:sz w:val="18"/>
                <w:szCs w:val="18"/>
                <w:color w:val="auto"/>
              </w:rPr>
              <w:t>13.8</w:t>
            </w:r>
          </w:p>
        </w:tc>
      </w:tr>
      <w:tr>
        <w:trPr>
          <w:trHeight w:val="27"/>
        </w:trPr>
        <w:tc>
          <w:tcPr>
            <w:tcW w:w="5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820" w:type="dxa"/>
            <w:vAlign w:val="bottom"/>
          </w:tcPr>
          <w:p>
            <w:pPr>
              <w:jc w:val="right"/>
              <w:ind w:right="616"/>
              <w:spacing w:after="0"/>
              <w:rPr>
                <w:sz w:val="20"/>
                <w:szCs w:val="20"/>
                <w:color w:val="auto"/>
              </w:rPr>
            </w:pPr>
            <w:r>
              <w:rPr>
                <w:rFonts w:ascii="Arial" w:cs="Arial" w:eastAsia="Arial" w:hAnsi="Arial"/>
                <w:sz w:val="18"/>
                <w:szCs w:val="18"/>
                <w:b w:val="1"/>
                <w:bCs w:val="1"/>
                <w:color w:val="auto"/>
                <w:w w:val="99"/>
              </w:rPr>
              <w:t>$</w:t>
            </w:r>
          </w:p>
        </w:tc>
        <w:tc>
          <w:tcPr>
            <w:tcW w:w="580" w:type="dxa"/>
            <w:vAlign w:val="bottom"/>
          </w:tcPr>
          <w:p>
            <w:pPr>
              <w:jc w:val="right"/>
              <w:ind w:right="17"/>
              <w:spacing w:after="0"/>
              <w:rPr>
                <w:sz w:val="20"/>
                <w:szCs w:val="20"/>
                <w:color w:val="auto"/>
              </w:rPr>
            </w:pPr>
            <w:r>
              <w:rPr>
                <w:rFonts w:ascii="Arial" w:cs="Arial" w:eastAsia="Arial" w:hAnsi="Arial"/>
                <w:sz w:val="18"/>
                <w:szCs w:val="18"/>
                <w:b w:val="1"/>
                <w:bCs w:val="1"/>
                <w:color w:val="auto"/>
              </w:rPr>
              <w:t>(194)</w:t>
            </w:r>
          </w:p>
        </w:tc>
        <w:tc>
          <w:tcPr>
            <w:tcW w:w="940" w:type="dxa"/>
            <w:vAlign w:val="bottom"/>
          </w:tcPr>
          <w:p>
            <w:pPr>
              <w:jc w:val="right"/>
              <w:ind w:right="676"/>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(154)</w:t>
            </w:r>
          </w:p>
        </w:tc>
        <w:tc>
          <w:tcPr>
            <w:tcW w:w="920" w:type="dxa"/>
            <w:vAlign w:val="bottom"/>
          </w:tcPr>
          <w:p>
            <w:pPr>
              <w:jc w:val="right"/>
              <w:ind w:right="656"/>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577"/>
              <w:spacing w:after="0"/>
              <w:rPr>
                <w:sz w:val="20"/>
                <w:szCs w:val="20"/>
                <w:color w:val="auto"/>
              </w:rPr>
            </w:pPr>
            <w:r>
              <w:rPr>
                <w:rFonts w:ascii="Arial" w:cs="Arial" w:eastAsia="Arial" w:hAnsi="Arial"/>
                <w:sz w:val="18"/>
                <w:szCs w:val="18"/>
                <w:b w:val="1"/>
                <w:bCs w:val="1"/>
                <w:color w:val="auto"/>
              </w:rPr>
              <w:t>(40)</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(26.2)%</w:t>
            </w:r>
          </w:p>
        </w:tc>
      </w:tr>
      <w:tr>
        <w:trPr>
          <w:trHeight w:val="34"/>
        </w:trPr>
        <w:tc>
          <w:tcPr>
            <w:tcW w:w="5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Other—Revenue</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revenue primarily relates to Comcast Spectacor, which owns the Philadelphia Flyers and the Wells Fargo Center arena in Philadelphia, Pennsylvania and operates arena management-related businesses.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revenue increased for the three months ended March 31, 2017 compared to the same period in 2016 primarily due to increases in revenue from several of our Comcast Spectacor businesses.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Other—Operating Costs and Expenses</w:t>
      </w:r>
    </w:p>
    <w:p>
      <w:pPr>
        <w:spacing w:after="0" w:line="1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Corporate and Other operating costs and expenses primarily include overhead, personnel costs, the costs of corporate initiatives and branding, and operating costs and expenses associated with Comcast Spectacor.</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Corporate and Other operating costs and expenses increased for the three months ended March 31, 2017 primarily due to expenses associated with our new wireless phone service.</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Other Income (Expense) Items, Net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00" w:type="dxa"/>
            <w:vAlign w:val="bottom"/>
          </w:tcPr>
          <w:p>
            <w:pPr>
              <w:spacing w:after="0"/>
              <w:rPr>
                <w:sz w:val="14"/>
                <w:szCs w:val="14"/>
                <w:color w:val="auto"/>
              </w:rPr>
            </w:pPr>
          </w:p>
        </w:tc>
      </w:tr>
      <w:tr>
        <w:trPr>
          <w:trHeight w:val="188"/>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4"/>
                <w:szCs w:val="14"/>
                <w:color w:val="auto"/>
              </w:rPr>
              <w:t>March 31</w:t>
            </w:r>
          </w:p>
        </w:tc>
        <w:tc>
          <w:tcPr>
            <w:tcW w:w="90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color w:val="auto"/>
              </w:rPr>
              <w:t>2017</w:t>
            </w:r>
          </w:p>
        </w:tc>
        <w:tc>
          <w:tcPr>
            <w:tcW w:w="6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color w:val="auto"/>
                <w:w w:val="89"/>
              </w:rPr>
              <w:t>2016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(755)</w:t>
            </w:r>
          </w:p>
        </w:tc>
        <w:tc>
          <w:tcPr>
            <w:tcW w:w="6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(703)</w:t>
            </w:r>
          </w:p>
        </w:tc>
      </w:tr>
      <w:tr>
        <w:trPr>
          <w:trHeight w:val="270"/>
        </w:trPr>
        <w:tc>
          <w:tcPr>
            <w:tcW w:w="8340" w:type="dxa"/>
            <w:vAlign w:val="bottom"/>
          </w:tcPr>
          <w:p>
            <w:pPr>
              <w:ind w:left="40"/>
              <w:spacing w:after="0"/>
              <w:rPr>
                <w:sz w:val="20"/>
                <w:szCs w:val="20"/>
                <w:color w:val="auto"/>
              </w:rPr>
            </w:pPr>
            <w:r>
              <w:rPr>
                <w:rFonts w:ascii="Arial" w:cs="Arial" w:eastAsia="Arial" w:hAnsi="Arial"/>
                <w:sz w:val="18"/>
                <w:szCs w:val="18"/>
                <w:color w:val="auto"/>
              </w:rPr>
              <w:t>Investment income (loss), net</w:t>
            </w:r>
          </w:p>
        </w:tc>
        <w:tc>
          <w:tcPr>
            <w:tcW w:w="360" w:type="dxa"/>
            <w:vAlign w:val="bottom"/>
          </w:tcPr>
          <w:p>
            <w:pPr>
              <w:spacing w:after="0"/>
              <w:rPr>
                <w:sz w:val="23"/>
                <w:szCs w:val="23"/>
                <w:color w:val="auto"/>
              </w:rPr>
            </w:pPr>
          </w:p>
        </w:tc>
        <w:tc>
          <w:tcPr>
            <w:tcW w:w="1180" w:type="dxa"/>
            <w:vAlign w:val="bottom"/>
          </w:tcPr>
          <w:p>
            <w:pPr>
              <w:jc w:val="right"/>
              <w:ind w:right="57"/>
              <w:spacing w:after="0"/>
              <w:rPr>
                <w:sz w:val="20"/>
                <w:szCs w:val="20"/>
                <w:color w:val="auto"/>
              </w:rPr>
            </w:pPr>
            <w:r>
              <w:rPr>
                <w:rFonts w:ascii="Arial" w:cs="Arial" w:eastAsia="Arial" w:hAnsi="Arial"/>
                <w:sz w:val="18"/>
                <w:szCs w:val="18"/>
                <w:color w:val="auto"/>
              </w:rPr>
              <w:t>59</w:t>
            </w:r>
          </w:p>
        </w:tc>
        <w:tc>
          <w:tcPr>
            <w:tcW w:w="640" w:type="dxa"/>
            <w:vAlign w:val="bottom"/>
          </w:tcPr>
          <w:p>
            <w:pPr>
              <w:spacing w:after="0"/>
              <w:rPr>
                <w:sz w:val="23"/>
                <w:szCs w:val="23"/>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30</w:t>
            </w:r>
          </w:p>
        </w:tc>
      </w:tr>
      <w:tr>
        <w:trPr>
          <w:trHeight w:val="270"/>
        </w:trPr>
        <w:tc>
          <w:tcPr>
            <w:tcW w:w="8340" w:type="dxa"/>
            <w:vAlign w:val="bottom"/>
          </w:tcPr>
          <w:p>
            <w:pPr>
              <w:ind w:left="40"/>
              <w:spacing w:after="0"/>
              <w:rPr>
                <w:sz w:val="20"/>
                <w:szCs w:val="20"/>
                <w:color w:val="auto"/>
              </w:rPr>
            </w:pPr>
            <w:r>
              <w:rPr>
                <w:rFonts w:ascii="Arial" w:cs="Arial" w:eastAsia="Arial" w:hAnsi="Arial"/>
                <w:sz w:val="18"/>
                <w:szCs w:val="18"/>
                <w:color w:val="auto"/>
              </w:rPr>
              <w:t>Equity in net income (losses) of investees, net</w:t>
            </w:r>
          </w:p>
        </w:tc>
        <w:tc>
          <w:tcPr>
            <w:tcW w:w="360" w:type="dxa"/>
            <w:vAlign w:val="bottom"/>
          </w:tcPr>
          <w:p>
            <w:pPr>
              <w:spacing w:after="0"/>
              <w:rPr>
                <w:sz w:val="23"/>
                <w:szCs w:val="23"/>
                <w:color w:val="auto"/>
              </w:rPr>
            </w:pPr>
          </w:p>
        </w:tc>
        <w:tc>
          <w:tcPr>
            <w:tcW w:w="1180" w:type="dxa"/>
            <w:vAlign w:val="bottom"/>
          </w:tcPr>
          <w:p>
            <w:pPr>
              <w:jc w:val="right"/>
              <w:ind w:right="57"/>
              <w:spacing w:after="0"/>
              <w:rPr>
                <w:sz w:val="20"/>
                <w:szCs w:val="20"/>
                <w:color w:val="auto"/>
              </w:rPr>
            </w:pPr>
            <w:r>
              <w:rPr>
                <w:rFonts w:ascii="Arial" w:cs="Arial" w:eastAsia="Arial" w:hAnsi="Arial"/>
                <w:sz w:val="18"/>
                <w:szCs w:val="18"/>
                <w:color w:val="auto"/>
              </w:rPr>
              <w:t>36</w:t>
            </w:r>
          </w:p>
        </w:tc>
        <w:tc>
          <w:tcPr>
            <w:tcW w:w="6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834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360" w:type="dxa"/>
            <w:vAlign w:val="bottom"/>
          </w:tcPr>
          <w:p>
            <w:pPr>
              <w:spacing w:after="0"/>
              <w:rPr>
                <w:sz w:val="23"/>
                <w:szCs w:val="23"/>
                <w:color w:val="auto"/>
              </w:rPr>
            </w:pPr>
          </w:p>
        </w:tc>
        <w:tc>
          <w:tcPr>
            <w:tcW w:w="1180" w:type="dxa"/>
            <w:vAlign w:val="bottom"/>
          </w:tcPr>
          <w:p>
            <w:pPr>
              <w:jc w:val="right"/>
              <w:ind w:right="57"/>
              <w:spacing w:after="0"/>
              <w:rPr>
                <w:sz w:val="20"/>
                <w:szCs w:val="20"/>
                <w:color w:val="auto"/>
              </w:rPr>
            </w:pPr>
            <w:r>
              <w:rPr>
                <w:rFonts w:ascii="Arial" w:cs="Arial" w:eastAsia="Arial" w:hAnsi="Arial"/>
                <w:sz w:val="18"/>
                <w:szCs w:val="18"/>
                <w:color w:val="auto"/>
              </w:rPr>
              <w:t>35</w:t>
            </w:r>
          </w:p>
        </w:tc>
        <w:tc>
          <w:tcPr>
            <w:tcW w:w="640" w:type="dxa"/>
            <w:vAlign w:val="bottom"/>
          </w:tcPr>
          <w:p>
            <w:pPr>
              <w:spacing w:after="0"/>
              <w:rPr>
                <w:sz w:val="23"/>
                <w:szCs w:val="23"/>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130</w:t>
            </w:r>
          </w:p>
        </w:tc>
      </w:tr>
      <w:tr>
        <w:trPr>
          <w:trHeight w:val="27"/>
        </w:trPr>
        <w:tc>
          <w:tcPr>
            <w:tcW w:w="8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(625)</w:t>
            </w:r>
          </w:p>
        </w:tc>
        <w:tc>
          <w:tcPr>
            <w:tcW w:w="64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(554)</w:t>
            </w:r>
          </w:p>
        </w:tc>
      </w:tr>
      <w:tr>
        <w:trPr>
          <w:trHeight w:val="34"/>
        </w:trPr>
        <w:tc>
          <w:tcPr>
            <w:tcW w:w="8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increased for the three months ended March 31, 2017 compared to the same period in 2016 primarily due to an increase in our debt outstanding.</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 (Loss), Net</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components of investment income (loss), net for the three months ended March 31, 2017 and 2016 are presented in a table in Note 6 to Comcast’s condensed consolidated financial statements.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Net Income (Losses) of Investees, Net</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change in equity in net income (losses) of investees, net for the three months ended March 31, 2017 compared to the same period in 2016 was primarily due to our share of income at Atairos Group, Inc. of $57 million, which was offset by our share of loss at Hulu, LLC of $54 million. Atairos follows investment company accounting and records its investments at their fair values each reporting period with the net gains or losses reflected in its statement of income. We recognize our share of these gains and losses in equity in net income (losses) of investees, net. The loss at Hulu was driven by its higher programming and marketing costs. For the three months ended March 31, 2016, we recognized our share of losses at Atairos and Hulu of $15 million and $25 million, respectively.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income (expense), net for the three months ended March 31, 2016 included a gain of $108 million related to the sale of our investment in The Weather Channel’s product and technology businesses.</w:t>
      </w:r>
    </w:p>
    <w:p>
      <w:pPr>
        <w:sectPr>
          <w:pgSz w:w="11900" w:h="16838" w:orient="portrait"/>
          <w:cols w:equalWidth="0" w:num="1">
            <w:col w:w="11420"/>
          </w:cols>
          <w:pgMar w:left="240" w:top="17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75" w:right="23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Income Tax Expense</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Income tax expense for the three months ended March 31, 2017 and 2016 reflects an effective income tax rate that differs from the federal statutory rate primarily due to state income taxes and adjustments associated with uncertain tax positions. In 2017, we prospectively adopted the new accounting guidance related to share-based compensation, which resulted in a decrease in income tax expense of $139 million for the three months ended March 31, 2017. In addition, we had favorable settlements of certain state tax audits, which decreased our income tax expense by $83 million for the three months ended March 31, 2017. We expect our 2017 annual effective tax rate to be in the range of 35% to 37%, absent changes in tax laws or significant changes in uncertain tax positions. The expected annual effective tax rate includes the impact of the adoption of the new accounting guidance related to share-based compensation (see Note 2 to Comcast’s condensed consolidated financial statements).</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businesses generate significant cash flows from operating activities. We believe that we will be able to continue to meet our current and long-term liquidity and capital requirements, including fixed charges, through our cash flows from operating activities; existing cash, cash equivalents and investments; available borrowings under our existing credit facilities; and our ability to obtain future external financing. We anticipate that we will continue to use a substantial portion of our cash flows in repaying our debt obligations, funding our capital expenditures, investing in business opportunities and returning capital to shareholders.</w:t>
      </w:r>
    </w:p>
    <w:p>
      <w:pPr>
        <w:spacing w:after="0" w:line="13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April 13, 2017, the Federal Communications Commission (“FCC”) announced the results of its spectrum auction. In the auction, NBCUniversal agreed to relinquish FCC licenses for spectrum in the New York, Philadelphia and Chicago designated market areas (“DMAs”) and will receive proceeds of $482 million. As of March 31, 2017, the book value of these licenses was $144 million and was recorded in other current assets in the condensed consolidated balance sheet. NBCUniversal will share broadcast signals for its NBC and Telemundo stations in these DMAs. In connection with the auction, we also agreed to acquire $1.7 billion of spectrum. We had previously made a deposit of $1.8 billion to participate in the auction, which was recorded in other intangible assets in Comcast's condensed consolidated balance sheet as of March 31, 2017.</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6, 2017, we acquired the remaining interests in Universal Studios Japan that we did not already own for approximately $2.3 billion. The acquisition was funded through cash on hand and borrowings under our commercial paper program. During the second quarter of 2017, we obtained commitments from lenders to refinance the Universal Studios Japan term loans, which we expect will, among other things, increase the borrowings, extend the maturity date and include a guarantee from Comcast. We expect to use a portion of the Universal Studios Japan term loans proceeds to repay a portion of amounts outstanding under our commercial paper program.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Components of Net Cash Provided by Operating Activities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6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1040" w:type="dxa"/>
            <w:vAlign w:val="bottom"/>
          </w:tcPr>
          <w:p>
            <w:pPr>
              <w:spacing w:after="0"/>
              <w:rPr>
                <w:sz w:val="14"/>
                <w:szCs w:val="14"/>
                <w:color w:val="auto"/>
              </w:rPr>
            </w:pPr>
          </w:p>
        </w:tc>
      </w:tr>
      <w:tr>
        <w:trPr>
          <w:trHeight w:val="188"/>
        </w:trPr>
        <w:tc>
          <w:tcPr>
            <w:tcW w:w="80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color w:val="auto"/>
              </w:rPr>
              <w:t>March 31</w:t>
            </w:r>
          </w:p>
        </w:tc>
        <w:tc>
          <w:tcPr>
            <w:tcW w:w="1040" w:type="dxa"/>
            <w:vAlign w:val="bottom"/>
            <w:tcBorders>
              <w:bottom w:val="single" w:sz="8" w:color="auto"/>
            </w:tcBorders>
          </w:tcPr>
          <w:p>
            <w:pPr>
              <w:spacing w:after="0"/>
              <w:rPr>
                <w:sz w:val="16"/>
                <w:szCs w:val="16"/>
                <w:color w:val="auto"/>
              </w:rPr>
            </w:pPr>
          </w:p>
        </w:tc>
      </w:tr>
      <w:tr>
        <w:trPr>
          <w:trHeight w:val="196"/>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4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color w:val="auto"/>
              </w:rPr>
              <w:t>2017</w:t>
            </w:r>
          </w:p>
        </w:tc>
        <w:tc>
          <w:tcPr>
            <w:tcW w:w="6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color w:val="auto"/>
              </w:rPr>
              <w:t>2016</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4,530</w:t>
            </w:r>
          </w:p>
        </w:tc>
        <w:tc>
          <w:tcPr>
            <w:tcW w:w="6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4,089</w:t>
            </w:r>
          </w:p>
        </w:tc>
      </w:tr>
      <w:tr>
        <w:trPr>
          <w:trHeight w:val="270"/>
        </w:trPr>
        <w:tc>
          <w:tcPr>
            <w:tcW w:w="80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2,502</w:t>
            </w:r>
          </w:p>
        </w:tc>
        <w:tc>
          <w:tcPr>
            <w:tcW w:w="68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2,278</w:t>
            </w:r>
          </w:p>
        </w:tc>
      </w:tr>
      <w:tr>
        <w:trPr>
          <w:trHeight w:val="270"/>
        </w:trPr>
        <w:tc>
          <w:tcPr>
            <w:tcW w:w="8000" w:type="dxa"/>
            <w:vAlign w:val="bottom"/>
          </w:tcPr>
          <w:p>
            <w:pPr>
              <w:ind w:left="40"/>
              <w:spacing w:after="0"/>
              <w:rPr>
                <w:sz w:val="20"/>
                <w:szCs w:val="20"/>
                <w:color w:val="auto"/>
              </w:rPr>
            </w:pPr>
            <w:r>
              <w:rPr>
                <w:rFonts w:ascii="Arial" w:cs="Arial" w:eastAsia="Arial" w:hAnsi="Arial"/>
                <w:sz w:val="18"/>
                <w:szCs w:val="18"/>
                <w:color w:val="auto"/>
              </w:rPr>
              <w:t>Noncash share-based compensation</w:t>
            </w:r>
          </w:p>
        </w:tc>
        <w:tc>
          <w:tcPr>
            <w:tcW w:w="4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173</w:t>
            </w:r>
          </w:p>
        </w:tc>
        <w:tc>
          <w:tcPr>
            <w:tcW w:w="68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153</w:t>
            </w:r>
          </w:p>
        </w:tc>
      </w:tr>
      <w:tr>
        <w:trPr>
          <w:trHeight w:val="270"/>
        </w:trPr>
        <w:tc>
          <w:tcPr>
            <w:tcW w:w="800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4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(580)</w:t>
            </w:r>
          </w:p>
        </w:tc>
        <w:tc>
          <w:tcPr>
            <w:tcW w:w="6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(258)</w:t>
            </w:r>
          </w:p>
        </w:tc>
      </w:tr>
      <w:tr>
        <w:trPr>
          <w:trHeight w:val="270"/>
        </w:trPr>
        <w:tc>
          <w:tcPr>
            <w:tcW w:w="8000" w:type="dxa"/>
            <w:vAlign w:val="bottom"/>
          </w:tcPr>
          <w:p>
            <w:pPr>
              <w:ind w:left="40"/>
              <w:spacing w:after="0"/>
              <w:rPr>
                <w:sz w:val="20"/>
                <w:szCs w:val="20"/>
                <w:color w:val="auto"/>
              </w:rPr>
            </w:pPr>
            <w:r>
              <w:rPr>
                <w:rFonts w:ascii="Arial" w:cs="Arial" w:eastAsia="Arial" w:hAnsi="Arial"/>
                <w:sz w:val="18"/>
                <w:szCs w:val="18"/>
                <w:color w:val="auto"/>
              </w:rPr>
              <w:t>Payments of interest</w:t>
            </w:r>
          </w:p>
        </w:tc>
        <w:tc>
          <w:tcPr>
            <w:tcW w:w="4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(895)</w:t>
            </w:r>
          </w:p>
        </w:tc>
        <w:tc>
          <w:tcPr>
            <w:tcW w:w="6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(723)</w:t>
            </w:r>
          </w:p>
        </w:tc>
      </w:tr>
      <w:tr>
        <w:trPr>
          <w:trHeight w:val="270"/>
        </w:trPr>
        <w:tc>
          <w:tcPr>
            <w:tcW w:w="8000" w:type="dxa"/>
            <w:vAlign w:val="bottom"/>
          </w:tcPr>
          <w:p>
            <w:pPr>
              <w:ind w:left="40"/>
              <w:spacing w:after="0"/>
              <w:rPr>
                <w:sz w:val="20"/>
                <w:szCs w:val="20"/>
                <w:color w:val="auto"/>
              </w:rPr>
            </w:pPr>
            <w:r>
              <w:rPr>
                <w:rFonts w:ascii="Arial" w:cs="Arial" w:eastAsia="Arial" w:hAnsi="Arial"/>
                <w:sz w:val="18"/>
                <w:szCs w:val="18"/>
                <w:color w:val="auto"/>
              </w:rPr>
              <w:t>Payments of income taxes</w:t>
            </w:r>
          </w:p>
        </w:tc>
        <w:tc>
          <w:tcPr>
            <w:tcW w:w="4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(132)</w:t>
            </w:r>
          </w:p>
        </w:tc>
        <w:tc>
          <w:tcPr>
            <w:tcW w:w="6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70"/>
        </w:trPr>
        <w:tc>
          <w:tcPr>
            <w:tcW w:w="8000" w:type="dxa"/>
            <w:vAlign w:val="bottom"/>
          </w:tcPr>
          <w:p>
            <w:pPr>
              <w:ind w:left="4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58</w:t>
            </w:r>
          </w:p>
        </w:tc>
        <w:tc>
          <w:tcPr>
            <w:tcW w:w="68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50</w:t>
            </w:r>
          </w:p>
        </w:tc>
      </w:tr>
      <w:tr>
        <w:trPr>
          <w:trHeight w:val="27"/>
        </w:trPr>
        <w:tc>
          <w:tcPr>
            <w:tcW w:w="8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800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4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5,656</w:t>
            </w:r>
          </w:p>
        </w:tc>
        <w:tc>
          <w:tcPr>
            <w:tcW w:w="68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b w:val="1"/>
                <w:bCs w:val="1"/>
                <w:color w:val="auto"/>
              </w:rPr>
              <w:t>5,399</w:t>
            </w:r>
          </w:p>
        </w:tc>
      </w:tr>
      <w:tr>
        <w:trPr>
          <w:trHeight w:val="34"/>
        </w:trPr>
        <w:tc>
          <w:tcPr>
            <w:tcW w:w="8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variance in changes in operating assets and liabilities for the three months ended March 31, 2017 compared to the same period in 2016 was primarily due to the timing of collections on our receivables related to home entertainment sales in the prior year period and theatrical releases in the current year period, the timing of certain payroll and employee benefit payments, and the timing of film and television spending.</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investing activities for the three months ended March 31, 2017 consisted primarily of capital expenditures, purchases of investments, cash paid for intangible assets and acquisitions. Capital expenditures increased for the three months ended March 31, 2017 compared to the same period in 2016 primarily due to increased spending in our Cable Communications segment on customer premise equipment related to the deployment of our X1 platform and wireless gateways, continued investment</w:t>
      </w:r>
    </w:p>
    <w:p>
      <w:pPr>
        <w:sectPr>
          <w:pgSz w:w="11900" w:h="16838" w:orient="portrait"/>
          <w:cols w:equalWidth="0" w:num="1">
            <w:col w:w="11420"/>
          </w:cols>
          <w:pgMar w:left="240" w:top="175" w:right="239"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75" w:right="23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scalable infrastructure to increase network capacity, and increased investment in line extensions primarily for the expansion of business services. Purchases of investments for the three months ended March 31, 2017 consisted primarily of our investment in Snap Inc. of $500 million and cash capital contributions of $457 million to Atairos.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8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Net cash used in financing activities for the three months ended March 31, 2017 consisted primarily of repayments of debt, repurchases of common stock under our repurchase program and employee plans, and dividend payments, which were partially offset by proceeds from borrowings.</w:t>
      </w:r>
    </w:p>
    <w:p>
      <w:pPr>
        <w:spacing w:after="0" w:line="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made, and may from time to time in the future make, optional repayments on our debt obligations, which may include repurchases of our outstanding public notes and debentures, depending on various factors, such as market conditions. See Note 7 to Comcast’s condensed consolidated financial statements for additional information on our financing activities, including details of our debt repayments and borrowings.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Borrowings Under Credit Facilities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We also maintain significant availability under our lines of credit and commercial paper programs to meet our short-term liquidity requirements.</w:t>
      </w:r>
    </w:p>
    <w:p>
      <w:pPr>
        <w:spacing w:after="0" w:line="1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of March 31, 2017, amounts available under our consolidated revolving credit facilities, net of amounts outstanding under our commercial paper programs and outstanding letters of credit, totaled $7.4 billion, which included $585 million available under the NBCUniversal Enterprise revolving credit facility.</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 and Dividends</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Effective January 1, 2017, our Board of Directors increased our share repurchase program authorization to $12 billion, which does not have an expiration date. Under the authorization, we may repurchase shares in the open market or in private transactions. During the three months ended March 31, 2017, we repurchased a total of 20 million shares of our Class A common stock for $750 million. We expect to make $4.25 billion more in repurchases under this authorization during the remainder of 2017, subject to market conditions.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In addition, we paid $246 million related to employee taxes associated with the administration of our share-based compensation plans.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January 2017, our Board of Directors approved a 15.0% increase in our dividend to $0.63 per share on an annualized basis and approved our first quarter dividend of $0.1575 per share to be paid in April 2017. We expect to continue to pay quarterly dividends, although each dividend is subject to approval by our Board of Directors.</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Judgments and Estimates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our condensed consolidated financial statements requires us to make estimates that affect the reported amounts of assets, liabilities, revenue and expenses, and the related disclosure of contingent assets and contingent liabilities. We base our judgments on our historical experience and on various other assumptions that we believe are reasonable under the circumstances, the results of which form the basis for making estimates about the carrying value of assets and liabilities that are not readily apparent from other sources. Actual results may differ from these estimates under different assumptions or conditions.</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a more complete discussion of the accounting judgments and estimates that we have identified as critical in the preparation of our condensed consolidated financial statements, please refer to our Management’s Discussion and Analysis of Financial Condition and Results of Operations in our 2016 Annual Report on Form 10-K.</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Accounting Pronouncements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2 to each of Comcast’s and NBCUniversal’s condensed consolidated financial statements for additional information related to recent accounting pronouncements.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evaluated the information required under this item that was disclosed in our 2016 Annual Report on Form 10-K and there have been no significant changes to this information.</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75"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Comcast Corporation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19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principal executive and principal financial officers, after evaluating the effectiveness of Comcast’s disclosure controls and procedures (as defined in Exchange Act Rules 13a-15(e) and 15d-15(e)) as of the end of the period covered by this report, have concluded that, based on the evaluation of these controls and procedures required by paragraph (b) of Exchange Act Rules 13a-15 or 15d-15, Comcast’s disclosure controls and procedures were effective.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no changes in Comcast’s internal control over financial reporting identified in connection with the evaluation required by paragraph (d) of Exchange Act Rules 13a-15 or 15d-15 that occurred during Comcast’s last fiscal quarter that have materially affected, or are reasonably likely to materially affect, Comcast’s internal control over financial reporting.</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 Media, LLC</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principal executive and principal financial officers, after evaluating the effectiveness of NBCUniversal’s disclosure controls and procedures (as defined in Rules 13a-15(e) and 15d-15(e) of the Exchange Act) as of the end of the period covered by this report, have concluded that, based on the evaluation of these controls and procedures required by paragraph (b) of Exchange Act Rules 13a-15 or 15d-15, NBCUniversal’s disclosure controls and procedures were effective.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no changes in NBCUniversal’s internal control over financial reporting identified in connection with the evaluation required by paragraph (d) of Exchange Act Rules 13a-15 or 15d-15 that occurred during NBCUniversal’s last fiscal quarter that have materially affected, or are reasonably likely to materially affect, NBCUniversal’s internal control over financial reporting.</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PART II: OTHER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Note 10 to Comcast’s condensed consolidated financial statements included in this Quarterly Report on Form 10-Q for a discussion of legal proceedings.</w:t>
      </w:r>
    </w:p>
    <w:p>
      <w:pPr>
        <w:spacing w:after="0" w:line="1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NBCUniversal is subject to legal proceedings and claims that arise in the ordinary course of its business and does not expect the final disposition of these matters to have a material adverse effect on its results of operations, cash flows or financial condition, although any such matters could be time-consuming and costly and could injure its reputation.</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significant changes from the risk factors previously disclosed in Item 1A of our 2016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75"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18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table below summarizes Comcast’s common stock repurchases during the three months ended March 31, 2017. All shares are presented on a post-split basis.</w:t>
      </w:r>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Purchases of Equity Securities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jc w:val="center"/>
              <w:ind w:right="101"/>
              <w:spacing w:after="0"/>
              <w:rPr>
                <w:sz w:val="20"/>
                <w:szCs w:val="20"/>
                <w:color w:val="auto"/>
              </w:rPr>
            </w:pPr>
            <w:r>
              <w:rPr>
                <w:rFonts w:ascii="Arial" w:cs="Arial" w:eastAsia="Arial" w:hAnsi="Arial"/>
                <w:sz w:val="14"/>
                <w:szCs w:val="14"/>
                <w:color w:val="auto"/>
                <w:w w:val="97"/>
              </w:rPr>
              <w:t>Total Dollar</w:t>
            </w:r>
          </w:p>
        </w:tc>
        <w:tc>
          <w:tcPr>
            <w:tcW w:w="240" w:type="dxa"/>
            <w:vAlign w:val="bottom"/>
          </w:tcPr>
          <w:p>
            <w:pPr>
              <w:spacing w:after="0"/>
              <w:rPr>
                <w:sz w:val="14"/>
                <w:szCs w:val="14"/>
                <w:color w:val="auto"/>
              </w:rPr>
            </w:pPr>
          </w:p>
        </w:tc>
        <w:tc>
          <w:tcPr>
            <w:tcW w:w="1580" w:type="dxa"/>
            <w:vAlign w:val="bottom"/>
          </w:tcPr>
          <w:p>
            <w:pPr>
              <w:jc w:val="center"/>
              <w:ind w:right="120"/>
              <w:spacing w:after="0"/>
              <w:rPr>
                <w:sz w:val="20"/>
                <w:szCs w:val="20"/>
                <w:color w:val="auto"/>
              </w:rPr>
            </w:pPr>
            <w:r>
              <w:rPr>
                <w:rFonts w:ascii="Arial" w:cs="Arial" w:eastAsia="Arial" w:hAnsi="Arial"/>
                <w:sz w:val="14"/>
                <w:szCs w:val="14"/>
                <w:color w:val="auto"/>
              </w:rPr>
              <w:t>Maximum Dollar</w:t>
            </w:r>
          </w:p>
        </w:tc>
      </w:tr>
      <w:tr>
        <w:trPr>
          <w:trHeight w:val="149"/>
        </w:trPr>
        <w:tc>
          <w:tcPr>
            <w:tcW w:w="21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tcPr>
          <w:p>
            <w:pPr>
              <w:jc w:val="center"/>
              <w:ind w:right="81"/>
              <w:spacing w:after="0" w:line="149" w:lineRule="exact"/>
              <w:rPr>
                <w:sz w:val="20"/>
                <w:szCs w:val="20"/>
                <w:color w:val="auto"/>
              </w:rPr>
            </w:pPr>
            <w:r>
              <w:rPr>
                <w:rFonts w:ascii="Arial" w:cs="Arial" w:eastAsia="Arial" w:hAnsi="Arial"/>
                <w:sz w:val="14"/>
                <w:szCs w:val="14"/>
                <w:color w:val="auto"/>
                <w:w w:val="99"/>
              </w:rPr>
              <w:t>Amount</w:t>
            </w:r>
          </w:p>
        </w:tc>
        <w:tc>
          <w:tcPr>
            <w:tcW w:w="240" w:type="dxa"/>
            <w:vAlign w:val="bottom"/>
          </w:tcPr>
          <w:p>
            <w:pPr>
              <w:spacing w:after="0"/>
              <w:rPr>
                <w:sz w:val="12"/>
                <w:szCs w:val="12"/>
                <w:color w:val="auto"/>
              </w:rPr>
            </w:pPr>
          </w:p>
        </w:tc>
        <w:tc>
          <w:tcPr>
            <w:tcW w:w="1580" w:type="dxa"/>
            <w:vAlign w:val="bottom"/>
          </w:tcPr>
          <w:p>
            <w:pPr>
              <w:jc w:val="center"/>
              <w:ind w:right="120"/>
              <w:spacing w:after="0" w:line="149" w:lineRule="exact"/>
              <w:rPr>
                <w:sz w:val="20"/>
                <w:szCs w:val="20"/>
                <w:color w:val="auto"/>
              </w:rPr>
            </w:pPr>
            <w:r>
              <w:rPr>
                <w:rFonts w:ascii="Arial" w:cs="Arial" w:eastAsia="Arial" w:hAnsi="Arial"/>
                <w:sz w:val="14"/>
                <w:szCs w:val="14"/>
                <w:color w:val="auto"/>
                <w:w w:val="92"/>
              </w:rPr>
              <w:t>Value of Shares That</w:t>
            </w:r>
          </w:p>
        </w:tc>
      </w:tr>
      <w:tr>
        <w:trPr>
          <w:trHeight w:val="149"/>
        </w:trPr>
        <w:tc>
          <w:tcPr>
            <w:tcW w:w="2160" w:type="dxa"/>
            <w:vAlign w:val="bottom"/>
          </w:tcPr>
          <w:p>
            <w:pPr>
              <w:spacing w:after="0"/>
              <w:rPr>
                <w:sz w:val="12"/>
                <w:szCs w:val="12"/>
                <w:color w:val="auto"/>
              </w:rPr>
            </w:pPr>
          </w:p>
        </w:tc>
        <w:tc>
          <w:tcPr>
            <w:tcW w:w="1800" w:type="dxa"/>
            <w:vAlign w:val="bottom"/>
          </w:tcPr>
          <w:p>
            <w:pPr>
              <w:jc w:val="center"/>
              <w:ind w:left="19"/>
              <w:spacing w:after="0" w:line="149" w:lineRule="exact"/>
              <w:rPr>
                <w:sz w:val="20"/>
                <w:szCs w:val="20"/>
                <w:color w:val="auto"/>
              </w:rPr>
            </w:pPr>
            <w:r>
              <w:rPr>
                <w:rFonts w:ascii="Arial" w:cs="Arial" w:eastAsia="Arial" w:hAnsi="Arial"/>
                <w:sz w:val="14"/>
                <w:szCs w:val="14"/>
                <w:color w:val="auto"/>
                <w:w w:val="96"/>
              </w:rPr>
              <w:t>Total</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center"/>
              <w:ind w:right="259"/>
              <w:spacing w:after="0" w:line="149" w:lineRule="exact"/>
              <w:rPr>
                <w:sz w:val="20"/>
                <w:szCs w:val="20"/>
                <w:color w:val="auto"/>
              </w:rPr>
            </w:pPr>
            <w:r>
              <w:rPr>
                <w:rFonts w:ascii="Arial" w:cs="Arial" w:eastAsia="Arial" w:hAnsi="Arial"/>
                <w:sz w:val="14"/>
                <w:szCs w:val="14"/>
                <w:color w:val="auto"/>
                <w:w w:val="91"/>
              </w:rPr>
              <w:t>Average</w:t>
            </w: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95"/>
              </w:rPr>
              <w:t>Total Number of</w:t>
            </w:r>
          </w:p>
        </w:tc>
        <w:tc>
          <w:tcPr>
            <w:tcW w:w="260" w:type="dxa"/>
            <w:vAlign w:val="bottom"/>
          </w:tcPr>
          <w:p>
            <w:pPr>
              <w:spacing w:after="0"/>
              <w:rPr>
                <w:sz w:val="12"/>
                <w:szCs w:val="12"/>
                <w:color w:val="auto"/>
              </w:rPr>
            </w:pPr>
          </w:p>
        </w:tc>
        <w:tc>
          <w:tcPr>
            <w:tcW w:w="1400" w:type="dxa"/>
            <w:vAlign w:val="bottom"/>
          </w:tcPr>
          <w:p>
            <w:pPr>
              <w:jc w:val="center"/>
              <w:ind w:right="81"/>
              <w:spacing w:after="0" w:line="149" w:lineRule="exact"/>
              <w:rPr>
                <w:sz w:val="20"/>
                <w:szCs w:val="20"/>
                <w:color w:val="auto"/>
              </w:rPr>
            </w:pPr>
            <w:r>
              <w:rPr>
                <w:rFonts w:ascii="Arial" w:cs="Arial" w:eastAsia="Arial" w:hAnsi="Arial"/>
                <w:sz w:val="14"/>
                <w:szCs w:val="14"/>
                <w:color w:val="auto"/>
                <w:w w:val="89"/>
              </w:rPr>
              <w:t>Purchased</w:t>
            </w:r>
          </w:p>
        </w:tc>
        <w:tc>
          <w:tcPr>
            <w:tcW w:w="240" w:type="dxa"/>
            <w:vAlign w:val="bottom"/>
          </w:tcPr>
          <w:p>
            <w:pPr>
              <w:spacing w:after="0"/>
              <w:rPr>
                <w:sz w:val="12"/>
                <w:szCs w:val="12"/>
                <w:color w:val="auto"/>
              </w:rPr>
            </w:pPr>
          </w:p>
        </w:tc>
        <w:tc>
          <w:tcPr>
            <w:tcW w:w="1580" w:type="dxa"/>
            <w:vAlign w:val="bottom"/>
          </w:tcPr>
          <w:p>
            <w:pPr>
              <w:jc w:val="center"/>
              <w:ind w:right="120"/>
              <w:spacing w:after="0" w:line="149" w:lineRule="exact"/>
              <w:rPr>
                <w:sz w:val="20"/>
                <w:szCs w:val="20"/>
                <w:color w:val="auto"/>
              </w:rPr>
            </w:pPr>
            <w:r>
              <w:rPr>
                <w:rFonts w:ascii="Arial" w:cs="Arial" w:eastAsia="Arial" w:hAnsi="Arial"/>
                <w:sz w:val="14"/>
                <w:szCs w:val="14"/>
                <w:color w:val="auto"/>
                <w:w w:val="96"/>
              </w:rPr>
              <w:t>May Yet Be</w:t>
            </w:r>
          </w:p>
        </w:tc>
      </w:tr>
      <w:tr>
        <w:trPr>
          <w:trHeight w:val="149"/>
        </w:trPr>
        <w:tc>
          <w:tcPr>
            <w:tcW w:w="2160" w:type="dxa"/>
            <w:vAlign w:val="bottom"/>
          </w:tcPr>
          <w:p>
            <w:pPr>
              <w:spacing w:after="0"/>
              <w:rPr>
                <w:sz w:val="12"/>
                <w:szCs w:val="12"/>
                <w:color w:val="auto"/>
              </w:rPr>
            </w:pPr>
          </w:p>
        </w:tc>
        <w:tc>
          <w:tcPr>
            <w:tcW w:w="1800" w:type="dxa"/>
            <w:vAlign w:val="bottom"/>
          </w:tcPr>
          <w:p>
            <w:pPr>
              <w:jc w:val="center"/>
              <w:ind w:left="19"/>
              <w:spacing w:after="0" w:line="149" w:lineRule="exact"/>
              <w:rPr>
                <w:sz w:val="20"/>
                <w:szCs w:val="20"/>
                <w:color w:val="auto"/>
              </w:rPr>
            </w:pPr>
            <w:r>
              <w:rPr>
                <w:rFonts w:ascii="Arial" w:cs="Arial" w:eastAsia="Arial" w:hAnsi="Arial"/>
                <w:sz w:val="14"/>
                <w:szCs w:val="14"/>
                <w:color w:val="auto"/>
                <w:w w:val="94"/>
              </w:rPr>
              <w:t>Number of</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center"/>
              <w:ind w:right="239"/>
              <w:spacing w:after="0" w:line="149" w:lineRule="exact"/>
              <w:rPr>
                <w:sz w:val="20"/>
                <w:szCs w:val="20"/>
                <w:color w:val="auto"/>
              </w:rPr>
            </w:pPr>
            <w:r>
              <w:rPr>
                <w:rFonts w:ascii="Arial" w:cs="Arial" w:eastAsia="Arial" w:hAnsi="Arial"/>
                <w:sz w:val="14"/>
                <w:szCs w:val="14"/>
                <w:color w:val="auto"/>
                <w:w w:val="93"/>
              </w:rPr>
              <w:t>Price</w:t>
            </w: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86"/>
              </w:rPr>
              <w:t>Shares Purchased</w:t>
            </w:r>
          </w:p>
        </w:tc>
        <w:tc>
          <w:tcPr>
            <w:tcW w:w="260" w:type="dxa"/>
            <w:vAlign w:val="bottom"/>
          </w:tcPr>
          <w:p>
            <w:pPr>
              <w:spacing w:after="0"/>
              <w:rPr>
                <w:sz w:val="12"/>
                <w:szCs w:val="12"/>
                <w:color w:val="auto"/>
              </w:rPr>
            </w:pPr>
          </w:p>
        </w:tc>
        <w:tc>
          <w:tcPr>
            <w:tcW w:w="1400" w:type="dxa"/>
            <w:vAlign w:val="bottom"/>
          </w:tcPr>
          <w:p>
            <w:pPr>
              <w:jc w:val="center"/>
              <w:ind w:right="81"/>
              <w:spacing w:after="0" w:line="149" w:lineRule="exact"/>
              <w:rPr>
                <w:sz w:val="20"/>
                <w:szCs w:val="20"/>
                <w:color w:val="auto"/>
              </w:rPr>
            </w:pPr>
            <w:r>
              <w:rPr>
                <w:rFonts w:ascii="Arial" w:cs="Arial" w:eastAsia="Arial" w:hAnsi="Arial"/>
                <w:sz w:val="14"/>
                <w:szCs w:val="14"/>
                <w:color w:val="auto"/>
                <w:w w:val="94"/>
              </w:rPr>
              <w:t>Under the Publcly</w:t>
            </w:r>
          </w:p>
        </w:tc>
        <w:tc>
          <w:tcPr>
            <w:tcW w:w="182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93"/>
              </w:rPr>
              <w:t>Purchased Under the Publicly</w:t>
            </w:r>
          </w:p>
        </w:tc>
      </w:tr>
      <w:tr>
        <w:trPr>
          <w:trHeight w:val="149"/>
        </w:trPr>
        <w:tc>
          <w:tcPr>
            <w:tcW w:w="2160" w:type="dxa"/>
            <w:vAlign w:val="bottom"/>
          </w:tcPr>
          <w:p>
            <w:pPr>
              <w:spacing w:after="0"/>
              <w:rPr>
                <w:sz w:val="12"/>
                <w:szCs w:val="12"/>
                <w:color w:val="auto"/>
              </w:rPr>
            </w:pPr>
          </w:p>
        </w:tc>
        <w:tc>
          <w:tcPr>
            <w:tcW w:w="1800" w:type="dxa"/>
            <w:vAlign w:val="bottom"/>
          </w:tcPr>
          <w:p>
            <w:pPr>
              <w:jc w:val="center"/>
              <w:ind w:left="19"/>
              <w:spacing w:after="0" w:line="149" w:lineRule="exact"/>
              <w:rPr>
                <w:sz w:val="20"/>
                <w:szCs w:val="20"/>
                <w:color w:val="auto"/>
              </w:rPr>
            </w:pPr>
            <w:r>
              <w:rPr>
                <w:rFonts w:ascii="Arial" w:cs="Arial" w:eastAsia="Arial" w:hAnsi="Arial"/>
                <w:sz w:val="14"/>
                <w:szCs w:val="14"/>
                <w:color w:val="auto"/>
                <w:w w:val="85"/>
              </w:rPr>
              <w:t>Shares</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center"/>
              <w:ind w:right="259"/>
              <w:spacing w:after="0" w:line="149" w:lineRule="exact"/>
              <w:rPr>
                <w:sz w:val="20"/>
                <w:szCs w:val="20"/>
                <w:color w:val="auto"/>
              </w:rPr>
            </w:pPr>
            <w:r>
              <w:rPr>
                <w:rFonts w:ascii="Arial" w:cs="Arial" w:eastAsia="Arial" w:hAnsi="Arial"/>
                <w:sz w:val="14"/>
                <w:szCs w:val="14"/>
                <w:color w:val="auto"/>
                <w:w w:val="91"/>
              </w:rPr>
              <w:t>Per</w:t>
            </w: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94"/>
              </w:rPr>
              <w:t>as Part of Publicly</w:t>
            </w:r>
          </w:p>
        </w:tc>
        <w:tc>
          <w:tcPr>
            <w:tcW w:w="260" w:type="dxa"/>
            <w:vAlign w:val="bottom"/>
          </w:tcPr>
          <w:p>
            <w:pPr>
              <w:spacing w:after="0"/>
              <w:rPr>
                <w:sz w:val="12"/>
                <w:szCs w:val="12"/>
                <w:color w:val="auto"/>
              </w:rPr>
            </w:pPr>
          </w:p>
        </w:tc>
        <w:tc>
          <w:tcPr>
            <w:tcW w:w="1400" w:type="dxa"/>
            <w:vAlign w:val="bottom"/>
          </w:tcPr>
          <w:p>
            <w:pPr>
              <w:jc w:val="center"/>
              <w:ind w:right="101"/>
              <w:spacing w:after="0" w:line="149" w:lineRule="exact"/>
              <w:rPr>
                <w:sz w:val="20"/>
                <w:szCs w:val="20"/>
                <w:color w:val="auto"/>
              </w:rPr>
            </w:pPr>
            <w:r>
              <w:rPr>
                <w:rFonts w:ascii="Arial" w:cs="Arial" w:eastAsia="Arial" w:hAnsi="Arial"/>
                <w:sz w:val="14"/>
                <w:szCs w:val="14"/>
                <w:color w:val="auto"/>
                <w:w w:val="93"/>
              </w:rPr>
              <w:t>Announced</w:t>
            </w:r>
          </w:p>
        </w:tc>
        <w:tc>
          <w:tcPr>
            <w:tcW w:w="240" w:type="dxa"/>
            <w:vAlign w:val="bottom"/>
          </w:tcPr>
          <w:p>
            <w:pPr>
              <w:spacing w:after="0"/>
              <w:rPr>
                <w:sz w:val="12"/>
                <w:szCs w:val="12"/>
                <w:color w:val="auto"/>
              </w:rPr>
            </w:pPr>
          </w:p>
        </w:tc>
        <w:tc>
          <w:tcPr>
            <w:tcW w:w="1580" w:type="dxa"/>
            <w:vAlign w:val="bottom"/>
          </w:tcPr>
          <w:p>
            <w:pPr>
              <w:jc w:val="center"/>
              <w:ind w:right="120"/>
              <w:spacing w:after="0" w:line="149" w:lineRule="exact"/>
              <w:rPr>
                <w:sz w:val="20"/>
                <w:szCs w:val="20"/>
                <w:color w:val="auto"/>
              </w:rPr>
            </w:pPr>
            <w:r>
              <w:rPr>
                <w:rFonts w:ascii="Arial" w:cs="Arial" w:eastAsia="Arial" w:hAnsi="Arial"/>
                <w:sz w:val="14"/>
                <w:szCs w:val="14"/>
                <w:color w:val="auto"/>
                <w:w w:val="93"/>
              </w:rPr>
              <w:t>Announced</w:t>
            </w:r>
          </w:p>
        </w:tc>
      </w:tr>
      <w:tr>
        <w:trPr>
          <w:trHeight w:val="188"/>
        </w:trPr>
        <w:tc>
          <w:tcPr>
            <w:tcW w:w="2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Period</w:t>
            </w:r>
          </w:p>
        </w:tc>
        <w:tc>
          <w:tcPr>
            <w:tcW w:w="1800" w:type="dxa"/>
            <w:vAlign w:val="bottom"/>
            <w:tcBorders>
              <w:bottom w:val="single" w:sz="8" w:color="auto"/>
            </w:tcBorders>
          </w:tcPr>
          <w:p>
            <w:pPr>
              <w:jc w:val="center"/>
              <w:ind w:left="19"/>
              <w:spacing w:after="0"/>
              <w:rPr>
                <w:sz w:val="20"/>
                <w:szCs w:val="20"/>
                <w:color w:val="auto"/>
              </w:rPr>
            </w:pPr>
            <w:r>
              <w:rPr>
                <w:rFonts w:ascii="Arial" w:cs="Arial" w:eastAsia="Arial" w:hAnsi="Arial"/>
                <w:sz w:val="14"/>
                <w:szCs w:val="14"/>
                <w:color w:val="auto"/>
                <w:w w:val="86"/>
              </w:rPr>
              <w:t>Purchased</w:t>
            </w:r>
          </w:p>
        </w:tc>
        <w:tc>
          <w:tcPr>
            <w:tcW w:w="2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59"/>
              <w:spacing w:after="0"/>
              <w:rPr>
                <w:sz w:val="20"/>
                <w:szCs w:val="20"/>
                <w:color w:val="auto"/>
              </w:rPr>
            </w:pPr>
            <w:r>
              <w:rPr>
                <w:rFonts w:ascii="Arial" w:cs="Arial" w:eastAsia="Arial" w:hAnsi="Arial"/>
                <w:sz w:val="14"/>
                <w:szCs w:val="14"/>
                <w:color w:val="auto"/>
                <w:w w:val="85"/>
              </w:rPr>
              <w:t>Share</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Announced Authorization</w:t>
            </w: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color w:val="auto"/>
                <w:w w:val="97"/>
              </w:rPr>
              <w:t>Authorization</w:t>
            </w: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color w:val="auto"/>
                <w:w w:val="98"/>
              </w:rPr>
              <w:t>Authorization</w:t>
            </w:r>
            <w:r>
              <w:rPr>
                <w:rFonts w:ascii="Arial" w:cs="Arial" w:eastAsia="Arial" w:hAnsi="Arial"/>
                <w:sz w:val="8"/>
                <w:szCs w:val="8"/>
                <w:color w:val="auto"/>
                <w:w w:val="98"/>
              </w:rPr>
              <w:t>(a)</w:t>
            </w:r>
          </w:p>
        </w:tc>
      </w:tr>
      <w:tr>
        <w:trPr>
          <w:trHeight w:val="243"/>
        </w:trPr>
        <w:tc>
          <w:tcPr>
            <w:tcW w:w="2160" w:type="dxa"/>
            <w:vAlign w:val="bottom"/>
          </w:tcPr>
          <w:p>
            <w:pPr>
              <w:ind w:left="40"/>
              <w:spacing w:after="0"/>
              <w:rPr>
                <w:sz w:val="20"/>
                <w:szCs w:val="20"/>
                <w:color w:val="auto"/>
              </w:rPr>
            </w:pPr>
            <w:r>
              <w:rPr>
                <w:rFonts w:ascii="Arial" w:cs="Arial" w:eastAsia="Arial" w:hAnsi="Arial"/>
                <w:sz w:val="18"/>
                <w:szCs w:val="18"/>
                <w:color w:val="auto"/>
              </w:rPr>
              <w:t>January 1-31, 2017</w:t>
            </w: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9"/>
              <w:spacing w:after="0"/>
              <w:rPr>
                <w:sz w:val="20"/>
                <w:szCs w:val="20"/>
                <w:color w:val="auto"/>
              </w:rPr>
            </w:pPr>
            <w:r>
              <w:rPr>
                <w:rFonts w:ascii="Arial" w:cs="Arial" w:eastAsia="Arial" w:hAnsi="Arial"/>
                <w:sz w:val="18"/>
                <w:szCs w:val="18"/>
                <w:color w:val="auto"/>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40"/>
              <w:spacing w:after="0"/>
              <w:rPr>
                <w:sz w:val="20"/>
                <w:szCs w:val="20"/>
                <w:color w:val="auto"/>
              </w:rPr>
            </w:pPr>
            <w:r>
              <w:rPr>
                <w:rFonts w:ascii="Arial" w:cs="Arial" w:eastAsia="Arial" w:hAnsi="Arial"/>
                <w:sz w:val="18"/>
                <w:szCs w:val="18"/>
                <w:color w:val="auto"/>
              </w:rPr>
              <w:t>12,000,000,000</w:t>
            </w:r>
          </w:p>
        </w:tc>
      </w:tr>
      <w:tr>
        <w:trPr>
          <w:trHeight w:val="270"/>
        </w:trPr>
        <w:tc>
          <w:tcPr>
            <w:tcW w:w="2160" w:type="dxa"/>
            <w:vAlign w:val="bottom"/>
          </w:tcPr>
          <w:p>
            <w:pPr>
              <w:ind w:left="40"/>
              <w:spacing w:after="0"/>
              <w:rPr>
                <w:sz w:val="20"/>
                <w:szCs w:val="20"/>
                <w:color w:val="auto"/>
              </w:rPr>
            </w:pPr>
            <w:r>
              <w:rPr>
                <w:rFonts w:ascii="Arial" w:cs="Arial" w:eastAsia="Arial" w:hAnsi="Arial"/>
                <w:sz w:val="18"/>
                <w:szCs w:val="18"/>
                <w:color w:val="auto"/>
              </w:rPr>
              <w:t>February 1-28, 2017</w:t>
            </w:r>
          </w:p>
        </w:tc>
        <w:tc>
          <w:tcPr>
            <w:tcW w:w="1800" w:type="dxa"/>
            <w:vAlign w:val="bottom"/>
          </w:tcPr>
          <w:p>
            <w:pPr>
              <w:jc w:val="right"/>
              <w:spacing w:after="0"/>
              <w:rPr>
                <w:sz w:val="20"/>
                <w:szCs w:val="20"/>
                <w:color w:val="auto"/>
              </w:rPr>
            </w:pPr>
            <w:r>
              <w:rPr>
                <w:rFonts w:ascii="Arial" w:cs="Arial" w:eastAsia="Arial" w:hAnsi="Arial"/>
                <w:sz w:val="18"/>
                <w:szCs w:val="18"/>
                <w:color w:val="auto"/>
              </w:rPr>
              <w:t>13,837,918</w:t>
            </w:r>
          </w:p>
        </w:tc>
        <w:tc>
          <w:tcPr>
            <w:tcW w:w="280" w:type="dxa"/>
            <w:vAlign w:val="bottom"/>
          </w:tcPr>
          <w:p>
            <w:pPr>
              <w:ind w:left="60"/>
              <w:spacing w:after="0"/>
              <w:rPr>
                <w:sz w:val="20"/>
                <w:szCs w:val="20"/>
                <w:color w:val="auto"/>
              </w:rPr>
            </w:pPr>
            <w:r>
              <w:rPr>
                <w:rFonts w:ascii="Arial" w:cs="Arial" w:eastAsia="Arial" w:hAnsi="Arial"/>
                <w:sz w:val="9"/>
                <w:szCs w:val="9"/>
                <w:color w:val="auto"/>
              </w:rPr>
              <w:t>(b)</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9"/>
              <w:spacing w:after="0"/>
              <w:rPr>
                <w:sz w:val="20"/>
                <w:szCs w:val="20"/>
                <w:color w:val="auto"/>
              </w:rPr>
            </w:pPr>
            <w:r>
              <w:rPr>
                <w:rFonts w:ascii="Arial" w:cs="Arial" w:eastAsia="Arial" w:hAnsi="Arial"/>
                <w:sz w:val="18"/>
                <w:szCs w:val="18"/>
                <w:color w:val="auto"/>
              </w:rPr>
              <w:t>36.48</w:t>
            </w:r>
          </w:p>
        </w:tc>
        <w:tc>
          <w:tcPr>
            <w:tcW w:w="1960" w:type="dxa"/>
            <w:vAlign w:val="bottom"/>
          </w:tcPr>
          <w:p>
            <w:pPr>
              <w:jc w:val="right"/>
              <w:spacing w:after="0"/>
              <w:rPr>
                <w:sz w:val="20"/>
                <w:szCs w:val="20"/>
                <w:color w:val="auto"/>
              </w:rPr>
            </w:pPr>
            <w:r>
              <w:rPr>
                <w:rFonts w:ascii="Arial" w:cs="Arial" w:eastAsia="Arial" w:hAnsi="Arial"/>
                <w:sz w:val="18"/>
                <w:szCs w:val="18"/>
                <w:color w:val="auto"/>
              </w:rPr>
              <w:t>13,711,242</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500,000,000</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40"/>
              <w:spacing w:after="0"/>
              <w:rPr>
                <w:sz w:val="20"/>
                <w:szCs w:val="20"/>
                <w:color w:val="auto"/>
              </w:rPr>
            </w:pPr>
            <w:r>
              <w:rPr>
                <w:rFonts w:ascii="Arial" w:cs="Arial" w:eastAsia="Arial" w:hAnsi="Arial"/>
                <w:sz w:val="18"/>
                <w:szCs w:val="18"/>
                <w:color w:val="auto"/>
              </w:rPr>
              <w:t>11,500,000,000</w:t>
            </w:r>
          </w:p>
        </w:tc>
      </w:tr>
      <w:tr>
        <w:trPr>
          <w:trHeight w:val="270"/>
        </w:trPr>
        <w:tc>
          <w:tcPr>
            <w:tcW w:w="2160" w:type="dxa"/>
            <w:vAlign w:val="bottom"/>
          </w:tcPr>
          <w:p>
            <w:pPr>
              <w:ind w:left="40"/>
              <w:spacing w:after="0"/>
              <w:rPr>
                <w:sz w:val="20"/>
                <w:szCs w:val="20"/>
                <w:color w:val="auto"/>
              </w:rPr>
            </w:pPr>
            <w:r>
              <w:rPr>
                <w:rFonts w:ascii="Arial" w:cs="Arial" w:eastAsia="Arial" w:hAnsi="Arial"/>
                <w:sz w:val="18"/>
                <w:szCs w:val="18"/>
                <w:color w:val="auto"/>
              </w:rPr>
              <w:t>March 1-31, 2017</w:t>
            </w:r>
          </w:p>
        </w:tc>
        <w:tc>
          <w:tcPr>
            <w:tcW w:w="1800" w:type="dxa"/>
            <w:vAlign w:val="bottom"/>
          </w:tcPr>
          <w:p>
            <w:pPr>
              <w:jc w:val="right"/>
              <w:spacing w:after="0"/>
              <w:rPr>
                <w:sz w:val="20"/>
                <w:szCs w:val="20"/>
                <w:color w:val="auto"/>
              </w:rPr>
            </w:pPr>
            <w:r>
              <w:rPr>
                <w:rFonts w:ascii="Arial" w:cs="Arial" w:eastAsia="Arial" w:hAnsi="Arial"/>
                <w:sz w:val="18"/>
                <w:szCs w:val="18"/>
                <w:color w:val="auto"/>
              </w:rPr>
              <w:t>6,694,676</w:t>
            </w:r>
          </w:p>
        </w:tc>
        <w:tc>
          <w:tcPr>
            <w:tcW w:w="280" w:type="dxa"/>
            <w:vAlign w:val="bottom"/>
          </w:tcPr>
          <w:p>
            <w:pPr>
              <w:spacing w:after="0"/>
              <w:rPr>
                <w:sz w:val="23"/>
                <w:szCs w:val="23"/>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9"/>
              <w:spacing w:after="0"/>
              <w:rPr>
                <w:sz w:val="20"/>
                <w:szCs w:val="20"/>
                <w:color w:val="auto"/>
              </w:rPr>
            </w:pPr>
            <w:r>
              <w:rPr>
                <w:rFonts w:ascii="Arial" w:cs="Arial" w:eastAsia="Arial" w:hAnsi="Arial"/>
                <w:sz w:val="18"/>
                <w:szCs w:val="18"/>
                <w:color w:val="auto"/>
              </w:rPr>
              <w:t>37.34</w:t>
            </w:r>
          </w:p>
        </w:tc>
        <w:tc>
          <w:tcPr>
            <w:tcW w:w="1960" w:type="dxa"/>
            <w:vAlign w:val="bottom"/>
          </w:tcPr>
          <w:p>
            <w:pPr>
              <w:jc w:val="right"/>
              <w:spacing w:after="0"/>
              <w:rPr>
                <w:sz w:val="20"/>
                <w:szCs w:val="20"/>
                <w:color w:val="auto"/>
              </w:rPr>
            </w:pPr>
            <w:r>
              <w:rPr>
                <w:rFonts w:ascii="Arial" w:cs="Arial" w:eastAsia="Arial" w:hAnsi="Arial"/>
                <w:sz w:val="18"/>
                <w:szCs w:val="18"/>
                <w:color w:val="auto"/>
              </w:rPr>
              <w:t>6,694,676</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249,999,994</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40"/>
              <w:spacing w:after="0"/>
              <w:rPr>
                <w:sz w:val="20"/>
                <w:szCs w:val="20"/>
                <w:color w:val="auto"/>
              </w:rPr>
            </w:pPr>
            <w:r>
              <w:rPr>
                <w:rFonts w:ascii="Arial" w:cs="Arial" w:eastAsia="Arial" w:hAnsi="Arial"/>
                <w:sz w:val="18"/>
                <w:szCs w:val="18"/>
                <w:color w:val="auto"/>
              </w:rPr>
              <w:t>11,250,000,006</w:t>
            </w:r>
          </w:p>
        </w:tc>
      </w:tr>
      <w:tr>
        <w:trPr>
          <w:trHeight w:val="27"/>
        </w:trPr>
        <w:tc>
          <w:tcPr>
            <w:tcW w:w="21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216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20,532,594</w:t>
            </w:r>
          </w:p>
        </w:tc>
        <w:tc>
          <w:tcPr>
            <w:tcW w:w="280" w:type="dxa"/>
            <w:vAlign w:val="bottom"/>
          </w:tcPr>
          <w:p>
            <w:pPr>
              <w:spacing w:after="0"/>
              <w:rPr>
                <w:sz w:val="20"/>
                <w:szCs w:val="20"/>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19"/>
              <w:spacing w:after="0"/>
              <w:rPr>
                <w:sz w:val="20"/>
                <w:szCs w:val="20"/>
                <w:color w:val="auto"/>
              </w:rPr>
            </w:pPr>
            <w:r>
              <w:rPr>
                <w:rFonts w:ascii="Arial" w:cs="Arial" w:eastAsia="Arial" w:hAnsi="Arial"/>
                <w:sz w:val="18"/>
                <w:szCs w:val="18"/>
                <w:b w:val="1"/>
                <w:bCs w:val="1"/>
                <w:color w:val="auto"/>
              </w:rPr>
              <w:t>36.76</w:t>
            </w: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20,405,918</w:t>
            </w:r>
          </w:p>
        </w:tc>
        <w:tc>
          <w:tcPr>
            <w:tcW w:w="2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749,999,994</w:t>
            </w:r>
          </w:p>
        </w:tc>
        <w:tc>
          <w:tcPr>
            <w:tcW w:w="240" w:type="dxa"/>
            <w:vAlign w:val="bottom"/>
          </w:tcPr>
          <w:p>
            <w:pPr>
              <w:ind w:left="80"/>
              <w:spacing w:after="0"/>
              <w:rPr>
                <w:sz w:val="20"/>
                <w:szCs w:val="20"/>
                <w:color w:val="auto"/>
              </w:rPr>
            </w:pPr>
            <w:r>
              <w:rPr>
                <w:rFonts w:ascii="Arial" w:cs="Arial" w:eastAsia="Arial" w:hAnsi="Arial"/>
                <w:sz w:val="18"/>
                <w:szCs w:val="18"/>
                <w:b w:val="1"/>
                <w:bCs w:val="1"/>
                <w:color w:val="auto"/>
              </w:rPr>
              <w:t>$</w:t>
            </w:r>
          </w:p>
        </w:tc>
        <w:tc>
          <w:tcPr>
            <w:tcW w:w="1580" w:type="dxa"/>
            <w:vAlign w:val="bottom"/>
          </w:tcPr>
          <w:p>
            <w:pPr>
              <w:jc w:val="right"/>
              <w:ind w:right="40"/>
              <w:spacing w:after="0"/>
              <w:rPr>
                <w:sz w:val="20"/>
                <w:szCs w:val="20"/>
                <w:color w:val="auto"/>
              </w:rPr>
            </w:pPr>
            <w:r>
              <w:rPr>
                <w:rFonts w:ascii="Arial" w:cs="Arial" w:eastAsia="Arial" w:hAnsi="Arial"/>
                <w:sz w:val="18"/>
                <w:szCs w:val="18"/>
                <w:b w:val="1"/>
                <w:bCs w:val="1"/>
                <w:color w:val="auto"/>
              </w:rPr>
              <w:t>11,250,000,006</w:t>
            </w:r>
          </w:p>
        </w:tc>
      </w:tr>
      <w:tr>
        <w:trPr>
          <w:trHeight w:val="34"/>
        </w:trPr>
        <w:tc>
          <w:tcPr>
            <w:tcW w:w="21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bl>
    <w:p>
      <w:pPr>
        <w:spacing w:after="0" w:line="143" w:lineRule="exact"/>
        <w:rPr>
          <w:sz w:val="20"/>
          <w:szCs w:val="20"/>
          <w:color w:val="auto"/>
        </w:rPr>
      </w:pPr>
    </w:p>
    <w:p>
      <w:pPr>
        <w:jc w:val="both"/>
        <w:ind w:left="340" w:hanging="332"/>
        <w:spacing w:after="0" w:line="257" w:lineRule="auto"/>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Effective January 1, 2017, our Board of Directors increased our share repurchase program authorization to $12 billion, which does not have an expiration date. Under this authorization, we may repurchase shares in the open market or in private transactions. We expect to make $4.25 billion more in repurchases under this authorization during the remainder of 2017, subject to market conditions.</w:t>
      </w:r>
    </w:p>
    <w:p>
      <w:pPr>
        <w:spacing w:after="0" w:line="131" w:lineRule="exact"/>
        <w:rPr>
          <w:rFonts w:ascii="Arial" w:cs="Arial" w:eastAsia="Arial" w:hAnsi="Arial"/>
          <w:sz w:val="14"/>
          <w:szCs w:val="14"/>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126,676 shares received in the administration of employee share-based compensation plans.</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5: OTHER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w:t>
      </w:r>
    </w:p>
    <w:p>
      <w:pPr>
        <w:spacing w:after="0" w:line="18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April 25, 2017, Comcast entered into a new employment agreement with Neil Smit in connection with Mr. Smit retiring as President and Chief Executive Officer of Comcast Cable and assuming a new role as a non-executive Vice Chairman of Comcast, effective April 1, 2017. The agreement provides for Mr. Smit to work part-time on an exclusive basis for Comcast through December 31, 2021. The agreement maintains Mr. Smit’s current base salary of $1,930,838 through December 31, 2017 and provides for a target bonus opportunity of 300% of his base salary for 2017. After 2017, Mr. Smit’s total cash compensation will be $3,861,676 for 2018 and 2019 and $250,000 for 2020 and 2021. Mr. Smit will not receive any equity awards after December 31, 2017, at which time all of his unvested restricted stock unit and stock option awards will become fully vested.</w:t>
      </w:r>
    </w:p>
    <w:p>
      <w:pPr>
        <w:spacing w:after="0" w:line="124" w:lineRule="exact"/>
        <w:rPr>
          <w:sz w:val="20"/>
          <w:szCs w:val="20"/>
          <w:color w:val="auto"/>
        </w:rPr>
      </w:pPr>
    </w:p>
    <w:p>
      <w:pPr>
        <w:ind w:right="460"/>
        <w:spacing w:after="0" w:line="438" w:lineRule="auto"/>
        <w:rPr>
          <w:sz w:val="20"/>
          <w:szCs w:val="20"/>
          <w:color w:val="auto"/>
        </w:rPr>
      </w:pPr>
      <w:r>
        <w:rPr>
          <w:rFonts w:ascii="Arial" w:cs="Arial" w:eastAsia="Arial" w:hAnsi="Arial"/>
          <w:sz w:val="18"/>
          <w:szCs w:val="18"/>
          <w:color w:val="auto"/>
        </w:rPr>
        <w:t xml:space="preserve">The above summary is qualified in its entirety by the terms and conditions set forth in the agreement, a copy of which is attached hereto as Exhibit 10.1. </w:t>
      </w:r>
      <w:r>
        <w:rPr>
          <w:rFonts w:ascii="Arial" w:cs="Arial" w:eastAsia="Arial" w:hAnsi="Arial"/>
          <w:sz w:val="18"/>
          <w:szCs w:val="18"/>
          <w:b w:val="1"/>
          <w:bCs w:val="1"/>
          <w:color w:val="auto"/>
        </w:rPr>
        <w:t>Iran Threat Reduction and Syria Human Rights Act Disclosure</w:t>
      </w:r>
    </w:p>
    <w:p>
      <w:pPr>
        <w:spacing w:after="0" w:line="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Pursuant to Section 219 of the Iran Threat Reduction and Syria Human Rights Act of 2012, companies are required, among other things, to disclose certain activities, transactions or dealings with the Government of Iran or entities controlled directly or indirectly by the Government of Iran. Disclosure is generally required even where the activities, transactions or dealings are conducted in compliance with applicable laws and regulations and are de minimis. As of the date of this report, we are not aware of any activity, transaction or dealing during the three months ended March 31, 2017 that requires disclosure under the Act, except with respect to a January 2016 licensing agreement by a non-U.S. subsidiary of DreamWorks Animation prior to our August 2016 DreamWorks Animation acquisition. The agreement licensed a prior season of a children’s animated television series for a three-year, non-cancelable term and for a one-time fee of $5,200 to a broadcasting company that is owned and controlled by the Government of Iran. The broadcasting company paid the license fee in the first quarter of 2016. We believe that DreamWorks Animation conducted its licensing activity in compliance with applicable laws and that the license is for the permissible exportation of informational materials pursuant to certain statutory and regulatory exemptions from U.S. sanctions.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75"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w:t>
      </w:r>
    </w:p>
    <w:p>
      <w:pPr>
        <w:spacing w:after="0" w:line="28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Exhibit</w:t>
      </w:r>
    </w:p>
    <w:p>
      <w:pPr>
        <w:ind w:left="280"/>
        <w:spacing w:after="0"/>
        <w:tabs>
          <w:tab w:leader="none" w:pos="90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69037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2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Employment Agreement between Comcast Corporation and Neil Smit, dated as of April 25, 2017.</w:t>
      </w:r>
    </w:p>
    <w:p>
      <w:pPr>
        <w:spacing w:after="0" w:line="63" w:lineRule="exact"/>
        <w:rPr>
          <w:sz w:val="20"/>
          <w:szCs w:val="20"/>
          <w:color w:val="auto"/>
        </w:rPr>
      </w:pPr>
    </w:p>
    <w:p>
      <w:pPr>
        <w:ind w:left="920" w:hanging="742"/>
        <w:spacing w:after="0" w:line="277" w:lineRule="auto"/>
        <w:tabs>
          <w:tab w:leader="none" w:pos="9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Form of Restricted Stock Unit Award and Long-Term Incentive Awards Summary Schedule under the Comcast Corporation 2002 Restricted Stock Plan.</w:t>
      </w:r>
    </w:p>
    <w:p>
      <w:pPr>
        <w:spacing w:after="0" w:line="8"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and Chief Financial Officer pursuant to Section 302 of the Sarbanes-Oxley Act of 2002.</w:t>
      </w:r>
    </w:p>
    <w:p>
      <w:pPr>
        <w:spacing w:after="0" w:line="63"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and Chief Financial Officer pursuant to Section 906 of the Sarbanes-Oxley Act of 2002.</w:t>
      </w:r>
    </w:p>
    <w:p>
      <w:pPr>
        <w:spacing w:after="0" w:line="63" w:lineRule="exact"/>
        <w:rPr>
          <w:sz w:val="20"/>
          <w:szCs w:val="20"/>
          <w:color w:val="auto"/>
        </w:rPr>
      </w:pPr>
    </w:p>
    <w:p>
      <w:pPr>
        <w:jc w:val="both"/>
        <w:ind w:left="920" w:right="20" w:hanging="750"/>
        <w:spacing w:after="0" w:line="276" w:lineRule="auto"/>
        <w:tabs>
          <w:tab w:leader="none" w:pos="9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following financial statements from Comcast Corporation’s Quarterly Report on Form 10-Q for the three months ended March 31, 2017, filed with the Securities and Exchange Commission on April 27, 2017, formatted in XBRL (eXtensible Business Reporting Language): (i) the Condensed Consolidated Balance Sheet; (ii) the Condensed Consolidated Statement of Income; (iii) the Condensed Consolidated Statement of Comprehensive Income; (iv) the Condensed Consolidated Statement of Cash Flows; (v) the Condensed Consolidated Statement of Changes in Equity; and (vi) the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69037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15" w:lineRule="exact"/>
        <w:rPr>
          <w:sz w:val="20"/>
          <w:szCs w:val="20"/>
          <w:color w:val="auto"/>
        </w:rPr>
      </w:pPr>
    </w:p>
    <w:p>
      <w:pPr>
        <w:ind w:left="300" w:hanging="130"/>
        <w:spacing w:after="0"/>
        <w:tabs>
          <w:tab w:leader="none" w:pos="300" w:val="left"/>
        </w:tabs>
        <w:numPr>
          <w:ilvl w:val="0"/>
          <w:numId w:val="10"/>
        </w:numPr>
        <w:rPr>
          <w:rFonts w:ascii="Arial" w:cs="Arial" w:eastAsia="Arial" w:hAnsi="Arial"/>
          <w:sz w:val="18"/>
          <w:szCs w:val="18"/>
          <w:color w:val="auto"/>
        </w:rPr>
      </w:pPr>
      <w:r>
        <w:rPr>
          <w:rFonts w:ascii="Arial" w:cs="Arial" w:eastAsia="Arial" w:hAnsi="Arial"/>
          <w:sz w:val="14"/>
          <w:szCs w:val="14"/>
          <w:color w:val="auto"/>
        </w:rPr>
        <w:t>Constitutes a management contract or compensatory plan or arrangement.</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w:t>
      </w:r>
    </w:p>
    <w:p>
      <w:pPr>
        <w:spacing w:after="0" w:line="20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Exhibit</w:t>
      </w:r>
    </w:p>
    <w:p>
      <w:pPr>
        <w:ind w:left="280"/>
        <w:spacing w:after="0"/>
        <w:tabs>
          <w:tab w:leader="none" w:pos="90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69037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2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Principal Executive Officer and Principal Financial Officer pursuant to Section 302 of the Sarbanes-Oxley Act of 2002.</w:t>
      </w:r>
    </w:p>
    <w:p>
      <w:pPr>
        <w:spacing w:after="0" w:line="63"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Principal Executive Officer and Principal Financial Officer pursuant to Section 906 of the Sarbanes-Oxley Act of 2002.</w:t>
      </w:r>
    </w:p>
    <w:p>
      <w:pPr>
        <w:spacing w:after="0" w:line="63" w:lineRule="exact"/>
        <w:rPr>
          <w:sz w:val="20"/>
          <w:szCs w:val="20"/>
          <w:color w:val="auto"/>
        </w:rPr>
      </w:pPr>
    </w:p>
    <w:p>
      <w:pPr>
        <w:jc w:val="both"/>
        <w:ind w:left="920" w:right="20" w:hanging="750"/>
        <w:spacing w:after="0" w:line="276" w:lineRule="auto"/>
        <w:tabs>
          <w:tab w:leader="none" w:pos="9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following financial statements from NBCUniversal Media, LLC’s Quarterly Report on Form 10-Q for the three months ended March 31, 2017, filed with the Securities and Exchange Commission on April 27, 2017, formatted in XBRL (eXtensible Business Reporting Language): (i) the Condensed Consolidated Balance Sheet; (ii) the Condensed Consolidated Statement of Income; (iii) the Condensed Consolidated Statement of Comprehensive Income; (iv) the Condensed Consolidated Statement of Cash Flows; (v) the Condensed Consolidated Statement of Changes in Equity; and (vi) the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69037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27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860"/>
          </w:cols>
          <w:pgMar w:left="240" w:top="175" w:right="7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Comcast</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79"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COMCAST CORPORATION</w:t>
      </w:r>
    </w:p>
    <w:p>
      <w:pPr>
        <w:spacing w:after="0" w:line="185" w:lineRule="exact"/>
        <w:rPr>
          <w:sz w:val="20"/>
          <w:szCs w:val="20"/>
          <w:color w:val="auto"/>
        </w:rPr>
      </w:pPr>
    </w:p>
    <w:p>
      <w:pPr>
        <w:ind w:left="5900"/>
        <w:spacing w:after="0"/>
        <w:tabs>
          <w:tab w:leader="none" w:pos="6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DANIEL C. MURDOCK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31750</wp:posOffset>
            </wp:positionV>
            <wp:extent cx="316420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57"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Daniel C. Murdock</w:t>
      </w:r>
    </w:p>
    <w:p>
      <w:pPr>
        <w:spacing w:after="0" w:line="2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Senior Vice President, Chief Accounting Officer and Controller</w:t>
      </w:r>
    </w:p>
    <w:p>
      <w:pPr>
        <w:spacing w:after="0" w:line="9"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(Principal Accounting Officer)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 April 27, 2017</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79"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NBCUNIVERSAL MEDIA, LLC</w:t>
      </w:r>
    </w:p>
    <w:p>
      <w:pPr>
        <w:spacing w:after="0" w:line="185" w:lineRule="exact"/>
        <w:rPr>
          <w:sz w:val="20"/>
          <w:szCs w:val="20"/>
          <w:color w:val="auto"/>
        </w:rPr>
      </w:pPr>
    </w:p>
    <w:p>
      <w:pPr>
        <w:ind w:left="5900"/>
        <w:spacing w:after="0"/>
        <w:tabs>
          <w:tab w:leader="none" w:pos="6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DANIEL C. MURDOCK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31750</wp:posOffset>
            </wp:positionV>
            <wp:extent cx="31642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57"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Daniel C. Murdock</w:t>
      </w:r>
    </w:p>
    <w:p>
      <w:pPr>
        <w:spacing w:after="0" w:line="2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(Principal Accounting Officer)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 April 27,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75"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NBCUniversal Media, LLC Financial Statements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7600" w:type="dxa"/>
            <w:vAlign w:val="bottom"/>
            <w:gridSpan w:val="7"/>
          </w:tcPr>
          <w:p>
            <w:pPr>
              <w:spacing w:after="0"/>
              <w:rPr>
                <w:sz w:val="20"/>
                <w:szCs w:val="20"/>
                <w:color w:val="auto"/>
              </w:rPr>
            </w:pPr>
            <w:r>
              <w:rPr>
                <w:rFonts w:ascii="Arial" w:cs="Arial" w:eastAsia="Arial" w:hAnsi="Arial"/>
                <w:sz w:val="18"/>
                <w:szCs w:val="18"/>
                <w:color w:val="auto"/>
              </w:rPr>
              <w:t>Index</w:t>
            </w:r>
          </w:p>
        </w:tc>
        <w:tc>
          <w:tcPr>
            <w:tcW w:w="3780" w:type="dxa"/>
            <w:vAlign w:val="bottom"/>
          </w:tcPr>
          <w:p>
            <w:pPr>
              <w:jc w:val="center"/>
              <w:ind w:left="2670"/>
              <w:spacing w:after="0"/>
              <w:rPr>
                <w:sz w:val="20"/>
                <w:szCs w:val="20"/>
                <w:color w:val="auto"/>
              </w:rPr>
            </w:pPr>
            <w:r>
              <w:rPr>
                <w:rFonts w:ascii="Arial" w:cs="Arial" w:eastAsia="Arial" w:hAnsi="Arial"/>
                <w:sz w:val="18"/>
                <w:szCs w:val="18"/>
                <w:color w:val="auto"/>
                <w:w w:val="80"/>
              </w:rPr>
              <w:t>Page</w:t>
            </w:r>
          </w:p>
        </w:tc>
      </w:tr>
      <w:tr>
        <w:trPr>
          <w:trHeight w:val="27"/>
        </w:trPr>
        <w:tc>
          <w:tcPr>
            <w:tcW w:w="4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196"/>
        </w:trPr>
        <w:tc>
          <w:tcPr>
            <w:tcW w:w="40" w:type="dxa"/>
            <w:vAlign w:val="bottom"/>
          </w:tcPr>
          <w:p>
            <w:pPr>
              <w:spacing w:after="0"/>
              <w:rPr>
                <w:sz w:val="17"/>
                <w:szCs w:val="17"/>
                <w:color w:val="auto"/>
              </w:rPr>
            </w:pPr>
          </w:p>
        </w:tc>
        <w:tc>
          <w:tcPr>
            <w:tcW w:w="2860" w:type="dxa"/>
            <w:vAlign w:val="bottom"/>
            <w:tcBorders>
              <w:bottom w:val="single" w:sz="8" w:color="0000EE"/>
            </w:tcBorders>
          </w:tcPr>
          <w:p>
            <w:pPr>
              <w:spacing w:after="0" w:line="196" w:lineRule="exact"/>
              <w:rPr>
                <w:rFonts w:ascii="Arial" w:cs="Arial" w:eastAsia="Arial" w:hAnsi="Arial"/>
                <w:sz w:val="18"/>
                <w:szCs w:val="18"/>
                <w:color w:val="0000EE"/>
                <w:w w:val="87"/>
              </w:rPr>
            </w:pPr>
            <w:hyperlink w:anchor="page42">
              <w:r>
                <w:rPr>
                  <w:rFonts w:ascii="Arial" w:cs="Arial" w:eastAsia="Arial" w:hAnsi="Arial"/>
                  <w:sz w:val="18"/>
                  <w:szCs w:val="18"/>
                  <w:color w:val="0000EE"/>
                  <w:w w:val="87"/>
                </w:rPr>
                <w:t>Condensed Consolidated Balance Sheet</w:t>
              </w:r>
            </w:hyperlink>
          </w:p>
        </w:tc>
        <w:tc>
          <w:tcPr>
            <w:tcW w:w="4740" w:type="dxa"/>
            <w:vAlign w:val="bottom"/>
            <w:gridSpan w:val="6"/>
          </w:tcPr>
          <w:p>
            <w:pPr>
              <w:spacing w:after="0"/>
              <w:rPr>
                <w:sz w:val="17"/>
                <w:szCs w:val="17"/>
                <w:color w:val="auto"/>
              </w:rPr>
            </w:pPr>
          </w:p>
        </w:tc>
        <w:tc>
          <w:tcPr>
            <w:tcW w:w="3780" w:type="dxa"/>
            <w:vAlign w:val="bottom"/>
          </w:tcPr>
          <w:p>
            <w:pPr>
              <w:jc w:val="center"/>
              <w:ind w:left="2670"/>
              <w:spacing w:after="0" w:line="196" w:lineRule="exact"/>
              <w:rPr>
                <w:rFonts w:ascii="Arial" w:cs="Arial" w:eastAsia="Arial" w:hAnsi="Arial"/>
                <w:sz w:val="18"/>
                <w:szCs w:val="18"/>
                <w:color w:val="auto"/>
                <w:w w:val="89"/>
              </w:rPr>
            </w:pPr>
            <w:hyperlink w:anchor="page42">
              <w:r>
                <w:rPr>
                  <w:rFonts w:ascii="Arial" w:cs="Arial" w:eastAsia="Arial" w:hAnsi="Arial"/>
                  <w:sz w:val="18"/>
                  <w:szCs w:val="18"/>
                  <w:color w:val="auto"/>
                  <w:w w:val="89"/>
                </w:rPr>
                <w:t>39</w:t>
              </w:r>
            </w:hyperlink>
          </w:p>
        </w:tc>
      </w:tr>
      <w:tr>
        <w:trPr>
          <w:trHeight w:val="250"/>
        </w:trPr>
        <w:tc>
          <w:tcPr>
            <w:tcW w:w="40" w:type="dxa"/>
            <w:vAlign w:val="bottom"/>
          </w:tcPr>
          <w:p>
            <w:pPr>
              <w:spacing w:after="0"/>
              <w:rPr>
                <w:sz w:val="21"/>
                <w:szCs w:val="21"/>
                <w:color w:val="auto"/>
              </w:rPr>
            </w:pPr>
          </w:p>
        </w:tc>
        <w:tc>
          <w:tcPr>
            <w:tcW w:w="334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43">
              <w:r>
                <w:rPr>
                  <w:rFonts w:ascii="Arial" w:cs="Arial" w:eastAsia="Arial" w:hAnsi="Arial"/>
                  <w:sz w:val="18"/>
                  <w:szCs w:val="18"/>
                  <w:color w:val="0000EE"/>
                  <w:w w:val="88"/>
                </w:rPr>
                <w:t>Condensed Consolidated Statement of Income</w:t>
              </w:r>
            </w:hyperlink>
          </w:p>
        </w:tc>
        <w:tc>
          <w:tcPr>
            <w:tcW w:w="4260" w:type="dxa"/>
            <w:vAlign w:val="bottom"/>
            <w:gridSpan w:val="5"/>
          </w:tcPr>
          <w:p>
            <w:pPr>
              <w:spacing w:after="0"/>
              <w:rPr>
                <w:sz w:val="21"/>
                <w:szCs w:val="21"/>
                <w:color w:val="auto"/>
              </w:rPr>
            </w:pPr>
          </w:p>
        </w:tc>
        <w:tc>
          <w:tcPr>
            <w:tcW w:w="3780" w:type="dxa"/>
            <w:vAlign w:val="bottom"/>
          </w:tcPr>
          <w:p>
            <w:pPr>
              <w:jc w:val="center"/>
              <w:ind w:left="2670"/>
              <w:spacing w:after="0"/>
              <w:rPr>
                <w:rFonts w:ascii="Arial" w:cs="Arial" w:eastAsia="Arial" w:hAnsi="Arial"/>
                <w:sz w:val="18"/>
                <w:szCs w:val="18"/>
                <w:color w:val="auto"/>
                <w:w w:val="89"/>
              </w:rPr>
            </w:pPr>
            <w:hyperlink w:anchor="page43">
              <w:r>
                <w:rPr>
                  <w:rFonts w:ascii="Arial" w:cs="Arial" w:eastAsia="Arial" w:hAnsi="Arial"/>
                  <w:sz w:val="18"/>
                  <w:szCs w:val="18"/>
                  <w:color w:val="auto"/>
                  <w:w w:val="89"/>
                </w:rPr>
                <w:t>40</w:t>
              </w:r>
            </w:hyperlink>
          </w:p>
        </w:tc>
      </w:tr>
      <w:tr>
        <w:trPr>
          <w:trHeight w:val="250"/>
        </w:trPr>
        <w:tc>
          <w:tcPr>
            <w:tcW w:w="40" w:type="dxa"/>
            <w:vAlign w:val="bottom"/>
          </w:tcPr>
          <w:p>
            <w:pPr>
              <w:spacing w:after="0"/>
              <w:rPr>
                <w:sz w:val="21"/>
                <w:szCs w:val="21"/>
                <w:color w:val="auto"/>
              </w:rPr>
            </w:pPr>
          </w:p>
        </w:tc>
        <w:tc>
          <w:tcPr>
            <w:tcW w:w="7600" w:type="dxa"/>
            <w:vAlign w:val="bottom"/>
            <w:gridSpan w:val="7"/>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Condensed Consolidated Statement of Comprehensive Income</w:t>
              </w:r>
            </w:hyperlink>
          </w:p>
        </w:tc>
        <w:tc>
          <w:tcPr>
            <w:tcW w:w="3780" w:type="dxa"/>
            <w:vAlign w:val="bottom"/>
          </w:tcPr>
          <w:p>
            <w:pPr>
              <w:jc w:val="center"/>
              <w:ind w:left="2670"/>
              <w:spacing w:after="0"/>
              <w:rPr>
                <w:rFonts w:ascii="Arial" w:cs="Arial" w:eastAsia="Arial" w:hAnsi="Arial"/>
                <w:sz w:val="18"/>
                <w:szCs w:val="18"/>
                <w:color w:val="auto"/>
                <w:w w:val="89"/>
              </w:rPr>
            </w:pPr>
            <w:hyperlink w:anchor="page44">
              <w:r>
                <w:rPr>
                  <w:rFonts w:ascii="Arial" w:cs="Arial" w:eastAsia="Arial" w:hAnsi="Arial"/>
                  <w:sz w:val="18"/>
                  <w:szCs w:val="18"/>
                  <w:color w:val="auto"/>
                  <w:w w:val="89"/>
                </w:rPr>
                <w:t>41</w:t>
              </w:r>
            </w:hyperlink>
          </w:p>
        </w:tc>
      </w:tr>
      <w:tr>
        <w:trPr>
          <w:trHeight w:val="250"/>
        </w:trPr>
        <w:tc>
          <w:tcPr>
            <w:tcW w:w="40" w:type="dxa"/>
            <w:vAlign w:val="bottom"/>
          </w:tcPr>
          <w:p>
            <w:pPr>
              <w:spacing w:after="0"/>
              <w:rPr>
                <w:sz w:val="21"/>
                <w:szCs w:val="21"/>
                <w:color w:val="auto"/>
              </w:rPr>
            </w:pPr>
          </w:p>
        </w:tc>
        <w:tc>
          <w:tcPr>
            <w:tcW w:w="36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8"/>
              </w:rPr>
            </w:pPr>
            <w:hyperlink w:anchor="page45">
              <w:r>
                <w:rPr>
                  <w:rFonts w:ascii="Arial" w:cs="Arial" w:eastAsia="Arial" w:hAnsi="Arial"/>
                  <w:sz w:val="18"/>
                  <w:szCs w:val="18"/>
                  <w:color w:val="0000EE"/>
                  <w:w w:val="88"/>
                </w:rPr>
                <w:t>Condensed Consolidated Statement of Cash Flows</w:t>
              </w:r>
            </w:hyperlink>
          </w:p>
        </w:tc>
        <w:tc>
          <w:tcPr>
            <w:tcW w:w="860" w:type="dxa"/>
            <w:vAlign w:val="bottom"/>
            <w:tcBorders>
              <w:top w:val="single" w:sz="8" w:color="0000EE"/>
            </w:tcBorders>
            <w:gridSpan w:val="3"/>
          </w:tcPr>
          <w:p>
            <w:pPr>
              <w:spacing w:after="0"/>
              <w:rPr>
                <w:sz w:val="21"/>
                <w:szCs w:val="21"/>
                <w:color w:val="auto"/>
              </w:rPr>
            </w:pPr>
          </w:p>
        </w:tc>
        <w:tc>
          <w:tcPr>
            <w:tcW w:w="3100" w:type="dxa"/>
            <w:vAlign w:val="bottom"/>
          </w:tcPr>
          <w:p>
            <w:pPr>
              <w:spacing w:after="0"/>
              <w:rPr>
                <w:sz w:val="21"/>
                <w:szCs w:val="21"/>
                <w:color w:val="auto"/>
              </w:rPr>
            </w:pPr>
          </w:p>
        </w:tc>
        <w:tc>
          <w:tcPr>
            <w:tcW w:w="3780" w:type="dxa"/>
            <w:vAlign w:val="bottom"/>
          </w:tcPr>
          <w:p>
            <w:pPr>
              <w:jc w:val="center"/>
              <w:ind w:left="2670"/>
              <w:spacing w:after="0"/>
              <w:rPr>
                <w:rFonts w:ascii="Arial" w:cs="Arial" w:eastAsia="Arial" w:hAnsi="Arial"/>
                <w:sz w:val="18"/>
                <w:szCs w:val="18"/>
                <w:color w:val="auto"/>
                <w:w w:val="89"/>
              </w:rPr>
            </w:pPr>
            <w:hyperlink w:anchor="page45">
              <w:r>
                <w:rPr>
                  <w:rFonts w:ascii="Arial" w:cs="Arial" w:eastAsia="Arial" w:hAnsi="Arial"/>
                  <w:sz w:val="18"/>
                  <w:szCs w:val="18"/>
                  <w:color w:val="auto"/>
                  <w:w w:val="89"/>
                </w:rPr>
                <w:t>42</w:t>
              </w:r>
            </w:hyperlink>
          </w:p>
        </w:tc>
      </w:tr>
      <w:tr>
        <w:trPr>
          <w:trHeight w:val="250"/>
        </w:trPr>
        <w:tc>
          <w:tcPr>
            <w:tcW w:w="40" w:type="dxa"/>
            <w:vAlign w:val="bottom"/>
          </w:tcPr>
          <w:p>
            <w:pPr>
              <w:spacing w:after="0"/>
              <w:rPr>
                <w:sz w:val="21"/>
                <w:szCs w:val="21"/>
                <w:color w:val="auto"/>
              </w:rPr>
            </w:pPr>
          </w:p>
        </w:tc>
        <w:tc>
          <w:tcPr>
            <w:tcW w:w="7600" w:type="dxa"/>
            <w:vAlign w:val="bottom"/>
            <w:gridSpan w:val="7"/>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Condensed Consolidated Statement of Changes in Equity</w:t>
              </w:r>
            </w:hyperlink>
          </w:p>
        </w:tc>
        <w:tc>
          <w:tcPr>
            <w:tcW w:w="3780" w:type="dxa"/>
            <w:vAlign w:val="bottom"/>
          </w:tcPr>
          <w:p>
            <w:pPr>
              <w:jc w:val="center"/>
              <w:ind w:left="2670"/>
              <w:spacing w:after="0"/>
              <w:rPr>
                <w:rFonts w:ascii="Arial" w:cs="Arial" w:eastAsia="Arial" w:hAnsi="Arial"/>
                <w:sz w:val="18"/>
                <w:szCs w:val="18"/>
                <w:color w:val="auto"/>
                <w:w w:val="89"/>
              </w:rPr>
            </w:pPr>
            <w:hyperlink w:anchor="page46">
              <w:r>
                <w:rPr>
                  <w:rFonts w:ascii="Arial" w:cs="Arial" w:eastAsia="Arial" w:hAnsi="Arial"/>
                  <w:sz w:val="18"/>
                  <w:szCs w:val="18"/>
                  <w:color w:val="auto"/>
                  <w:w w:val="89"/>
                </w:rPr>
                <w:t>43</w:t>
              </w:r>
            </w:hyperlink>
          </w:p>
        </w:tc>
      </w:tr>
      <w:tr>
        <w:trPr>
          <w:trHeight w:val="250"/>
        </w:trPr>
        <w:tc>
          <w:tcPr>
            <w:tcW w:w="40" w:type="dxa"/>
            <w:vAlign w:val="bottom"/>
          </w:tcPr>
          <w:p>
            <w:pPr>
              <w:spacing w:after="0"/>
              <w:rPr>
                <w:sz w:val="21"/>
                <w:szCs w:val="21"/>
                <w:color w:val="auto"/>
              </w:rPr>
            </w:pPr>
          </w:p>
        </w:tc>
        <w:tc>
          <w:tcPr>
            <w:tcW w:w="4120" w:type="dxa"/>
            <w:vAlign w:val="bottom"/>
            <w:tcBorders>
              <w:top w:val="single" w:sz="8" w:color="0000EE"/>
            </w:tcBorders>
            <w:gridSpan w:val="5"/>
          </w:tcPr>
          <w:p>
            <w:pPr>
              <w:spacing w:after="0"/>
              <w:rPr>
                <w:rFonts w:ascii="Arial" w:cs="Arial" w:eastAsia="Arial" w:hAnsi="Arial"/>
                <w:sz w:val="18"/>
                <w:szCs w:val="18"/>
                <w:color w:val="0000EE"/>
                <w:w w:val="91"/>
              </w:rPr>
            </w:pPr>
            <w:hyperlink w:anchor="page47">
              <w:r>
                <w:rPr>
                  <w:rFonts w:ascii="Arial" w:cs="Arial" w:eastAsia="Arial" w:hAnsi="Arial"/>
                  <w:sz w:val="18"/>
                  <w:szCs w:val="18"/>
                  <w:color w:val="0000EE"/>
                  <w:w w:val="91"/>
                </w:rPr>
                <w:t>Notes to Condensed Consolidated Financial Statements</w:t>
              </w:r>
            </w:hyperlink>
          </w:p>
        </w:tc>
        <w:tc>
          <w:tcPr>
            <w:tcW w:w="3480" w:type="dxa"/>
            <w:vAlign w:val="bottom"/>
            <w:gridSpan w:val="2"/>
          </w:tcPr>
          <w:p>
            <w:pPr>
              <w:spacing w:after="0"/>
              <w:rPr>
                <w:sz w:val="21"/>
                <w:szCs w:val="21"/>
                <w:color w:val="auto"/>
              </w:rPr>
            </w:pPr>
          </w:p>
        </w:tc>
        <w:tc>
          <w:tcPr>
            <w:tcW w:w="3780" w:type="dxa"/>
            <w:vAlign w:val="bottom"/>
          </w:tcPr>
          <w:p>
            <w:pPr>
              <w:jc w:val="center"/>
              <w:ind w:left="2670"/>
              <w:spacing w:after="0"/>
              <w:rPr>
                <w:rFonts w:ascii="Arial" w:cs="Arial" w:eastAsia="Arial" w:hAnsi="Arial"/>
                <w:sz w:val="18"/>
                <w:szCs w:val="18"/>
                <w:color w:val="auto"/>
                <w:w w:val="89"/>
              </w:rPr>
            </w:pPr>
            <w:hyperlink w:anchor="page47">
              <w:r>
                <w:rPr>
                  <w:rFonts w:ascii="Arial" w:cs="Arial" w:eastAsia="Arial" w:hAnsi="Arial"/>
                  <w:sz w:val="18"/>
                  <w:szCs w:val="18"/>
                  <w:color w:val="auto"/>
                  <w:w w:val="89"/>
                </w:rPr>
                <w:t>44</w:t>
              </w:r>
            </w:hyperlink>
          </w:p>
        </w:tc>
      </w:tr>
      <w:tr>
        <w:trPr>
          <w:trHeight w:val="48"/>
        </w:trPr>
        <w:tc>
          <w:tcPr>
            <w:tcW w:w="40" w:type="dxa"/>
            <w:vAlign w:val="bottom"/>
            <w:tcBorders>
              <w:bottom w:val="single" w:sz="8" w:color="auto"/>
            </w:tcBorders>
          </w:tcPr>
          <w:p>
            <w:pPr>
              <w:spacing w:after="0"/>
              <w:rPr>
                <w:sz w:val="4"/>
                <w:szCs w:val="4"/>
                <w:color w:val="auto"/>
              </w:rPr>
            </w:pPr>
          </w:p>
        </w:tc>
        <w:tc>
          <w:tcPr>
            <w:tcW w:w="2860" w:type="dxa"/>
            <w:vAlign w:val="bottom"/>
            <w:tcBorders>
              <w:top w:val="single" w:sz="8" w:color="0000EE"/>
              <w:bottom w:val="single" w:sz="8" w:color="auto"/>
            </w:tcBorders>
          </w:tcPr>
          <w:p>
            <w:pPr>
              <w:spacing w:after="0"/>
              <w:rPr>
                <w:sz w:val="4"/>
                <w:szCs w:val="4"/>
                <w:color w:val="auto"/>
              </w:rPr>
            </w:pPr>
          </w:p>
        </w:tc>
        <w:tc>
          <w:tcPr>
            <w:tcW w:w="480" w:type="dxa"/>
            <w:vAlign w:val="bottom"/>
            <w:tcBorders>
              <w:top w:val="single" w:sz="8" w:color="0000EE"/>
              <w:bottom w:val="single" w:sz="8" w:color="auto"/>
            </w:tcBorders>
          </w:tcPr>
          <w:p>
            <w:pPr>
              <w:spacing w:after="0"/>
              <w:rPr>
                <w:sz w:val="4"/>
                <w:szCs w:val="4"/>
                <w:color w:val="auto"/>
              </w:rPr>
            </w:pPr>
          </w:p>
        </w:tc>
        <w:tc>
          <w:tcPr>
            <w:tcW w:w="300" w:type="dxa"/>
            <w:vAlign w:val="bottom"/>
            <w:tcBorders>
              <w:top w:val="single" w:sz="8" w:color="0000EE"/>
              <w:bottom w:val="single" w:sz="8" w:color="auto"/>
            </w:tcBorders>
          </w:tcPr>
          <w:p>
            <w:pPr>
              <w:spacing w:after="0"/>
              <w:rPr>
                <w:sz w:val="4"/>
                <w:szCs w:val="4"/>
                <w:color w:val="auto"/>
              </w:rPr>
            </w:pPr>
          </w:p>
        </w:tc>
        <w:tc>
          <w:tcPr>
            <w:tcW w:w="340" w:type="dxa"/>
            <w:vAlign w:val="bottom"/>
            <w:tcBorders>
              <w:top w:val="single" w:sz="8" w:color="0000EE"/>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3100" w:type="dxa"/>
            <w:vAlign w:val="bottom"/>
            <w:tcBorders>
              <w:bottom w:val="single" w:sz="8" w:color="auto"/>
            </w:tcBorders>
          </w:tcPr>
          <w:p>
            <w:pPr>
              <w:spacing w:after="0"/>
              <w:rPr>
                <w:sz w:val="4"/>
                <w:szCs w:val="4"/>
                <w:color w:val="auto"/>
              </w:rPr>
            </w:pPr>
          </w:p>
        </w:tc>
        <w:tc>
          <w:tcPr>
            <w:tcW w:w="3780" w:type="dxa"/>
            <w:vAlign w:val="bottom"/>
            <w:tcBorders>
              <w:bottom w:val="single" w:sz="8" w:color="auto"/>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75"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60" w:type="dxa"/>
            <w:vAlign w:val="bottom"/>
          </w:tcPr>
          <w:p>
            <w:pPr>
              <w:jc w:val="right"/>
              <w:ind w:right="331"/>
              <w:spacing w:after="0"/>
              <w:rPr>
                <w:sz w:val="20"/>
                <w:szCs w:val="20"/>
                <w:color w:val="auto"/>
              </w:rPr>
            </w:pPr>
            <w:r>
              <w:rPr>
                <w:rFonts w:ascii="Arial" w:cs="Arial" w:eastAsia="Arial" w:hAnsi="Arial"/>
                <w:sz w:val="14"/>
                <w:szCs w:val="14"/>
                <w:color w:val="auto"/>
              </w:rPr>
              <w:t>March 31,</w:t>
            </w:r>
          </w:p>
        </w:tc>
        <w:tc>
          <w:tcPr>
            <w:tcW w:w="260" w:type="dxa"/>
            <w:vAlign w:val="bottom"/>
          </w:tcPr>
          <w:p>
            <w:pPr>
              <w:spacing w:after="0"/>
              <w:rPr>
                <w:sz w:val="14"/>
                <w:szCs w:val="14"/>
                <w:color w:val="auto"/>
              </w:rPr>
            </w:pPr>
          </w:p>
        </w:tc>
        <w:tc>
          <w:tcPr>
            <w:tcW w:w="1260" w:type="dxa"/>
            <w:vAlign w:val="bottom"/>
          </w:tcPr>
          <w:p>
            <w:pPr>
              <w:jc w:val="right"/>
              <w:ind w:right="271"/>
              <w:spacing w:after="0"/>
              <w:rPr>
                <w:sz w:val="20"/>
                <w:szCs w:val="20"/>
                <w:color w:val="auto"/>
              </w:rPr>
            </w:pPr>
            <w:r>
              <w:rPr>
                <w:rFonts w:ascii="Arial" w:cs="Arial" w:eastAsia="Arial" w:hAnsi="Arial"/>
                <w:sz w:val="14"/>
                <w:szCs w:val="14"/>
                <w:color w:val="auto"/>
              </w:rPr>
              <w:t>December 31,</w:t>
            </w:r>
          </w:p>
        </w:tc>
      </w:tr>
      <w:tr>
        <w:trPr>
          <w:trHeight w:val="188"/>
        </w:trPr>
        <w:tc>
          <w:tcPr>
            <w:tcW w:w="71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6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color w:val="auto"/>
              </w:rPr>
              <w:t>2017</w:t>
            </w: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2016</w:t>
            </w:r>
          </w:p>
        </w:tc>
      </w:tr>
      <w:tr>
        <w:trPr>
          <w:trHeight w:val="243"/>
        </w:trPr>
        <w:tc>
          <w:tcPr>
            <w:tcW w:w="714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6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0"/>
        </w:trPr>
        <w:tc>
          <w:tcPr>
            <w:tcW w:w="71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6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714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1,882</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1,966</w:t>
            </w:r>
          </w:p>
        </w:tc>
      </w:tr>
      <w:tr>
        <w:trPr>
          <w:trHeight w:val="270"/>
        </w:trPr>
        <w:tc>
          <w:tcPr>
            <w:tcW w:w="7140" w:type="dxa"/>
            <w:vAlign w:val="bottom"/>
          </w:tcPr>
          <w:p>
            <w:pPr>
              <w:ind w:left="380"/>
              <w:spacing w:after="0"/>
              <w:rPr>
                <w:sz w:val="20"/>
                <w:szCs w:val="20"/>
                <w:color w:val="auto"/>
              </w:rPr>
            </w:pPr>
            <w:r>
              <w:rPr>
                <w:rFonts w:ascii="Arial" w:cs="Arial" w:eastAsia="Arial" w:hAnsi="Arial"/>
                <w:sz w:val="18"/>
                <w:szCs w:val="18"/>
                <w:color w:val="auto"/>
              </w:rPr>
              <w:t>Receivables, net</w:t>
            </w:r>
          </w:p>
        </w:tc>
        <w:tc>
          <w:tcPr>
            <w:tcW w:w="16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6,227</w:t>
            </w:r>
          </w:p>
        </w:tc>
        <w:tc>
          <w:tcPr>
            <w:tcW w:w="2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6,302</w:t>
            </w:r>
          </w:p>
        </w:tc>
      </w:tr>
      <w:tr>
        <w:trPr>
          <w:trHeight w:val="270"/>
        </w:trPr>
        <w:tc>
          <w:tcPr>
            <w:tcW w:w="7140" w:type="dxa"/>
            <w:vAlign w:val="bottom"/>
          </w:tcPr>
          <w:p>
            <w:pPr>
              <w:ind w:left="380"/>
              <w:spacing w:after="0"/>
              <w:rPr>
                <w:sz w:val="20"/>
                <w:szCs w:val="20"/>
                <w:color w:val="auto"/>
              </w:rPr>
            </w:pPr>
            <w:r>
              <w:rPr>
                <w:rFonts w:ascii="Arial" w:cs="Arial" w:eastAsia="Arial" w:hAnsi="Arial"/>
                <w:sz w:val="18"/>
                <w:szCs w:val="18"/>
                <w:color w:val="auto"/>
              </w:rPr>
              <w:t>Programming rights</w:t>
            </w:r>
          </w:p>
        </w:tc>
        <w:tc>
          <w:tcPr>
            <w:tcW w:w="16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1,471</w:t>
            </w:r>
          </w:p>
        </w:tc>
        <w:tc>
          <w:tcPr>
            <w:tcW w:w="2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1,241</w:t>
            </w:r>
          </w:p>
        </w:tc>
      </w:tr>
      <w:tr>
        <w:trPr>
          <w:trHeight w:val="270"/>
        </w:trPr>
        <w:tc>
          <w:tcPr>
            <w:tcW w:w="7140" w:type="dxa"/>
            <w:vAlign w:val="bottom"/>
          </w:tcPr>
          <w:p>
            <w:pPr>
              <w:ind w:left="380"/>
              <w:spacing w:after="0"/>
              <w:rPr>
                <w:sz w:val="20"/>
                <w:szCs w:val="20"/>
                <w:color w:val="auto"/>
              </w:rPr>
            </w:pPr>
            <w:r>
              <w:rPr>
                <w:rFonts w:ascii="Arial" w:cs="Arial" w:eastAsia="Arial" w:hAnsi="Arial"/>
                <w:sz w:val="18"/>
                <w:szCs w:val="18"/>
                <w:color w:val="auto"/>
              </w:rPr>
              <w:t>Other current assets</w:t>
            </w:r>
          </w:p>
        </w:tc>
        <w:tc>
          <w:tcPr>
            <w:tcW w:w="16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1,164</w:t>
            </w:r>
          </w:p>
        </w:tc>
        <w:tc>
          <w:tcPr>
            <w:tcW w:w="2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938</w:t>
            </w:r>
          </w:p>
        </w:tc>
      </w:tr>
      <w:tr>
        <w:trPr>
          <w:trHeight w:val="27"/>
        </w:trPr>
        <w:tc>
          <w:tcPr>
            <w:tcW w:w="7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714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16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10,744</w:t>
            </w:r>
          </w:p>
        </w:tc>
        <w:tc>
          <w:tcPr>
            <w:tcW w:w="26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10,447</w:t>
            </w:r>
          </w:p>
        </w:tc>
      </w:tr>
      <w:tr>
        <w:trPr>
          <w:trHeight w:val="270"/>
        </w:trPr>
        <w:tc>
          <w:tcPr>
            <w:tcW w:w="7140" w:type="dxa"/>
            <w:vAlign w:val="bottom"/>
          </w:tcPr>
          <w:p>
            <w:pPr>
              <w:ind w:left="40"/>
              <w:spacing w:after="0"/>
              <w:rPr>
                <w:sz w:val="20"/>
                <w:szCs w:val="20"/>
                <w:color w:val="auto"/>
              </w:rPr>
            </w:pPr>
            <w:r>
              <w:rPr>
                <w:rFonts w:ascii="Arial" w:cs="Arial" w:eastAsia="Arial" w:hAnsi="Arial"/>
                <w:sz w:val="18"/>
                <w:szCs w:val="18"/>
                <w:color w:val="auto"/>
              </w:rPr>
              <w:t>Film and television costs</w:t>
            </w:r>
          </w:p>
        </w:tc>
        <w:tc>
          <w:tcPr>
            <w:tcW w:w="16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6,961</w:t>
            </w:r>
          </w:p>
        </w:tc>
        <w:tc>
          <w:tcPr>
            <w:tcW w:w="2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7,245</w:t>
            </w:r>
          </w:p>
        </w:tc>
      </w:tr>
      <w:tr>
        <w:trPr>
          <w:trHeight w:val="270"/>
        </w:trPr>
        <w:tc>
          <w:tcPr>
            <w:tcW w:w="714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16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1,940</w:t>
            </w:r>
          </w:p>
        </w:tc>
        <w:tc>
          <w:tcPr>
            <w:tcW w:w="2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1,263</w:t>
            </w:r>
          </w:p>
        </w:tc>
      </w:tr>
      <w:tr>
        <w:trPr>
          <w:trHeight w:val="270"/>
        </w:trPr>
        <w:tc>
          <w:tcPr>
            <w:tcW w:w="7140" w:type="dxa"/>
            <w:vAlign w:val="bottom"/>
          </w:tcPr>
          <w:p>
            <w:pPr>
              <w:ind w:left="40"/>
              <w:spacing w:after="0"/>
              <w:rPr>
                <w:sz w:val="20"/>
                <w:szCs w:val="20"/>
                <w:color w:val="auto"/>
              </w:rPr>
            </w:pPr>
            <w:r>
              <w:rPr>
                <w:rFonts w:ascii="Arial" w:cs="Arial" w:eastAsia="Arial" w:hAnsi="Arial"/>
                <w:sz w:val="18"/>
                <w:szCs w:val="18"/>
                <w:color w:val="auto"/>
              </w:rPr>
              <w:t>Property and equipment, net of accumulated depreciation of $3,567 and $3,350</w:t>
            </w:r>
          </w:p>
        </w:tc>
        <w:tc>
          <w:tcPr>
            <w:tcW w:w="16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10,695</w:t>
            </w:r>
          </w:p>
        </w:tc>
        <w:tc>
          <w:tcPr>
            <w:tcW w:w="2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10,511</w:t>
            </w:r>
          </w:p>
        </w:tc>
      </w:tr>
      <w:tr>
        <w:trPr>
          <w:trHeight w:val="270"/>
        </w:trPr>
        <w:tc>
          <w:tcPr>
            <w:tcW w:w="7140" w:type="dxa"/>
            <w:vAlign w:val="bottom"/>
          </w:tcPr>
          <w:p>
            <w:pPr>
              <w:ind w:left="40"/>
              <w:spacing w:after="0"/>
              <w:rPr>
                <w:sz w:val="20"/>
                <w:szCs w:val="20"/>
                <w:color w:val="auto"/>
              </w:rPr>
            </w:pPr>
            <w:r>
              <w:rPr>
                <w:rFonts w:ascii="Arial" w:cs="Arial" w:eastAsia="Arial" w:hAnsi="Arial"/>
                <w:sz w:val="18"/>
                <w:szCs w:val="18"/>
                <w:color w:val="auto"/>
              </w:rPr>
              <w:t>Goodwill</w:t>
            </w:r>
          </w:p>
        </w:tc>
        <w:tc>
          <w:tcPr>
            <w:tcW w:w="16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23,793</w:t>
            </w:r>
          </w:p>
        </w:tc>
        <w:tc>
          <w:tcPr>
            <w:tcW w:w="2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23,323</w:t>
            </w:r>
          </w:p>
        </w:tc>
      </w:tr>
      <w:tr>
        <w:trPr>
          <w:trHeight w:val="270"/>
        </w:trPr>
        <w:tc>
          <w:tcPr>
            <w:tcW w:w="7140" w:type="dxa"/>
            <w:vAlign w:val="bottom"/>
          </w:tcPr>
          <w:p>
            <w:pPr>
              <w:ind w:left="40"/>
              <w:spacing w:after="0"/>
              <w:rPr>
                <w:sz w:val="20"/>
                <w:szCs w:val="20"/>
                <w:color w:val="auto"/>
              </w:rPr>
            </w:pPr>
            <w:r>
              <w:rPr>
                <w:rFonts w:ascii="Arial" w:cs="Arial" w:eastAsia="Arial" w:hAnsi="Arial"/>
                <w:sz w:val="18"/>
                <w:szCs w:val="18"/>
                <w:color w:val="auto"/>
              </w:rPr>
              <w:t>Intangible assets, net of accumulated amortization of $6,854 and $6,568</w:t>
            </w:r>
          </w:p>
        </w:tc>
        <w:tc>
          <w:tcPr>
            <w:tcW w:w="16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13,655</w:t>
            </w:r>
          </w:p>
        </w:tc>
        <w:tc>
          <w:tcPr>
            <w:tcW w:w="2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13,777</w:t>
            </w:r>
          </w:p>
        </w:tc>
      </w:tr>
      <w:tr>
        <w:trPr>
          <w:trHeight w:val="270"/>
        </w:trPr>
        <w:tc>
          <w:tcPr>
            <w:tcW w:w="7140" w:type="dxa"/>
            <w:vAlign w:val="bottom"/>
          </w:tcPr>
          <w:p>
            <w:pPr>
              <w:ind w:left="40"/>
              <w:spacing w:after="0"/>
              <w:rPr>
                <w:sz w:val="20"/>
                <w:szCs w:val="20"/>
                <w:color w:val="auto"/>
              </w:rPr>
            </w:pPr>
            <w:r>
              <w:rPr>
                <w:rFonts w:ascii="Arial" w:cs="Arial" w:eastAsia="Arial" w:hAnsi="Arial"/>
                <w:sz w:val="18"/>
                <w:szCs w:val="18"/>
                <w:color w:val="auto"/>
              </w:rPr>
              <w:t>Other noncurrent assets, net</w:t>
            </w:r>
          </w:p>
        </w:tc>
        <w:tc>
          <w:tcPr>
            <w:tcW w:w="16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1,561</w:t>
            </w:r>
          </w:p>
        </w:tc>
        <w:tc>
          <w:tcPr>
            <w:tcW w:w="2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1,688</w:t>
            </w:r>
          </w:p>
        </w:tc>
      </w:tr>
      <w:tr>
        <w:trPr>
          <w:trHeight w:val="27"/>
        </w:trPr>
        <w:tc>
          <w:tcPr>
            <w:tcW w:w="7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714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16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69,349</w:t>
            </w:r>
          </w:p>
        </w:tc>
        <w:tc>
          <w:tcPr>
            <w:tcW w:w="2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1"/>
              <w:spacing w:after="0"/>
              <w:rPr>
                <w:sz w:val="20"/>
                <w:szCs w:val="20"/>
                <w:color w:val="auto"/>
              </w:rPr>
            </w:pPr>
            <w:r>
              <w:rPr>
                <w:rFonts w:ascii="Arial" w:cs="Arial" w:eastAsia="Arial" w:hAnsi="Arial"/>
                <w:sz w:val="18"/>
                <w:szCs w:val="18"/>
                <w:b w:val="1"/>
                <w:bCs w:val="1"/>
                <w:color w:val="auto"/>
              </w:rPr>
              <w:t>68,254</w:t>
            </w:r>
          </w:p>
        </w:tc>
      </w:tr>
      <w:tr>
        <w:trPr>
          <w:trHeight w:val="34"/>
        </w:trPr>
        <w:tc>
          <w:tcPr>
            <w:tcW w:w="7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7140" w:type="dxa"/>
            <w:vAlign w:val="bottom"/>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16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0"/>
        </w:trPr>
        <w:tc>
          <w:tcPr>
            <w:tcW w:w="71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6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7140" w:type="dxa"/>
            <w:vAlign w:val="bottom"/>
          </w:tcPr>
          <w:p>
            <w:pPr>
              <w:ind w:left="380"/>
              <w:spacing w:after="0"/>
              <w:rPr>
                <w:sz w:val="20"/>
                <w:szCs w:val="20"/>
                <w:color w:val="auto"/>
              </w:rPr>
            </w:pPr>
            <w:r>
              <w:rPr>
                <w:rFonts w:ascii="Arial" w:cs="Arial" w:eastAsia="Arial" w:hAnsi="Arial"/>
                <w:sz w:val="18"/>
                <w:szCs w:val="18"/>
                <w:color w:val="auto"/>
              </w:rPr>
              <w:t>Accounts payable and accrued expenses related to trade creditors</w:t>
            </w: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1,487</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1,647</w:t>
            </w:r>
          </w:p>
        </w:tc>
      </w:tr>
      <w:tr>
        <w:trPr>
          <w:trHeight w:val="270"/>
        </w:trPr>
        <w:tc>
          <w:tcPr>
            <w:tcW w:w="7140" w:type="dxa"/>
            <w:vAlign w:val="bottom"/>
          </w:tcPr>
          <w:p>
            <w:pPr>
              <w:ind w:left="380"/>
              <w:spacing w:after="0"/>
              <w:rPr>
                <w:sz w:val="20"/>
                <w:szCs w:val="20"/>
                <w:color w:val="auto"/>
              </w:rPr>
            </w:pPr>
            <w:r>
              <w:rPr>
                <w:rFonts w:ascii="Arial" w:cs="Arial" w:eastAsia="Arial" w:hAnsi="Arial"/>
                <w:sz w:val="18"/>
                <w:szCs w:val="18"/>
                <w:color w:val="auto"/>
              </w:rPr>
              <w:t>Accrued participations and residuals</w:t>
            </w:r>
          </w:p>
        </w:tc>
        <w:tc>
          <w:tcPr>
            <w:tcW w:w="16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1,811</w:t>
            </w:r>
          </w:p>
        </w:tc>
        <w:tc>
          <w:tcPr>
            <w:tcW w:w="2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1,726</w:t>
            </w:r>
          </w:p>
        </w:tc>
      </w:tr>
      <w:tr>
        <w:trPr>
          <w:trHeight w:val="270"/>
        </w:trPr>
        <w:tc>
          <w:tcPr>
            <w:tcW w:w="7140" w:type="dxa"/>
            <w:vAlign w:val="bottom"/>
          </w:tcPr>
          <w:p>
            <w:pPr>
              <w:ind w:left="380"/>
              <w:spacing w:after="0"/>
              <w:rPr>
                <w:sz w:val="20"/>
                <w:szCs w:val="20"/>
                <w:color w:val="auto"/>
              </w:rPr>
            </w:pPr>
            <w:r>
              <w:rPr>
                <w:rFonts w:ascii="Arial" w:cs="Arial" w:eastAsia="Arial" w:hAnsi="Arial"/>
                <w:sz w:val="18"/>
                <w:szCs w:val="18"/>
                <w:color w:val="auto"/>
              </w:rPr>
              <w:t>Program obligations</w:t>
            </w:r>
          </w:p>
        </w:tc>
        <w:tc>
          <w:tcPr>
            <w:tcW w:w="16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681</w:t>
            </w:r>
          </w:p>
        </w:tc>
        <w:tc>
          <w:tcPr>
            <w:tcW w:w="2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807</w:t>
            </w:r>
          </w:p>
        </w:tc>
      </w:tr>
      <w:tr>
        <w:trPr>
          <w:trHeight w:val="270"/>
        </w:trPr>
        <w:tc>
          <w:tcPr>
            <w:tcW w:w="714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16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1,143</w:t>
            </w:r>
          </w:p>
        </w:tc>
        <w:tc>
          <w:tcPr>
            <w:tcW w:w="2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1,016</w:t>
            </w:r>
          </w:p>
        </w:tc>
      </w:tr>
      <w:tr>
        <w:trPr>
          <w:trHeight w:val="270"/>
        </w:trPr>
        <w:tc>
          <w:tcPr>
            <w:tcW w:w="714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16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1,573</w:t>
            </w:r>
          </w:p>
        </w:tc>
        <w:tc>
          <w:tcPr>
            <w:tcW w:w="2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1,888</w:t>
            </w:r>
          </w:p>
        </w:tc>
      </w:tr>
      <w:tr>
        <w:trPr>
          <w:trHeight w:val="270"/>
        </w:trPr>
        <w:tc>
          <w:tcPr>
            <w:tcW w:w="7140" w:type="dxa"/>
            <w:vAlign w:val="bottom"/>
          </w:tcPr>
          <w:p>
            <w:pPr>
              <w:ind w:left="380"/>
              <w:spacing w:after="0"/>
              <w:rPr>
                <w:sz w:val="20"/>
                <w:szCs w:val="20"/>
                <w:color w:val="auto"/>
              </w:rPr>
            </w:pPr>
            <w:r>
              <w:rPr>
                <w:rFonts w:ascii="Arial" w:cs="Arial" w:eastAsia="Arial" w:hAnsi="Arial"/>
                <w:sz w:val="18"/>
                <w:szCs w:val="18"/>
                <w:color w:val="auto"/>
              </w:rPr>
              <w:t>Note payable to Comcast</w:t>
            </w:r>
          </w:p>
        </w:tc>
        <w:tc>
          <w:tcPr>
            <w:tcW w:w="16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1,853</w:t>
            </w:r>
          </w:p>
        </w:tc>
        <w:tc>
          <w:tcPr>
            <w:tcW w:w="2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2,703</w:t>
            </w:r>
          </w:p>
        </w:tc>
      </w:tr>
      <w:tr>
        <w:trPr>
          <w:trHeight w:val="270"/>
        </w:trPr>
        <w:tc>
          <w:tcPr>
            <w:tcW w:w="7140" w:type="dxa"/>
            <w:vAlign w:val="bottom"/>
          </w:tcPr>
          <w:p>
            <w:pPr>
              <w:ind w:left="380"/>
              <w:spacing w:after="0"/>
              <w:rPr>
                <w:sz w:val="20"/>
                <w:szCs w:val="20"/>
                <w:color w:val="auto"/>
              </w:rPr>
            </w:pPr>
            <w:r>
              <w:rPr>
                <w:rFonts w:ascii="Arial" w:cs="Arial" w:eastAsia="Arial" w:hAnsi="Arial"/>
                <w:sz w:val="18"/>
                <w:szCs w:val="18"/>
                <w:color w:val="auto"/>
              </w:rPr>
              <w:t>Current portion of long-term debt</w:t>
            </w:r>
          </w:p>
        </w:tc>
        <w:tc>
          <w:tcPr>
            <w:tcW w:w="16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115</w:t>
            </w:r>
          </w:p>
        </w:tc>
        <w:tc>
          <w:tcPr>
            <w:tcW w:w="2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127</w:t>
            </w:r>
          </w:p>
        </w:tc>
      </w:tr>
      <w:tr>
        <w:trPr>
          <w:trHeight w:val="27"/>
        </w:trPr>
        <w:tc>
          <w:tcPr>
            <w:tcW w:w="7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714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16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8,663</w:t>
            </w:r>
          </w:p>
        </w:tc>
        <w:tc>
          <w:tcPr>
            <w:tcW w:w="26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9,914</w:t>
            </w:r>
          </w:p>
        </w:tc>
      </w:tr>
      <w:tr>
        <w:trPr>
          <w:trHeight w:val="270"/>
        </w:trPr>
        <w:tc>
          <w:tcPr>
            <w:tcW w:w="7140" w:type="dxa"/>
            <w:vAlign w:val="bottom"/>
          </w:tcPr>
          <w:p>
            <w:pPr>
              <w:ind w:left="40"/>
              <w:spacing w:after="0"/>
              <w:rPr>
                <w:sz w:val="20"/>
                <w:szCs w:val="20"/>
                <w:color w:val="auto"/>
              </w:rPr>
            </w:pPr>
            <w:r>
              <w:rPr>
                <w:rFonts w:ascii="Arial" w:cs="Arial" w:eastAsia="Arial" w:hAnsi="Arial"/>
                <w:sz w:val="18"/>
                <w:szCs w:val="18"/>
                <w:color w:val="auto"/>
              </w:rPr>
              <w:t>Long-term debt, less current portion</w:t>
            </w:r>
          </w:p>
        </w:tc>
        <w:tc>
          <w:tcPr>
            <w:tcW w:w="16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11,623</w:t>
            </w:r>
          </w:p>
        </w:tc>
        <w:tc>
          <w:tcPr>
            <w:tcW w:w="2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11,461</w:t>
            </w:r>
          </w:p>
        </w:tc>
      </w:tr>
      <w:tr>
        <w:trPr>
          <w:trHeight w:val="270"/>
        </w:trPr>
        <w:tc>
          <w:tcPr>
            <w:tcW w:w="7140" w:type="dxa"/>
            <w:vAlign w:val="bottom"/>
          </w:tcPr>
          <w:p>
            <w:pPr>
              <w:ind w:left="40"/>
              <w:spacing w:after="0"/>
              <w:rPr>
                <w:sz w:val="20"/>
                <w:szCs w:val="20"/>
                <w:color w:val="auto"/>
              </w:rPr>
            </w:pPr>
            <w:r>
              <w:rPr>
                <w:rFonts w:ascii="Arial" w:cs="Arial" w:eastAsia="Arial" w:hAnsi="Arial"/>
                <w:sz w:val="18"/>
                <w:szCs w:val="18"/>
                <w:color w:val="auto"/>
              </w:rPr>
              <w:t>Accrued participations, residuals and program obligations</w:t>
            </w:r>
          </w:p>
        </w:tc>
        <w:tc>
          <w:tcPr>
            <w:tcW w:w="16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1,164</w:t>
            </w:r>
          </w:p>
        </w:tc>
        <w:tc>
          <w:tcPr>
            <w:tcW w:w="2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1,202</w:t>
            </w:r>
          </w:p>
        </w:tc>
      </w:tr>
      <w:tr>
        <w:trPr>
          <w:trHeight w:val="270"/>
        </w:trPr>
        <w:tc>
          <w:tcPr>
            <w:tcW w:w="714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16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4,039</w:t>
            </w:r>
          </w:p>
        </w:tc>
        <w:tc>
          <w:tcPr>
            <w:tcW w:w="2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4,130</w:t>
            </w:r>
          </w:p>
        </w:tc>
      </w:tr>
      <w:tr>
        <w:trPr>
          <w:trHeight w:val="270"/>
        </w:trPr>
        <w:tc>
          <w:tcPr>
            <w:tcW w:w="714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16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7140" w:type="dxa"/>
            <w:vAlign w:val="bottom"/>
          </w:tcPr>
          <w:p>
            <w:pPr>
              <w:ind w:left="40"/>
              <w:spacing w:after="0"/>
              <w:rPr>
                <w:sz w:val="20"/>
                <w:szCs w:val="20"/>
                <w:color w:val="auto"/>
              </w:rPr>
            </w:pPr>
            <w:r>
              <w:rPr>
                <w:rFonts w:ascii="Arial" w:cs="Arial" w:eastAsia="Arial" w:hAnsi="Arial"/>
                <w:sz w:val="18"/>
                <w:szCs w:val="18"/>
                <w:color w:val="auto"/>
              </w:rPr>
              <w:t>Redeemable noncontrolling interests</w:t>
            </w:r>
          </w:p>
        </w:tc>
        <w:tc>
          <w:tcPr>
            <w:tcW w:w="16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527</w:t>
            </w:r>
          </w:p>
        </w:tc>
        <w:tc>
          <w:tcPr>
            <w:tcW w:w="2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530</w:t>
            </w:r>
          </w:p>
        </w:tc>
      </w:tr>
      <w:tr>
        <w:trPr>
          <w:trHeight w:val="270"/>
        </w:trPr>
        <w:tc>
          <w:tcPr>
            <w:tcW w:w="7140" w:type="dxa"/>
            <w:vAlign w:val="bottom"/>
          </w:tcPr>
          <w:p>
            <w:pPr>
              <w:ind w:left="40"/>
              <w:spacing w:after="0"/>
              <w:rPr>
                <w:sz w:val="20"/>
                <w:szCs w:val="20"/>
                <w:color w:val="auto"/>
              </w:rPr>
            </w:pPr>
            <w:r>
              <w:rPr>
                <w:rFonts w:ascii="Arial" w:cs="Arial" w:eastAsia="Arial" w:hAnsi="Arial"/>
                <w:sz w:val="18"/>
                <w:szCs w:val="18"/>
                <w:color w:val="auto"/>
              </w:rPr>
              <w:t>Equity:</w:t>
            </w:r>
          </w:p>
        </w:tc>
        <w:tc>
          <w:tcPr>
            <w:tcW w:w="16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7140" w:type="dxa"/>
            <w:vAlign w:val="bottom"/>
          </w:tcPr>
          <w:p>
            <w:pPr>
              <w:ind w:left="380"/>
              <w:spacing w:after="0"/>
              <w:rPr>
                <w:sz w:val="20"/>
                <w:szCs w:val="20"/>
                <w:color w:val="auto"/>
              </w:rPr>
            </w:pPr>
            <w:r>
              <w:rPr>
                <w:rFonts w:ascii="Arial" w:cs="Arial" w:eastAsia="Arial" w:hAnsi="Arial"/>
                <w:sz w:val="18"/>
                <w:szCs w:val="18"/>
                <w:color w:val="auto"/>
              </w:rPr>
              <w:t>Member’s capital</w:t>
            </w:r>
          </w:p>
        </w:tc>
        <w:tc>
          <w:tcPr>
            <w:tcW w:w="16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40,792</w:t>
            </w:r>
          </w:p>
        </w:tc>
        <w:tc>
          <w:tcPr>
            <w:tcW w:w="2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39,036</w:t>
            </w:r>
          </w:p>
        </w:tc>
      </w:tr>
      <w:tr>
        <w:trPr>
          <w:trHeight w:val="270"/>
        </w:trPr>
        <w:tc>
          <w:tcPr>
            <w:tcW w:w="7140" w:type="dxa"/>
            <w:vAlign w:val="bottom"/>
          </w:tcPr>
          <w:p>
            <w:pPr>
              <w:ind w:left="380"/>
              <w:spacing w:after="0"/>
              <w:rPr>
                <w:sz w:val="20"/>
                <w:szCs w:val="20"/>
                <w:color w:val="auto"/>
              </w:rPr>
            </w:pPr>
            <w:r>
              <w:rPr>
                <w:rFonts w:ascii="Arial" w:cs="Arial" w:eastAsia="Arial" w:hAnsi="Arial"/>
                <w:sz w:val="18"/>
                <w:szCs w:val="18"/>
                <w:color w:val="auto"/>
              </w:rPr>
              <w:t>Accumulated other comprehensive income (loss)</w:t>
            </w:r>
          </w:p>
        </w:tc>
        <w:tc>
          <w:tcPr>
            <w:tcW w:w="16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w:t>
            </w:r>
          </w:p>
        </w:tc>
        <w:tc>
          <w:tcPr>
            <w:tcW w:w="2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7"/>
        </w:trPr>
        <w:tc>
          <w:tcPr>
            <w:tcW w:w="7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7140" w:type="dxa"/>
            <w:vAlign w:val="bottom"/>
          </w:tcPr>
          <w:p>
            <w:pPr>
              <w:ind w:left="40"/>
              <w:spacing w:after="0"/>
              <w:rPr>
                <w:sz w:val="20"/>
                <w:szCs w:val="20"/>
                <w:color w:val="auto"/>
              </w:rPr>
            </w:pPr>
            <w:r>
              <w:rPr>
                <w:rFonts w:ascii="Arial" w:cs="Arial" w:eastAsia="Arial" w:hAnsi="Arial"/>
                <w:sz w:val="18"/>
                <w:szCs w:val="18"/>
                <w:color w:val="auto"/>
              </w:rPr>
              <w:t>Total NBCUniversal member’s equity</w:t>
            </w:r>
          </w:p>
        </w:tc>
        <w:tc>
          <w:tcPr>
            <w:tcW w:w="16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40,863</w:t>
            </w:r>
          </w:p>
        </w:tc>
        <w:tc>
          <w:tcPr>
            <w:tcW w:w="26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38,901</w:t>
            </w:r>
          </w:p>
        </w:tc>
      </w:tr>
      <w:tr>
        <w:trPr>
          <w:trHeight w:val="270"/>
        </w:trPr>
        <w:tc>
          <w:tcPr>
            <w:tcW w:w="714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16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2,470</w:t>
            </w:r>
          </w:p>
        </w:tc>
        <w:tc>
          <w:tcPr>
            <w:tcW w:w="2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2,116</w:t>
            </w:r>
          </w:p>
        </w:tc>
      </w:tr>
      <w:tr>
        <w:trPr>
          <w:trHeight w:val="27"/>
        </w:trPr>
        <w:tc>
          <w:tcPr>
            <w:tcW w:w="7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714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16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43,333</w:t>
            </w:r>
          </w:p>
        </w:tc>
        <w:tc>
          <w:tcPr>
            <w:tcW w:w="26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41,017</w:t>
            </w:r>
          </w:p>
        </w:tc>
      </w:tr>
      <w:tr>
        <w:trPr>
          <w:trHeight w:val="27"/>
        </w:trPr>
        <w:tc>
          <w:tcPr>
            <w:tcW w:w="7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714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16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69,349</w:t>
            </w:r>
          </w:p>
        </w:tc>
        <w:tc>
          <w:tcPr>
            <w:tcW w:w="2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1"/>
              <w:spacing w:after="0"/>
              <w:rPr>
                <w:sz w:val="20"/>
                <w:szCs w:val="20"/>
                <w:color w:val="auto"/>
              </w:rPr>
            </w:pPr>
            <w:r>
              <w:rPr>
                <w:rFonts w:ascii="Arial" w:cs="Arial" w:eastAsia="Arial" w:hAnsi="Arial"/>
                <w:sz w:val="18"/>
                <w:szCs w:val="18"/>
                <w:b w:val="1"/>
                <w:bCs w:val="1"/>
                <w:color w:val="auto"/>
              </w:rPr>
              <w:t>68,254</w:t>
            </w:r>
          </w:p>
        </w:tc>
      </w:tr>
      <w:tr>
        <w:trPr>
          <w:trHeight w:val="34"/>
        </w:trPr>
        <w:tc>
          <w:tcPr>
            <w:tcW w:w="7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1"/>
        </w:trPr>
        <w:tc>
          <w:tcPr>
            <w:tcW w:w="7140" w:type="dxa"/>
            <w:vAlign w:val="bottom"/>
          </w:tcPr>
          <w:p>
            <w:pPr>
              <w:spacing w:after="0"/>
              <w:rPr>
                <w:sz w:val="20"/>
                <w:szCs w:val="20"/>
                <w:color w:val="auto"/>
              </w:rPr>
            </w:pPr>
            <w:r>
              <w:rPr>
                <w:rFonts w:ascii="Arial" w:cs="Arial" w:eastAsia="Arial" w:hAnsi="Arial"/>
                <w:sz w:val="14"/>
                <w:szCs w:val="14"/>
                <w:color w:val="auto"/>
              </w:rPr>
              <w:t>See accompanying notes to condensed consolidated financial statements.</w:t>
            </w:r>
          </w:p>
        </w:tc>
        <w:tc>
          <w:tcPr>
            <w:tcW w:w="16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539"/>
        </w:trPr>
        <w:tc>
          <w:tcPr>
            <w:tcW w:w="7140" w:type="dxa"/>
            <w:vAlign w:val="bottom"/>
          </w:tcPr>
          <w:p>
            <w:pPr>
              <w:ind w:left="5620"/>
              <w:spacing w:after="0"/>
              <w:rPr>
                <w:sz w:val="20"/>
                <w:szCs w:val="20"/>
                <w:color w:val="auto"/>
              </w:rPr>
            </w:pPr>
            <w:r>
              <w:rPr>
                <w:rFonts w:ascii="Arial" w:cs="Arial" w:eastAsia="Arial" w:hAnsi="Arial"/>
                <w:sz w:val="18"/>
                <w:szCs w:val="18"/>
                <w:color w:val="auto"/>
              </w:rPr>
              <w:t>39</w:t>
            </w:r>
          </w:p>
        </w:tc>
        <w:tc>
          <w:tcPr>
            <w:tcW w:w="16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0" w:type="dxa"/>
            <w:vAlign w:val="bottom"/>
            <w:gridSpan w:val="3"/>
          </w:tcPr>
          <w:p>
            <w:pPr>
              <w:jc w:val="right"/>
              <w:ind w:right="771"/>
              <w:spacing w:after="0"/>
              <w:rPr>
                <w:sz w:val="20"/>
                <w:szCs w:val="20"/>
                <w:color w:val="auto"/>
              </w:rPr>
            </w:pPr>
            <w:r>
              <w:rPr>
                <w:rFonts w:ascii="Arial" w:cs="Arial" w:eastAsia="Arial" w:hAnsi="Arial"/>
                <w:sz w:val="14"/>
                <w:szCs w:val="14"/>
                <w:color w:val="auto"/>
              </w:rPr>
              <w:t>Three Months Ended</w:t>
            </w:r>
          </w:p>
        </w:tc>
      </w:tr>
      <w:tr>
        <w:trPr>
          <w:trHeight w:val="188"/>
        </w:trPr>
        <w:tc>
          <w:tcPr>
            <w:tcW w:w="49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color w:val="auto"/>
              </w:rPr>
              <w:t>March 31</w:t>
            </w:r>
          </w:p>
        </w:tc>
        <w:tc>
          <w:tcPr>
            <w:tcW w:w="1040" w:type="dxa"/>
            <w:vAlign w:val="bottom"/>
            <w:tcBorders>
              <w:bottom w:val="single" w:sz="8" w:color="auto"/>
            </w:tcBorders>
          </w:tcPr>
          <w:p>
            <w:pPr>
              <w:spacing w:after="0"/>
              <w:rPr>
                <w:sz w:val="16"/>
                <w:szCs w:val="16"/>
                <w:color w:val="auto"/>
              </w:rPr>
            </w:pPr>
          </w:p>
        </w:tc>
      </w:tr>
      <w:tr>
        <w:trPr>
          <w:trHeight w:val="196"/>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5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color w:val="auto"/>
              </w:rPr>
              <w:t>2017</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2016</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7,868</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6,861</w:t>
            </w:r>
          </w:p>
        </w:tc>
      </w:tr>
      <w:tr>
        <w:trPr>
          <w:trHeight w:val="270"/>
        </w:trPr>
        <w:tc>
          <w:tcPr>
            <w:tcW w:w="492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5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4920" w:type="dxa"/>
            <w:vAlign w:val="bottom"/>
          </w:tcPr>
          <w:p>
            <w:pPr>
              <w:ind w:left="380"/>
              <w:spacing w:after="0"/>
              <w:rPr>
                <w:sz w:val="20"/>
                <w:szCs w:val="20"/>
                <w:color w:val="auto"/>
              </w:rPr>
            </w:pPr>
            <w:r>
              <w:rPr>
                <w:rFonts w:ascii="Arial" w:cs="Arial" w:eastAsia="Arial" w:hAnsi="Arial"/>
                <w:sz w:val="18"/>
                <w:szCs w:val="18"/>
                <w:color w:val="auto"/>
              </w:rPr>
              <w:t>Programming and production</w:t>
            </w:r>
          </w:p>
        </w:tc>
        <w:tc>
          <w:tcPr>
            <w:tcW w:w="35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3,313</w:t>
            </w:r>
          </w:p>
        </w:tc>
        <w:tc>
          <w:tcPr>
            <w:tcW w:w="4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2,965</w:t>
            </w:r>
          </w:p>
        </w:tc>
      </w:tr>
      <w:tr>
        <w:trPr>
          <w:trHeight w:val="270"/>
        </w:trPr>
        <w:tc>
          <w:tcPr>
            <w:tcW w:w="4920" w:type="dxa"/>
            <w:vAlign w:val="bottom"/>
          </w:tcPr>
          <w:p>
            <w:pPr>
              <w:ind w:left="380"/>
              <w:spacing w:after="0"/>
              <w:rPr>
                <w:sz w:val="20"/>
                <w:szCs w:val="20"/>
                <w:color w:val="auto"/>
              </w:rPr>
            </w:pPr>
            <w:r>
              <w:rPr>
                <w:rFonts w:ascii="Arial" w:cs="Arial" w:eastAsia="Arial" w:hAnsi="Arial"/>
                <w:sz w:val="18"/>
                <w:szCs w:val="18"/>
                <w:color w:val="auto"/>
              </w:rPr>
              <w:t>Other operating and administrative</w:t>
            </w:r>
          </w:p>
        </w:tc>
        <w:tc>
          <w:tcPr>
            <w:tcW w:w="35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1,832</w:t>
            </w:r>
          </w:p>
        </w:tc>
        <w:tc>
          <w:tcPr>
            <w:tcW w:w="4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1,595</w:t>
            </w:r>
          </w:p>
        </w:tc>
      </w:tr>
      <w:tr>
        <w:trPr>
          <w:trHeight w:val="270"/>
        </w:trPr>
        <w:tc>
          <w:tcPr>
            <w:tcW w:w="492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35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706</w:t>
            </w:r>
          </w:p>
        </w:tc>
        <w:tc>
          <w:tcPr>
            <w:tcW w:w="4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679</w:t>
            </w:r>
          </w:p>
        </w:tc>
      </w:tr>
      <w:tr>
        <w:trPr>
          <w:trHeight w:val="270"/>
        </w:trPr>
        <w:tc>
          <w:tcPr>
            <w:tcW w:w="492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35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231</w:t>
            </w:r>
          </w:p>
        </w:tc>
        <w:tc>
          <w:tcPr>
            <w:tcW w:w="4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192</w:t>
            </w:r>
          </w:p>
        </w:tc>
      </w:tr>
      <w:tr>
        <w:trPr>
          <w:trHeight w:val="270"/>
        </w:trPr>
        <w:tc>
          <w:tcPr>
            <w:tcW w:w="4920" w:type="dxa"/>
            <w:vAlign w:val="bottom"/>
          </w:tcPr>
          <w:p>
            <w:pPr>
              <w:ind w:left="380"/>
              <w:spacing w:after="0"/>
              <w:rPr>
                <w:sz w:val="20"/>
                <w:szCs w:val="20"/>
                <w:color w:val="auto"/>
              </w:rPr>
            </w:pPr>
            <w:r>
              <w:rPr>
                <w:rFonts w:ascii="Arial" w:cs="Arial" w:eastAsia="Arial" w:hAnsi="Arial"/>
                <w:sz w:val="18"/>
                <w:szCs w:val="18"/>
                <w:color w:val="auto"/>
              </w:rPr>
              <w:t>Amortization</w:t>
            </w:r>
          </w:p>
        </w:tc>
        <w:tc>
          <w:tcPr>
            <w:tcW w:w="35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277</w:t>
            </w:r>
          </w:p>
        </w:tc>
        <w:tc>
          <w:tcPr>
            <w:tcW w:w="4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222</w:t>
            </w:r>
          </w:p>
        </w:tc>
      </w:tr>
      <w:tr>
        <w:trPr>
          <w:trHeight w:val="27"/>
        </w:trPr>
        <w:tc>
          <w:tcPr>
            <w:tcW w:w="492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6,359</w:t>
            </w:r>
          </w:p>
        </w:tc>
        <w:tc>
          <w:tcPr>
            <w:tcW w:w="44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5,653</w:t>
            </w:r>
          </w:p>
        </w:tc>
      </w:tr>
      <w:tr>
        <w:trPr>
          <w:trHeight w:val="27"/>
        </w:trPr>
        <w:tc>
          <w:tcPr>
            <w:tcW w:w="492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3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1,509</w:t>
            </w:r>
          </w:p>
        </w:tc>
        <w:tc>
          <w:tcPr>
            <w:tcW w:w="44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1,208</w:t>
            </w:r>
          </w:p>
        </w:tc>
      </w:tr>
      <w:tr>
        <w:trPr>
          <w:trHeight w:val="270"/>
        </w:trPr>
        <w:tc>
          <w:tcPr>
            <w:tcW w:w="492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35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492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35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(143)</w:t>
            </w:r>
          </w:p>
        </w:tc>
        <w:tc>
          <w:tcPr>
            <w:tcW w:w="4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70"/>
        </w:trPr>
        <w:tc>
          <w:tcPr>
            <w:tcW w:w="4920" w:type="dxa"/>
            <w:vAlign w:val="bottom"/>
          </w:tcPr>
          <w:p>
            <w:pPr>
              <w:ind w:left="380"/>
              <w:spacing w:after="0"/>
              <w:rPr>
                <w:sz w:val="20"/>
                <w:szCs w:val="20"/>
                <w:color w:val="auto"/>
              </w:rPr>
            </w:pPr>
            <w:r>
              <w:rPr>
                <w:rFonts w:ascii="Arial" w:cs="Arial" w:eastAsia="Arial" w:hAnsi="Arial"/>
                <w:sz w:val="18"/>
                <w:szCs w:val="18"/>
                <w:color w:val="auto"/>
              </w:rPr>
              <w:t>Investment income (loss), net</w:t>
            </w:r>
          </w:p>
        </w:tc>
        <w:tc>
          <w:tcPr>
            <w:tcW w:w="35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14</w:t>
            </w:r>
          </w:p>
        </w:tc>
        <w:tc>
          <w:tcPr>
            <w:tcW w:w="4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w:t>
            </w:r>
          </w:p>
        </w:tc>
      </w:tr>
      <w:tr>
        <w:trPr>
          <w:trHeight w:val="270"/>
        </w:trPr>
        <w:tc>
          <w:tcPr>
            <w:tcW w:w="4920" w:type="dxa"/>
            <w:vAlign w:val="bottom"/>
          </w:tcPr>
          <w:p>
            <w:pPr>
              <w:ind w:left="380"/>
              <w:spacing w:after="0"/>
              <w:rPr>
                <w:sz w:val="20"/>
                <w:szCs w:val="20"/>
                <w:color w:val="auto"/>
              </w:rPr>
            </w:pPr>
            <w:r>
              <w:rPr>
                <w:rFonts w:ascii="Arial" w:cs="Arial" w:eastAsia="Arial" w:hAnsi="Arial"/>
                <w:sz w:val="18"/>
                <w:szCs w:val="18"/>
                <w:color w:val="auto"/>
              </w:rPr>
              <w:t>Equity in net income (losses) of investees, net</w:t>
            </w:r>
          </w:p>
        </w:tc>
        <w:tc>
          <w:tcPr>
            <w:tcW w:w="35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w:t>
            </w:r>
          </w:p>
        </w:tc>
        <w:tc>
          <w:tcPr>
            <w:tcW w:w="4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4920" w:type="dxa"/>
            <w:vAlign w:val="bottom"/>
          </w:tcPr>
          <w:p>
            <w:pPr>
              <w:ind w:left="380"/>
              <w:spacing w:after="0"/>
              <w:rPr>
                <w:sz w:val="20"/>
                <w:szCs w:val="20"/>
                <w:color w:val="auto"/>
              </w:rPr>
            </w:pPr>
            <w:r>
              <w:rPr>
                <w:rFonts w:ascii="Arial" w:cs="Arial" w:eastAsia="Arial" w:hAnsi="Arial"/>
                <w:sz w:val="18"/>
                <w:szCs w:val="18"/>
                <w:color w:val="auto"/>
              </w:rPr>
              <w:t>Other income (expense), net</w:t>
            </w:r>
          </w:p>
        </w:tc>
        <w:tc>
          <w:tcPr>
            <w:tcW w:w="35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4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115</w:t>
            </w:r>
          </w:p>
        </w:tc>
      </w:tr>
      <w:tr>
        <w:trPr>
          <w:trHeight w:val="27"/>
        </w:trPr>
        <w:tc>
          <w:tcPr>
            <w:tcW w:w="492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(144)</w:t>
            </w: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492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1,365</w:t>
            </w:r>
          </w:p>
        </w:tc>
        <w:tc>
          <w:tcPr>
            <w:tcW w:w="44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1,180</w:t>
            </w:r>
          </w:p>
        </w:tc>
      </w:tr>
      <w:tr>
        <w:trPr>
          <w:trHeight w:val="270"/>
        </w:trPr>
        <w:tc>
          <w:tcPr>
            <w:tcW w:w="49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5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w:t>
            </w:r>
          </w:p>
        </w:tc>
        <w:tc>
          <w:tcPr>
            <w:tcW w:w="4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7"/>
        </w:trPr>
        <w:tc>
          <w:tcPr>
            <w:tcW w:w="492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1,273</w:t>
            </w:r>
          </w:p>
        </w:tc>
        <w:tc>
          <w:tcPr>
            <w:tcW w:w="44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1,082</w:t>
            </w:r>
          </w:p>
        </w:tc>
      </w:tr>
      <w:tr>
        <w:trPr>
          <w:trHeight w:val="270"/>
        </w:trPr>
        <w:tc>
          <w:tcPr>
            <w:tcW w:w="4920" w:type="dxa"/>
            <w:vAlign w:val="bottom"/>
          </w:tcPr>
          <w:p>
            <w:pPr>
              <w:ind w:left="40"/>
              <w:spacing w:after="0"/>
              <w:rPr>
                <w:sz w:val="20"/>
                <w:szCs w:val="20"/>
                <w:color w:val="auto"/>
              </w:rPr>
            </w:pPr>
            <w:r>
              <w:rPr>
                <w:rFonts w:ascii="Arial" w:cs="Arial" w:eastAsia="Arial" w:hAnsi="Arial"/>
                <w:sz w:val="18"/>
                <w:szCs w:val="18"/>
                <w:color w:val="auto"/>
              </w:rPr>
              <w:t>Net (income) loss attributable to noncontrolling interests</w:t>
            </w:r>
          </w:p>
        </w:tc>
        <w:tc>
          <w:tcPr>
            <w:tcW w:w="35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w:t>
            </w:r>
          </w:p>
        </w:tc>
        <w:tc>
          <w:tcPr>
            <w:tcW w:w="4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7"/>
        </w:trPr>
        <w:tc>
          <w:tcPr>
            <w:tcW w:w="492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NBCUniversal</w:t>
            </w:r>
          </w:p>
        </w:tc>
        <w:tc>
          <w:tcPr>
            <w:tcW w:w="39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b w:val="1"/>
                <w:bCs w:val="1"/>
                <w:color w:val="auto"/>
              </w:rPr>
              <w:t>1,200</w:t>
            </w: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1,002</w:t>
            </w:r>
          </w:p>
        </w:tc>
      </w:tr>
      <w:tr>
        <w:trPr>
          <w:trHeight w:val="34"/>
        </w:trPr>
        <w:tc>
          <w:tcPr>
            <w:tcW w:w="492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1"/>
        </w:trPr>
        <w:tc>
          <w:tcPr>
            <w:tcW w:w="4920" w:type="dxa"/>
            <w:vAlign w:val="bottom"/>
          </w:tcPr>
          <w:p>
            <w:pPr>
              <w:spacing w:after="0"/>
              <w:rPr>
                <w:sz w:val="20"/>
                <w:szCs w:val="20"/>
                <w:color w:val="auto"/>
              </w:rPr>
            </w:pPr>
            <w:r>
              <w:rPr>
                <w:rFonts w:ascii="Arial" w:cs="Arial" w:eastAsia="Arial" w:hAnsi="Arial"/>
                <w:sz w:val="14"/>
                <w:szCs w:val="14"/>
                <w:color w:val="auto"/>
              </w:rPr>
              <w:t>See accompanying notes to condensed consolidated financial statements.</w:t>
            </w:r>
          </w:p>
        </w:tc>
        <w:tc>
          <w:tcPr>
            <w:tcW w:w="3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539"/>
        </w:trPr>
        <w:tc>
          <w:tcPr>
            <w:tcW w:w="4920" w:type="dxa"/>
            <w:vAlign w:val="bottom"/>
          </w:tcPr>
          <w:p>
            <w:pPr>
              <w:spacing w:after="0"/>
              <w:rPr>
                <w:sz w:val="24"/>
                <w:szCs w:val="24"/>
                <w:color w:val="auto"/>
              </w:rPr>
            </w:pPr>
          </w:p>
        </w:tc>
        <w:tc>
          <w:tcPr>
            <w:tcW w:w="3540" w:type="dxa"/>
            <w:vAlign w:val="bottom"/>
          </w:tcPr>
          <w:p>
            <w:pPr>
              <w:jc w:val="right"/>
              <w:ind w:right="2570"/>
              <w:spacing w:after="0"/>
              <w:rPr>
                <w:sz w:val="20"/>
                <w:szCs w:val="20"/>
                <w:color w:val="auto"/>
              </w:rPr>
            </w:pPr>
            <w:r>
              <w:rPr>
                <w:rFonts w:ascii="Arial" w:cs="Arial" w:eastAsia="Arial" w:hAnsi="Arial"/>
                <w:sz w:val="18"/>
                <w:szCs w:val="18"/>
                <w:color w:val="auto"/>
              </w:rPr>
              <w:t>40</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Comprehensive Income</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0" w:type="dxa"/>
            <w:vAlign w:val="bottom"/>
            <w:gridSpan w:val="3"/>
          </w:tcPr>
          <w:p>
            <w:pPr>
              <w:jc w:val="right"/>
              <w:ind w:right="772"/>
              <w:spacing w:after="0"/>
              <w:rPr>
                <w:sz w:val="20"/>
                <w:szCs w:val="20"/>
                <w:color w:val="auto"/>
              </w:rPr>
            </w:pPr>
            <w:r>
              <w:rPr>
                <w:rFonts w:ascii="Arial" w:cs="Arial" w:eastAsia="Arial" w:hAnsi="Arial"/>
                <w:sz w:val="14"/>
                <w:szCs w:val="14"/>
                <w:color w:val="auto"/>
              </w:rPr>
              <w:t>Three Months Ended</w:t>
            </w:r>
          </w:p>
        </w:tc>
      </w:tr>
      <w:tr>
        <w:trPr>
          <w:trHeight w:val="188"/>
        </w:trPr>
        <w:tc>
          <w:tcPr>
            <w:tcW w:w="55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color w:val="auto"/>
              </w:rPr>
              <w:t>March 31</w:t>
            </w:r>
          </w:p>
        </w:tc>
        <w:tc>
          <w:tcPr>
            <w:tcW w:w="1040" w:type="dxa"/>
            <w:vAlign w:val="bottom"/>
            <w:tcBorders>
              <w:bottom w:val="single" w:sz="8" w:color="auto"/>
            </w:tcBorders>
          </w:tcPr>
          <w:p>
            <w:pPr>
              <w:spacing w:after="0"/>
              <w:rPr>
                <w:sz w:val="16"/>
                <w:szCs w:val="16"/>
                <w:color w:val="auto"/>
              </w:rPr>
            </w:pPr>
          </w:p>
        </w:tc>
      </w:tr>
      <w:tr>
        <w:trPr>
          <w:trHeight w:val="196"/>
        </w:trPr>
        <w:tc>
          <w:tcPr>
            <w:tcW w:w="5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9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color w:val="auto"/>
              </w:rPr>
              <w:t>2017</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color w:val="auto"/>
              </w:rPr>
              <w:t>2016</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1,273</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1,082</w:t>
            </w:r>
          </w:p>
        </w:tc>
      </w:tr>
      <w:tr>
        <w:trPr>
          <w:trHeight w:val="270"/>
        </w:trPr>
        <w:tc>
          <w:tcPr>
            <w:tcW w:w="5520" w:type="dxa"/>
            <w:vAlign w:val="bottom"/>
          </w:tcPr>
          <w:p>
            <w:pPr>
              <w:ind w:left="40"/>
              <w:spacing w:after="0"/>
              <w:rPr>
                <w:sz w:val="20"/>
                <w:szCs w:val="20"/>
                <w:color w:val="auto"/>
              </w:rPr>
            </w:pPr>
            <w:r>
              <w:rPr>
                <w:rFonts w:ascii="Arial" w:cs="Arial" w:eastAsia="Arial" w:hAnsi="Arial"/>
                <w:sz w:val="18"/>
                <w:szCs w:val="18"/>
                <w:color w:val="auto"/>
              </w:rPr>
              <w:t>Unrealized gains (losses) on marketable securities, net</w:t>
            </w:r>
          </w:p>
        </w:tc>
        <w:tc>
          <w:tcPr>
            <w:tcW w:w="29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5520" w:type="dxa"/>
            <w:vAlign w:val="bottom"/>
          </w:tcPr>
          <w:p>
            <w:pPr>
              <w:ind w:left="40"/>
              <w:spacing w:after="0"/>
              <w:rPr>
                <w:sz w:val="20"/>
                <w:szCs w:val="20"/>
                <w:color w:val="auto"/>
              </w:rPr>
            </w:pPr>
            <w:r>
              <w:rPr>
                <w:rFonts w:ascii="Arial" w:cs="Arial" w:eastAsia="Arial" w:hAnsi="Arial"/>
                <w:sz w:val="18"/>
                <w:szCs w:val="18"/>
                <w:color w:val="auto"/>
              </w:rPr>
              <w:t>Deferred gains (losses) on cash flow hedges, net</w:t>
            </w:r>
          </w:p>
        </w:tc>
        <w:tc>
          <w:tcPr>
            <w:tcW w:w="29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c>
          <w:tcPr>
            <w:tcW w:w="4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0"/>
        </w:trPr>
        <w:tc>
          <w:tcPr>
            <w:tcW w:w="5520" w:type="dxa"/>
            <w:vAlign w:val="bottom"/>
          </w:tcPr>
          <w:p>
            <w:pPr>
              <w:ind w:left="40"/>
              <w:spacing w:after="0"/>
              <w:rPr>
                <w:sz w:val="20"/>
                <w:szCs w:val="20"/>
                <w:color w:val="auto"/>
              </w:rPr>
            </w:pPr>
            <w:r>
              <w:rPr>
                <w:rFonts w:ascii="Arial" w:cs="Arial" w:eastAsia="Arial" w:hAnsi="Arial"/>
                <w:sz w:val="18"/>
                <w:szCs w:val="18"/>
                <w:color w:val="auto"/>
              </w:rPr>
              <w:t>Employee benefit obligations, net</w:t>
            </w:r>
          </w:p>
        </w:tc>
        <w:tc>
          <w:tcPr>
            <w:tcW w:w="29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106</w:t>
            </w:r>
          </w:p>
        </w:tc>
        <w:tc>
          <w:tcPr>
            <w:tcW w:w="44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w:t>
            </w:r>
          </w:p>
        </w:tc>
      </w:tr>
      <w:tr>
        <w:trPr>
          <w:trHeight w:val="270"/>
        </w:trPr>
        <w:tc>
          <w:tcPr>
            <w:tcW w:w="5520" w:type="dxa"/>
            <w:vAlign w:val="bottom"/>
          </w:tcPr>
          <w:p>
            <w:pPr>
              <w:ind w:left="40"/>
              <w:spacing w:after="0"/>
              <w:rPr>
                <w:sz w:val="20"/>
                <w:szCs w:val="20"/>
                <w:color w:val="auto"/>
              </w:rPr>
            </w:pPr>
            <w:r>
              <w:rPr>
                <w:rFonts w:ascii="Arial" w:cs="Arial" w:eastAsia="Arial" w:hAnsi="Arial"/>
                <w:sz w:val="18"/>
                <w:szCs w:val="18"/>
                <w:color w:val="auto"/>
              </w:rPr>
              <w:t>Currency translation adjustments, net</w:t>
            </w:r>
          </w:p>
        </w:tc>
        <w:tc>
          <w:tcPr>
            <w:tcW w:w="29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200</w:t>
            </w:r>
          </w:p>
        </w:tc>
        <w:tc>
          <w:tcPr>
            <w:tcW w:w="44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295</w:t>
            </w:r>
          </w:p>
        </w:tc>
      </w:tr>
      <w:tr>
        <w:trPr>
          <w:trHeight w:val="27"/>
        </w:trPr>
        <w:tc>
          <w:tcPr>
            <w:tcW w:w="552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52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2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1,566</w:t>
            </w:r>
          </w:p>
        </w:tc>
        <w:tc>
          <w:tcPr>
            <w:tcW w:w="44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1,363</w:t>
            </w:r>
          </w:p>
        </w:tc>
      </w:tr>
      <w:tr>
        <w:trPr>
          <w:trHeight w:val="270"/>
        </w:trPr>
        <w:tc>
          <w:tcPr>
            <w:tcW w:w="5520" w:type="dxa"/>
            <w:vAlign w:val="bottom"/>
          </w:tcPr>
          <w:p>
            <w:pPr>
              <w:ind w:left="40"/>
              <w:spacing w:after="0"/>
              <w:rPr>
                <w:sz w:val="20"/>
                <w:szCs w:val="20"/>
                <w:color w:val="auto"/>
              </w:rPr>
            </w:pPr>
            <w:r>
              <w:rPr>
                <w:rFonts w:ascii="Arial" w:cs="Arial" w:eastAsia="Arial" w:hAnsi="Arial"/>
                <w:sz w:val="18"/>
                <w:szCs w:val="18"/>
                <w:color w:val="auto"/>
              </w:rPr>
              <w:t>Net (income) loss attributable to noncontrolling interests</w:t>
            </w:r>
          </w:p>
        </w:tc>
        <w:tc>
          <w:tcPr>
            <w:tcW w:w="29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w:t>
            </w:r>
          </w:p>
        </w:tc>
        <w:tc>
          <w:tcPr>
            <w:tcW w:w="4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70"/>
        </w:trPr>
        <w:tc>
          <w:tcPr>
            <w:tcW w:w="5520" w:type="dxa"/>
            <w:vAlign w:val="bottom"/>
          </w:tcPr>
          <w:p>
            <w:pPr>
              <w:ind w:left="40"/>
              <w:spacing w:after="0"/>
              <w:rPr>
                <w:sz w:val="20"/>
                <w:szCs w:val="20"/>
                <w:color w:val="auto"/>
              </w:rPr>
            </w:pPr>
            <w:r>
              <w:rPr>
                <w:rFonts w:ascii="Arial" w:cs="Arial" w:eastAsia="Arial" w:hAnsi="Arial"/>
                <w:sz w:val="18"/>
                <w:szCs w:val="18"/>
                <w:color w:val="auto"/>
                <w:w w:val="92"/>
              </w:rPr>
              <w:t>Other comprehensive (income) loss attributable to noncontrolling interests</w:t>
            </w:r>
          </w:p>
        </w:tc>
        <w:tc>
          <w:tcPr>
            <w:tcW w:w="29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w:t>
            </w:r>
          </w:p>
        </w:tc>
        <w:tc>
          <w:tcPr>
            <w:tcW w:w="4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7"/>
        </w:trPr>
        <w:tc>
          <w:tcPr>
            <w:tcW w:w="552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52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attributable to NBCUniversal</w:t>
            </w:r>
          </w:p>
        </w:tc>
        <w:tc>
          <w:tcPr>
            <w:tcW w:w="33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b w:val="1"/>
                <w:bCs w:val="1"/>
                <w:color w:val="auto"/>
              </w:rPr>
              <w:t>1,406</w:t>
            </w: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b w:val="1"/>
                <w:bCs w:val="1"/>
                <w:color w:val="auto"/>
              </w:rPr>
              <w:t>1,146</w:t>
            </w:r>
          </w:p>
        </w:tc>
      </w:tr>
      <w:tr>
        <w:trPr>
          <w:trHeight w:val="34"/>
        </w:trPr>
        <w:tc>
          <w:tcPr>
            <w:tcW w:w="552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1"/>
        </w:trPr>
        <w:tc>
          <w:tcPr>
            <w:tcW w:w="5520" w:type="dxa"/>
            <w:vAlign w:val="bottom"/>
          </w:tcPr>
          <w:p>
            <w:pPr>
              <w:spacing w:after="0"/>
              <w:rPr>
                <w:sz w:val="20"/>
                <w:szCs w:val="20"/>
                <w:color w:val="auto"/>
              </w:rPr>
            </w:pPr>
            <w:r>
              <w:rPr>
                <w:rFonts w:ascii="Arial" w:cs="Arial" w:eastAsia="Arial" w:hAnsi="Arial"/>
                <w:sz w:val="14"/>
                <w:szCs w:val="14"/>
                <w:color w:val="auto"/>
              </w:rPr>
              <w:t>See accompanying notes to condensed consolidated financial statements.</w:t>
            </w:r>
          </w:p>
        </w:tc>
        <w:tc>
          <w:tcPr>
            <w:tcW w:w="2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539"/>
        </w:trPr>
        <w:tc>
          <w:tcPr>
            <w:tcW w:w="5520" w:type="dxa"/>
            <w:vAlign w:val="bottom"/>
          </w:tcPr>
          <w:p>
            <w:pPr>
              <w:spacing w:after="0"/>
              <w:rPr>
                <w:sz w:val="24"/>
                <w:szCs w:val="24"/>
                <w:color w:val="auto"/>
              </w:rPr>
            </w:pPr>
          </w:p>
        </w:tc>
        <w:tc>
          <w:tcPr>
            <w:tcW w:w="2940" w:type="dxa"/>
            <w:vAlign w:val="bottom"/>
          </w:tcPr>
          <w:p>
            <w:pPr>
              <w:jc w:val="right"/>
              <w:ind w:right="2570"/>
              <w:spacing w:after="0"/>
              <w:rPr>
                <w:sz w:val="20"/>
                <w:szCs w:val="20"/>
                <w:color w:val="auto"/>
              </w:rPr>
            </w:pPr>
            <w:r>
              <w:rPr>
                <w:rFonts w:ascii="Arial" w:cs="Arial" w:eastAsia="Arial" w:hAnsi="Arial"/>
                <w:sz w:val="18"/>
                <w:szCs w:val="18"/>
                <w:color w:val="auto"/>
              </w:rPr>
              <w:t>41</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0" w:type="dxa"/>
            <w:vAlign w:val="bottom"/>
            <w:gridSpan w:val="3"/>
          </w:tcPr>
          <w:p>
            <w:pPr>
              <w:jc w:val="right"/>
              <w:ind w:right="771"/>
              <w:spacing w:after="0"/>
              <w:rPr>
                <w:sz w:val="20"/>
                <w:szCs w:val="20"/>
                <w:color w:val="auto"/>
              </w:rPr>
            </w:pPr>
            <w:r>
              <w:rPr>
                <w:rFonts w:ascii="Arial" w:cs="Arial" w:eastAsia="Arial" w:hAnsi="Arial"/>
                <w:sz w:val="14"/>
                <w:szCs w:val="14"/>
                <w:color w:val="auto"/>
              </w:rPr>
              <w:t>Three Months Ended</w:t>
            </w:r>
          </w:p>
        </w:tc>
      </w:tr>
      <w:tr>
        <w:trPr>
          <w:trHeight w:val="188"/>
        </w:trPr>
        <w:tc>
          <w:tcPr>
            <w:tcW w:w="524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color w:val="auto"/>
              </w:rPr>
              <w:t>March 31</w:t>
            </w:r>
          </w:p>
        </w:tc>
        <w:tc>
          <w:tcPr>
            <w:tcW w:w="1040" w:type="dxa"/>
            <w:vAlign w:val="bottom"/>
            <w:tcBorders>
              <w:bottom w:val="single" w:sz="8" w:color="auto"/>
            </w:tcBorders>
          </w:tcPr>
          <w:p>
            <w:pPr>
              <w:spacing w:after="0"/>
              <w:rPr>
                <w:sz w:val="16"/>
                <w:szCs w:val="16"/>
                <w:color w:val="auto"/>
              </w:rPr>
            </w:pPr>
          </w:p>
        </w:tc>
      </w:tr>
      <w:tr>
        <w:trPr>
          <w:trHeight w:val="196"/>
        </w:trPr>
        <w:tc>
          <w:tcPr>
            <w:tcW w:w="5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2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color w:val="auto"/>
              </w:rPr>
              <w:t>2017</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2016</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35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b w:val="1"/>
                <w:bCs w:val="1"/>
                <w:color w:val="auto"/>
              </w:rPr>
              <w:t>1,477</w:t>
            </w: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1,177</w:t>
            </w:r>
          </w:p>
        </w:tc>
      </w:tr>
      <w:tr>
        <w:trPr>
          <w:trHeight w:val="27"/>
        </w:trPr>
        <w:tc>
          <w:tcPr>
            <w:tcW w:w="524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24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0"/>
        </w:trPr>
        <w:tc>
          <w:tcPr>
            <w:tcW w:w="5240" w:type="dxa"/>
            <w:vAlign w:val="bottom"/>
          </w:tcPr>
          <w:p>
            <w:pPr>
              <w:ind w:left="380"/>
              <w:spacing w:after="0"/>
              <w:rPr>
                <w:sz w:val="20"/>
                <w:szCs w:val="20"/>
                <w:color w:val="auto"/>
              </w:rPr>
            </w:pPr>
            <w:r>
              <w:rPr>
                <w:rFonts w:ascii="Arial" w:cs="Arial" w:eastAsia="Arial" w:hAnsi="Arial"/>
                <w:sz w:val="18"/>
                <w:szCs w:val="18"/>
                <w:color w:val="auto"/>
              </w:rPr>
              <w:t>Capital expenditures</w:t>
            </w:r>
          </w:p>
        </w:tc>
        <w:tc>
          <w:tcPr>
            <w:tcW w:w="3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(285)</w:t>
            </w:r>
          </w:p>
        </w:tc>
        <w:tc>
          <w:tcPr>
            <w:tcW w:w="4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(295)</w:t>
            </w:r>
          </w:p>
        </w:tc>
      </w:tr>
      <w:tr>
        <w:trPr>
          <w:trHeight w:val="270"/>
        </w:trPr>
        <w:tc>
          <w:tcPr>
            <w:tcW w:w="5240" w:type="dxa"/>
            <w:vAlign w:val="bottom"/>
          </w:tcPr>
          <w:p>
            <w:pPr>
              <w:ind w:left="380"/>
              <w:spacing w:after="0"/>
              <w:rPr>
                <w:sz w:val="20"/>
                <w:szCs w:val="20"/>
                <w:color w:val="auto"/>
              </w:rPr>
            </w:pPr>
            <w:r>
              <w:rPr>
                <w:rFonts w:ascii="Arial" w:cs="Arial" w:eastAsia="Arial" w:hAnsi="Arial"/>
                <w:sz w:val="18"/>
                <w:szCs w:val="18"/>
                <w:color w:val="auto"/>
              </w:rPr>
              <w:t>Cash paid for intangible assets</w:t>
            </w:r>
          </w:p>
        </w:tc>
        <w:tc>
          <w:tcPr>
            <w:tcW w:w="3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w:t>
            </w:r>
          </w:p>
        </w:tc>
        <w:tc>
          <w:tcPr>
            <w:tcW w:w="4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0"/>
        </w:trPr>
        <w:tc>
          <w:tcPr>
            <w:tcW w:w="5240" w:type="dxa"/>
            <w:vAlign w:val="bottom"/>
          </w:tcPr>
          <w:p>
            <w:pPr>
              <w:ind w:left="380"/>
              <w:spacing w:after="0"/>
              <w:rPr>
                <w:sz w:val="20"/>
                <w:szCs w:val="20"/>
                <w:color w:val="auto"/>
              </w:rPr>
            </w:pPr>
            <w:r>
              <w:rPr>
                <w:rFonts w:ascii="Arial" w:cs="Arial" w:eastAsia="Arial" w:hAnsi="Arial"/>
                <w:sz w:val="18"/>
                <w:szCs w:val="18"/>
                <w:color w:val="auto"/>
              </w:rPr>
              <w:t>Acquisitions of real estate properties</w:t>
            </w:r>
          </w:p>
        </w:tc>
        <w:tc>
          <w:tcPr>
            <w:tcW w:w="3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70"/>
        </w:trPr>
        <w:tc>
          <w:tcPr>
            <w:tcW w:w="5240" w:type="dxa"/>
            <w:vAlign w:val="bottom"/>
          </w:tcPr>
          <w:p>
            <w:pPr>
              <w:ind w:left="380"/>
              <w:spacing w:after="0"/>
              <w:rPr>
                <w:sz w:val="20"/>
                <w:szCs w:val="20"/>
                <w:color w:val="auto"/>
              </w:rPr>
            </w:pPr>
            <w:r>
              <w:rPr>
                <w:rFonts w:ascii="Arial" w:cs="Arial" w:eastAsia="Arial" w:hAnsi="Arial"/>
                <w:sz w:val="18"/>
                <w:szCs w:val="18"/>
                <w:color w:val="auto"/>
              </w:rPr>
              <w:t>Proceeds from sales of investments</w:t>
            </w:r>
          </w:p>
        </w:tc>
        <w:tc>
          <w:tcPr>
            <w:tcW w:w="3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4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101</w:t>
            </w:r>
          </w:p>
        </w:tc>
      </w:tr>
      <w:tr>
        <w:trPr>
          <w:trHeight w:val="270"/>
        </w:trPr>
        <w:tc>
          <w:tcPr>
            <w:tcW w:w="5240" w:type="dxa"/>
            <w:vAlign w:val="bottom"/>
          </w:tcPr>
          <w:p>
            <w:pPr>
              <w:ind w:left="380"/>
              <w:spacing w:after="0"/>
              <w:rPr>
                <w:sz w:val="20"/>
                <w:szCs w:val="20"/>
                <w:color w:val="auto"/>
              </w:rPr>
            </w:pPr>
            <w:r>
              <w:rPr>
                <w:rFonts w:ascii="Arial" w:cs="Arial" w:eastAsia="Arial" w:hAnsi="Arial"/>
                <w:sz w:val="18"/>
                <w:szCs w:val="18"/>
                <w:color w:val="auto"/>
              </w:rPr>
              <w:t>Other</w:t>
            </w:r>
          </w:p>
        </w:tc>
        <w:tc>
          <w:tcPr>
            <w:tcW w:w="3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w:t>
            </w:r>
          </w:p>
        </w:tc>
        <w:tc>
          <w:tcPr>
            <w:tcW w:w="4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524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24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3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(435)</w:t>
            </w: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(338)</w:t>
            </w:r>
          </w:p>
        </w:tc>
      </w:tr>
      <w:tr>
        <w:trPr>
          <w:trHeight w:val="27"/>
        </w:trPr>
        <w:tc>
          <w:tcPr>
            <w:tcW w:w="524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24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0"/>
        </w:trPr>
        <w:tc>
          <w:tcPr>
            <w:tcW w:w="5240" w:type="dxa"/>
            <w:vAlign w:val="bottom"/>
          </w:tcPr>
          <w:p>
            <w:pPr>
              <w:ind w:left="380"/>
              <w:spacing w:after="0"/>
              <w:rPr>
                <w:sz w:val="20"/>
                <w:szCs w:val="20"/>
                <w:color w:val="auto"/>
              </w:rPr>
            </w:pPr>
            <w:r>
              <w:rPr>
                <w:rFonts w:ascii="Arial" w:cs="Arial" w:eastAsia="Arial" w:hAnsi="Arial"/>
                <w:sz w:val="18"/>
                <w:szCs w:val="18"/>
                <w:color w:val="auto"/>
              </w:rPr>
              <w:t>Repurchases and repayments of debt</w:t>
            </w:r>
          </w:p>
        </w:tc>
        <w:tc>
          <w:tcPr>
            <w:tcW w:w="3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w:t>
            </w:r>
          </w:p>
        </w:tc>
        <w:tc>
          <w:tcPr>
            <w:tcW w:w="4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0"/>
        </w:trPr>
        <w:tc>
          <w:tcPr>
            <w:tcW w:w="5240" w:type="dxa"/>
            <w:vAlign w:val="bottom"/>
          </w:tcPr>
          <w:p>
            <w:pPr>
              <w:ind w:left="380"/>
              <w:spacing w:after="0"/>
              <w:rPr>
                <w:sz w:val="20"/>
                <w:szCs w:val="20"/>
                <w:color w:val="auto"/>
              </w:rPr>
            </w:pPr>
            <w:r>
              <w:rPr>
                <w:rFonts w:ascii="Arial" w:cs="Arial" w:eastAsia="Arial" w:hAnsi="Arial"/>
                <w:sz w:val="18"/>
                <w:szCs w:val="18"/>
                <w:color w:val="auto"/>
                <w:w w:val="98"/>
              </w:rPr>
              <w:t>Proceeds from (repayments of) borrowings from Comcast, net</w:t>
            </w:r>
          </w:p>
        </w:tc>
        <w:tc>
          <w:tcPr>
            <w:tcW w:w="3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(849)</w:t>
            </w:r>
          </w:p>
        </w:tc>
        <w:tc>
          <w:tcPr>
            <w:tcW w:w="4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(875)</w:t>
            </w:r>
          </w:p>
        </w:tc>
      </w:tr>
      <w:tr>
        <w:trPr>
          <w:trHeight w:val="270"/>
        </w:trPr>
        <w:tc>
          <w:tcPr>
            <w:tcW w:w="5240" w:type="dxa"/>
            <w:vAlign w:val="bottom"/>
          </w:tcPr>
          <w:p>
            <w:pPr>
              <w:ind w:left="380"/>
              <w:spacing w:after="0"/>
              <w:rPr>
                <w:sz w:val="20"/>
                <w:szCs w:val="20"/>
                <w:color w:val="auto"/>
              </w:rPr>
            </w:pPr>
            <w:r>
              <w:rPr>
                <w:rFonts w:ascii="Arial" w:cs="Arial" w:eastAsia="Arial" w:hAnsi="Arial"/>
                <w:sz w:val="18"/>
                <w:szCs w:val="18"/>
                <w:color w:val="auto"/>
              </w:rPr>
              <w:t>Distributions to member</w:t>
            </w:r>
          </w:p>
        </w:tc>
        <w:tc>
          <w:tcPr>
            <w:tcW w:w="3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(195)</w:t>
            </w:r>
          </w:p>
        </w:tc>
        <w:tc>
          <w:tcPr>
            <w:tcW w:w="4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70"/>
        </w:trPr>
        <w:tc>
          <w:tcPr>
            <w:tcW w:w="5240" w:type="dxa"/>
            <w:vAlign w:val="bottom"/>
          </w:tcPr>
          <w:p>
            <w:pPr>
              <w:ind w:left="380"/>
              <w:spacing w:after="0"/>
              <w:rPr>
                <w:sz w:val="20"/>
                <w:szCs w:val="20"/>
                <w:color w:val="auto"/>
              </w:rPr>
            </w:pPr>
            <w:r>
              <w:rPr>
                <w:rFonts w:ascii="Arial" w:cs="Arial" w:eastAsia="Arial" w:hAnsi="Arial"/>
                <w:sz w:val="18"/>
                <w:szCs w:val="18"/>
                <w:color w:val="auto"/>
              </w:rPr>
              <w:t>Distributions to noncontrolling interests</w:t>
            </w:r>
          </w:p>
        </w:tc>
        <w:tc>
          <w:tcPr>
            <w:tcW w:w="3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w:t>
            </w:r>
          </w:p>
        </w:tc>
        <w:tc>
          <w:tcPr>
            <w:tcW w:w="4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0"/>
        </w:trPr>
        <w:tc>
          <w:tcPr>
            <w:tcW w:w="5240" w:type="dxa"/>
            <w:vAlign w:val="bottom"/>
          </w:tcPr>
          <w:p>
            <w:pPr>
              <w:ind w:left="380"/>
              <w:spacing w:after="0"/>
              <w:rPr>
                <w:sz w:val="20"/>
                <w:szCs w:val="20"/>
                <w:color w:val="auto"/>
              </w:rPr>
            </w:pPr>
            <w:r>
              <w:rPr>
                <w:rFonts w:ascii="Arial" w:cs="Arial" w:eastAsia="Arial" w:hAnsi="Arial"/>
                <w:sz w:val="18"/>
                <w:szCs w:val="18"/>
                <w:color w:val="auto"/>
              </w:rPr>
              <w:t>Other</w:t>
            </w:r>
          </w:p>
        </w:tc>
        <w:tc>
          <w:tcPr>
            <w:tcW w:w="3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28</w:t>
            </w:r>
          </w:p>
        </w:tc>
        <w:tc>
          <w:tcPr>
            <w:tcW w:w="4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24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24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3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(1,126)</w:t>
            </w: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(1,168)</w:t>
            </w:r>
          </w:p>
        </w:tc>
      </w:tr>
      <w:tr>
        <w:trPr>
          <w:trHeight w:val="27"/>
        </w:trPr>
        <w:tc>
          <w:tcPr>
            <w:tcW w:w="524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240" w:type="dxa"/>
            <w:vAlign w:val="bottom"/>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3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w:t>
            </w: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(329)</w:t>
            </w:r>
          </w:p>
        </w:tc>
      </w:tr>
      <w:tr>
        <w:trPr>
          <w:trHeight w:val="270"/>
        </w:trPr>
        <w:tc>
          <w:tcPr>
            <w:tcW w:w="524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3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1,966</w:t>
            </w:r>
          </w:p>
        </w:tc>
        <w:tc>
          <w:tcPr>
            <w:tcW w:w="4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1,410</w:t>
            </w:r>
          </w:p>
        </w:tc>
      </w:tr>
      <w:tr>
        <w:trPr>
          <w:trHeight w:val="27"/>
        </w:trPr>
        <w:tc>
          <w:tcPr>
            <w:tcW w:w="524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24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35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b w:val="1"/>
                <w:bCs w:val="1"/>
                <w:color w:val="auto"/>
              </w:rPr>
              <w:t>1,882</w:t>
            </w: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1,081</w:t>
            </w:r>
          </w:p>
        </w:tc>
      </w:tr>
      <w:tr>
        <w:trPr>
          <w:trHeight w:val="34"/>
        </w:trPr>
        <w:tc>
          <w:tcPr>
            <w:tcW w:w="524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1"/>
        </w:trPr>
        <w:tc>
          <w:tcPr>
            <w:tcW w:w="5240" w:type="dxa"/>
            <w:vAlign w:val="bottom"/>
          </w:tcPr>
          <w:p>
            <w:pPr>
              <w:spacing w:after="0"/>
              <w:rPr>
                <w:sz w:val="20"/>
                <w:szCs w:val="20"/>
                <w:color w:val="auto"/>
              </w:rPr>
            </w:pPr>
            <w:r>
              <w:rPr>
                <w:rFonts w:ascii="Arial" w:cs="Arial" w:eastAsia="Arial" w:hAnsi="Arial"/>
                <w:sz w:val="14"/>
                <w:szCs w:val="14"/>
                <w:color w:val="auto"/>
              </w:rPr>
              <w:t>See accompanying notes to condensed consolidated financial statements.</w:t>
            </w:r>
          </w:p>
        </w:tc>
        <w:tc>
          <w:tcPr>
            <w:tcW w:w="3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957"/>
        </w:trPr>
        <w:tc>
          <w:tcPr>
            <w:tcW w:w="5240" w:type="dxa"/>
            <w:vAlign w:val="bottom"/>
          </w:tcPr>
          <w:p>
            <w:pPr>
              <w:spacing w:after="0"/>
              <w:rPr>
                <w:sz w:val="24"/>
                <w:szCs w:val="24"/>
                <w:color w:val="auto"/>
              </w:rPr>
            </w:pPr>
          </w:p>
        </w:tc>
        <w:tc>
          <w:tcPr>
            <w:tcW w:w="3220" w:type="dxa"/>
            <w:vAlign w:val="bottom"/>
          </w:tcPr>
          <w:p>
            <w:pPr>
              <w:jc w:val="right"/>
              <w:ind w:right="2570"/>
              <w:spacing w:after="0"/>
              <w:rPr>
                <w:sz w:val="20"/>
                <w:szCs w:val="20"/>
                <w:color w:val="auto"/>
              </w:rPr>
            </w:pPr>
            <w:r>
              <w:rPr>
                <w:rFonts w:ascii="Arial" w:cs="Arial" w:eastAsia="Arial" w:hAnsi="Arial"/>
                <w:sz w:val="18"/>
                <w:szCs w:val="18"/>
                <w:color w:val="auto"/>
              </w:rPr>
              <w:t>42</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77"/>
              <w:spacing w:after="0"/>
              <w:rPr>
                <w:sz w:val="20"/>
                <w:szCs w:val="20"/>
                <w:color w:val="auto"/>
              </w:rPr>
            </w:pPr>
            <w:r>
              <w:rPr>
                <w:rFonts w:ascii="Arial" w:cs="Arial" w:eastAsia="Arial" w:hAnsi="Arial"/>
                <w:sz w:val="14"/>
                <w:szCs w:val="14"/>
                <w:color w:val="auto"/>
                <w:w w:val="96"/>
              </w:rPr>
              <w:t>Accumulated</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49"/>
        </w:trPr>
        <w:tc>
          <w:tcPr>
            <w:tcW w:w="4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Borders>
              <w:right w:val="single" w:sz="8" w:color="auto"/>
            </w:tcBorders>
          </w:tcPr>
          <w:p>
            <w:pPr>
              <w:jc w:val="center"/>
              <w:ind w:right="114"/>
              <w:spacing w:after="0" w:line="149" w:lineRule="exact"/>
              <w:rPr>
                <w:sz w:val="20"/>
                <w:szCs w:val="20"/>
                <w:color w:val="auto"/>
              </w:rPr>
            </w:pPr>
            <w:r>
              <w:rPr>
                <w:rFonts w:ascii="Arial" w:cs="Arial" w:eastAsia="Arial" w:hAnsi="Arial"/>
                <w:sz w:val="14"/>
                <w:szCs w:val="14"/>
                <w:color w:val="auto"/>
                <w:w w:val="88"/>
              </w:rPr>
              <w:t>Redeemable</w:t>
            </w: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center"/>
              <w:ind w:right="77"/>
              <w:spacing w:after="0" w:line="149" w:lineRule="exact"/>
              <w:rPr>
                <w:sz w:val="20"/>
                <w:szCs w:val="20"/>
                <w:color w:val="auto"/>
              </w:rPr>
            </w:pPr>
            <w:r>
              <w:rPr>
                <w:rFonts w:ascii="Arial" w:cs="Arial" w:eastAsia="Arial" w:hAnsi="Arial"/>
                <w:sz w:val="14"/>
                <w:szCs w:val="14"/>
                <w:color w:val="auto"/>
                <w:w w:val="96"/>
              </w:rPr>
              <w:t>Other</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9"/>
        </w:trPr>
        <w:tc>
          <w:tcPr>
            <w:tcW w:w="4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Borders>
              <w:right w:val="single" w:sz="8" w:color="auto"/>
            </w:tcBorders>
          </w:tcPr>
          <w:p>
            <w:pPr>
              <w:jc w:val="center"/>
              <w:ind w:right="134"/>
              <w:spacing w:after="0" w:line="149" w:lineRule="exact"/>
              <w:rPr>
                <w:sz w:val="20"/>
                <w:szCs w:val="20"/>
                <w:color w:val="auto"/>
              </w:rPr>
            </w:pPr>
            <w:r>
              <w:rPr>
                <w:rFonts w:ascii="Arial" w:cs="Arial" w:eastAsia="Arial" w:hAnsi="Arial"/>
                <w:sz w:val="14"/>
                <w:szCs w:val="14"/>
                <w:color w:val="auto"/>
                <w:w w:val="98"/>
              </w:rPr>
              <w:t>Noncontrolling</w:t>
            </w:r>
          </w:p>
        </w:tc>
        <w:tc>
          <w:tcPr>
            <w:tcW w:w="240" w:type="dxa"/>
            <w:vAlign w:val="bottom"/>
          </w:tcPr>
          <w:p>
            <w:pPr>
              <w:spacing w:after="0"/>
              <w:rPr>
                <w:sz w:val="12"/>
                <w:szCs w:val="12"/>
                <w:color w:val="auto"/>
              </w:rPr>
            </w:pPr>
          </w:p>
        </w:tc>
        <w:tc>
          <w:tcPr>
            <w:tcW w:w="1100" w:type="dxa"/>
            <w:vAlign w:val="bottom"/>
          </w:tcPr>
          <w:p>
            <w:pPr>
              <w:jc w:val="right"/>
              <w:ind w:right="293"/>
              <w:spacing w:after="0" w:line="149" w:lineRule="exact"/>
              <w:rPr>
                <w:sz w:val="20"/>
                <w:szCs w:val="20"/>
                <w:color w:val="auto"/>
              </w:rPr>
            </w:pPr>
            <w:r>
              <w:rPr>
                <w:rFonts w:ascii="Arial" w:cs="Arial" w:eastAsia="Arial" w:hAnsi="Arial"/>
                <w:sz w:val="14"/>
                <w:szCs w:val="14"/>
                <w:color w:val="auto"/>
              </w:rPr>
              <w:t>Member’s</w:t>
            </w:r>
          </w:p>
        </w:tc>
        <w:tc>
          <w:tcPr>
            <w:tcW w:w="180" w:type="dxa"/>
            <w:vAlign w:val="bottom"/>
          </w:tcPr>
          <w:p>
            <w:pPr>
              <w:spacing w:after="0"/>
              <w:rPr>
                <w:sz w:val="12"/>
                <w:szCs w:val="12"/>
                <w:color w:val="auto"/>
              </w:rPr>
            </w:pPr>
          </w:p>
        </w:tc>
        <w:tc>
          <w:tcPr>
            <w:tcW w:w="1180" w:type="dxa"/>
            <w:vAlign w:val="bottom"/>
          </w:tcPr>
          <w:p>
            <w:pPr>
              <w:jc w:val="center"/>
              <w:ind w:right="77"/>
              <w:spacing w:after="0" w:line="149" w:lineRule="exact"/>
              <w:rPr>
                <w:sz w:val="20"/>
                <w:szCs w:val="20"/>
                <w:color w:val="auto"/>
              </w:rPr>
            </w:pPr>
            <w:r>
              <w:rPr>
                <w:rFonts w:ascii="Arial" w:cs="Arial" w:eastAsia="Arial" w:hAnsi="Arial"/>
                <w:sz w:val="14"/>
                <w:szCs w:val="14"/>
                <w:color w:val="auto"/>
                <w:w w:val="91"/>
              </w:rPr>
              <w:t>Comprehensive</w:t>
            </w:r>
          </w:p>
        </w:tc>
        <w:tc>
          <w:tcPr>
            <w:tcW w:w="200" w:type="dxa"/>
            <w:vAlign w:val="bottom"/>
          </w:tcPr>
          <w:p>
            <w:pPr>
              <w:spacing w:after="0"/>
              <w:rPr>
                <w:sz w:val="12"/>
                <w:szCs w:val="12"/>
                <w:color w:val="auto"/>
              </w:rPr>
            </w:pPr>
          </w:p>
        </w:tc>
        <w:tc>
          <w:tcPr>
            <w:tcW w:w="116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Noncontrolling</w:t>
            </w: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88"/>
        </w:trPr>
        <w:tc>
          <w:tcPr>
            <w:tcW w:w="4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right w:val="single" w:sz="8" w:color="auto"/>
            </w:tcBorders>
          </w:tcPr>
          <w:p>
            <w:pPr>
              <w:jc w:val="center"/>
              <w:ind w:right="114"/>
              <w:spacing w:after="0"/>
              <w:rPr>
                <w:sz w:val="20"/>
                <w:szCs w:val="20"/>
                <w:color w:val="auto"/>
              </w:rPr>
            </w:pPr>
            <w:r>
              <w:rPr>
                <w:rFonts w:ascii="Arial" w:cs="Arial" w:eastAsia="Arial" w:hAnsi="Arial"/>
                <w:sz w:val="14"/>
                <w:szCs w:val="14"/>
                <w:color w:val="auto"/>
                <w:w w:val="93"/>
              </w:rPr>
              <w:t>Interests</w:t>
            </w: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color w:val="auto"/>
              </w:rPr>
              <w:t>Capital</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color w:val="auto"/>
                <w:w w:val="92"/>
              </w:rPr>
              <w:t>Income (Loss)</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color w:val="auto"/>
              </w:rPr>
              <w:t>Interests</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Total Equity</w:t>
            </w: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Balance, December 31, 2015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auto"/>
            </w:tcBorders>
          </w:tcPr>
          <w:p>
            <w:pPr>
              <w:jc w:val="right"/>
              <w:ind w:right="54"/>
              <w:spacing w:after="0"/>
              <w:rPr>
                <w:sz w:val="20"/>
                <w:szCs w:val="20"/>
                <w:color w:val="auto"/>
              </w:rPr>
            </w:pPr>
            <w:r>
              <w:rPr>
                <w:rFonts w:ascii="Arial" w:cs="Arial" w:eastAsia="Arial" w:hAnsi="Arial"/>
                <w:sz w:val="18"/>
                <w:szCs w:val="18"/>
                <w:color w:val="auto"/>
              </w:rPr>
              <w:t>372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32,834</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1,681</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34,303</w:t>
            </w:r>
          </w:p>
        </w:tc>
      </w:tr>
      <w:tr>
        <w:trPr>
          <w:trHeight w:val="270"/>
        </w:trPr>
        <w:tc>
          <w:tcPr>
            <w:tcW w:w="4540" w:type="dxa"/>
            <w:vAlign w:val="bottom"/>
          </w:tcPr>
          <w:p>
            <w:pPr>
              <w:ind w:left="40"/>
              <w:spacing w:after="0"/>
              <w:rPr>
                <w:sz w:val="20"/>
                <w:szCs w:val="20"/>
                <w:color w:val="auto"/>
              </w:rPr>
            </w:pPr>
            <w:r>
              <w:rPr>
                <w:rFonts w:ascii="Arial" w:cs="Arial" w:eastAsia="Arial" w:hAnsi="Arial"/>
                <w:sz w:val="18"/>
                <w:szCs w:val="18"/>
                <w:color w:val="auto"/>
              </w:rPr>
              <w:t>Dividends declared</w:t>
            </w:r>
          </w:p>
        </w:tc>
        <w:tc>
          <w:tcPr>
            <w:tcW w:w="220" w:type="dxa"/>
            <w:vAlign w:val="bottom"/>
          </w:tcPr>
          <w:p>
            <w:pPr>
              <w:spacing w:after="0"/>
              <w:rPr>
                <w:sz w:val="23"/>
                <w:szCs w:val="23"/>
                <w:color w:val="auto"/>
              </w:rPr>
            </w:pPr>
          </w:p>
        </w:tc>
        <w:tc>
          <w:tcPr>
            <w:tcW w:w="1220" w:type="dxa"/>
            <w:vAlign w:val="bottom"/>
            <w:tcBorders>
              <w:right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(195)</w:t>
            </w: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56"/>
        </w:trPr>
        <w:tc>
          <w:tcPr>
            <w:tcW w:w="4540" w:type="dxa"/>
            <w:vAlign w:val="bottom"/>
          </w:tcPr>
          <w:p>
            <w:pPr>
              <w:ind w:left="40"/>
              <w:spacing w:after="0"/>
              <w:rPr>
                <w:sz w:val="20"/>
                <w:szCs w:val="20"/>
                <w:color w:val="auto"/>
              </w:rPr>
            </w:pPr>
            <w:r>
              <w:rPr>
                <w:rFonts w:ascii="Arial" w:cs="Arial" w:eastAsia="Arial" w:hAnsi="Arial"/>
                <w:sz w:val="18"/>
                <w:szCs w:val="18"/>
                <w:color w:val="auto"/>
                <w:w w:val="94"/>
              </w:rPr>
              <w:t>Contributions from (distributions to) noncontrolling interests,</w:t>
            </w:r>
          </w:p>
        </w:tc>
        <w:tc>
          <w:tcPr>
            <w:tcW w:w="220" w:type="dxa"/>
            <w:vAlign w:val="bottom"/>
          </w:tcPr>
          <w:p>
            <w:pPr>
              <w:spacing w:after="0"/>
              <w:rPr>
                <w:sz w:val="22"/>
                <w:szCs w:val="22"/>
                <w:color w:val="auto"/>
              </w:rPr>
            </w:pPr>
          </w:p>
        </w:tc>
        <w:tc>
          <w:tcPr>
            <w:tcW w:w="1220" w:type="dxa"/>
            <w:vAlign w:val="bottom"/>
            <w:tcBorders>
              <w:right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30"/>
        </w:trPr>
        <w:tc>
          <w:tcPr>
            <w:tcW w:w="4540" w:type="dxa"/>
            <w:vAlign w:val="bottom"/>
          </w:tcPr>
          <w:p>
            <w:pPr>
              <w:ind w:left="200"/>
              <w:spacing w:after="0"/>
              <w:rPr>
                <w:sz w:val="20"/>
                <w:szCs w:val="20"/>
                <w:color w:val="auto"/>
              </w:rPr>
            </w:pPr>
            <w:r>
              <w:rPr>
                <w:rFonts w:ascii="Arial" w:cs="Arial" w:eastAsia="Arial" w:hAnsi="Arial"/>
                <w:sz w:val="18"/>
                <w:szCs w:val="18"/>
                <w:color w:val="auto"/>
              </w:rPr>
              <w:t>net</w:t>
            </w:r>
          </w:p>
        </w:tc>
        <w:tc>
          <w:tcPr>
            <w:tcW w:w="220" w:type="dxa"/>
            <w:vAlign w:val="bottom"/>
          </w:tcPr>
          <w:p>
            <w:pPr>
              <w:spacing w:after="0"/>
              <w:rPr>
                <w:sz w:val="20"/>
                <w:szCs w:val="20"/>
                <w:color w:val="auto"/>
              </w:rPr>
            </w:pP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0"/>
        </w:trPr>
        <w:tc>
          <w:tcPr>
            <w:tcW w:w="454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20" w:type="dxa"/>
            <w:vAlign w:val="bottom"/>
          </w:tcPr>
          <w:p>
            <w:pPr>
              <w:spacing w:after="0"/>
              <w:rPr>
                <w:sz w:val="23"/>
                <w:szCs w:val="23"/>
                <w:color w:val="auto"/>
              </w:rPr>
            </w:pPr>
          </w:p>
        </w:tc>
        <w:tc>
          <w:tcPr>
            <w:tcW w:w="1220" w:type="dxa"/>
            <w:vAlign w:val="bottom"/>
            <w:tcBorders>
              <w:right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144</w:t>
            </w:r>
          </w:p>
        </w:tc>
        <w:tc>
          <w:tcPr>
            <w:tcW w:w="200" w:type="dxa"/>
            <w:vAlign w:val="bottom"/>
          </w:tcPr>
          <w:p>
            <w:pPr>
              <w:spacing w:after="0"/>
              <w:rPr>
                <w:sz w:val="23"/>
                <w:szCs w:val="23"/>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137</w:t>
            </w:r>
          </w:p>
        </w:tc>
        <w:tc>
          <w:tcPr>
            <w:tcW w:w="24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281</w:t>
            </w:r>
          </w:p>
        </w:tc>
      </w:tr>
      <w:tr>
        <w:trPr>
          <w:trHeight w:val="270"/>
        </w:trPr>
        <w:tc>
          <w:tcPr>
            <w:tcW w:w="4540" w:type="dxa"/>
            <w:vAlign w:val="bottom"/>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3"/>
                <w:szCs w:val="23"/>
                <w:color w:val="auto"/>
              </w:rPr>
            </w:pPr>
          </w:p>
        </w:tc>
        <w:tc>
          <w:tcPr>
            <w:tcW w:w="1220" w:type="dxa"/>
            <w:vAlign w:val="bottom"/>
            <w:tcBorders>
              <w:right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70"/>
        </w:trPr>
        <w:tc>
          <w:tcPr>
            <w:tcW w:w="454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Pr>
          <w:p>
            <w:pPr>
              <w:spacing w:after="0"/>
              <w:rPr>
                <w:sz w:val="23"/>
                <w:szCs w:val="23"/>
                <w:color w:val="auto"/>
              </w:rPr>
            </w:pPr>
          </w:p>
        </w:tc>
        <w:tc>
          <w:tcPr>
            <w:tcW w:w="1220" w:type="dxa"/>
            <w:vAlign w:val="bottom"/>
            <w:tcBorders>
              <w:right w:val="single" w:sz="8" w:color="auto"/>
            </w:tcBorders>
          </w:tcPr>
          <w:p>
            <w:pPr>
              <w:jc w:val="right"/>
              <w:ind w:right="54"/>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23"/>
                <w:szCs w:val="23"/>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1,002</w:t>
            </w: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61</w:t>
            </w:r>
          </w:p>
        </w:tc>
        <w:tc>
          <w:tcPr>
            <w:tcW w:w="24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1,063</w:t>
            </w:r>
          </w:p>
        </w:tc>
      </w:tr>
      <w:tr>
        <w:trPr>
          <w:trHeight w:val="27"/>
        </w:trPr>
        <w:tc>
          <w:tcPr>
            <w:tcW w:w="4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4540" w:type="dxa"/>
            <w:vAlign w:val="bottom"/>
          </w:tcPr>
          <w:p>
            <w:pPr>
              <w:ind w:left="40"/>
              <w:spacing w:after="0"/>
              <w:rPr>
                <w:sz w:val="20"/>
                <w:szCs w:val="20"/>
                <w:color w:val="auto"/>
              </w:rPr>
            </w:pPr>
            <w:r>
              <w:rPr>
                <w:rFonts w:ascii="Arial" w:cs="Arial" w:eastAsia="Arial" w:hAnsi="Arial"/>
                <w:sz w:val="18"/>
                <w:szCs w:val="18"/>
                <w:b w:val="1"/>
                <w:bCs w:val="1"/>
                <w:color w:val="auto"/>
              </w:rPr>
              <w:t>Balance, March 31, 2016</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right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369</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ind w:right="13"/>
              <w:spacing w:after="0"/>
              <w:rPr>
                <w:sz w:val="20"/>
                <w:szCs w:val="20"/>
                <w:color w:val="auto"/>
              </w:rPr>
            </w:pPr>
            <w:r>
              <w:rPr>
                <w:rFonts w:ascii="Arial" w:cs="Arial" w:eastAsia="Arial" w:hAnsi="Arial"/>
                <w:sz w:val="18"/>
                <w:szCs w:val="18"/>
                <w:b w:val="1"/>
                <w:bCs w:val="1"/>
                <w:color w:val="auto"/>
              </w:rPr>
              <w:t>33,642</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(68)</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b w:val="1"/>
                <w:bCs w:val="1"/>
                <w:color w:val="auto"/>
              </w:rPr>
              <w:t>1,838</w:t>
            </w:r>
          </w:p>
        </w:tc>
        <w:tc>
          <w:tcPr>
            <w:tcW w:w="2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rPr>
              <w:t>35,412</w:t>
            </w:r>
          </w:p>
        </w:tc>
      </w:tr>
      <w:tr>
        <w:trPr>
          <w:trHeight w:val="34"/>
        </w:trPr>
        <w:tc>
          <w:tcPr>
            <w:tcW w:w="4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Balance, December 31, 2016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auto"/>
            </w:tcBorders>
          </w:tcPr>
          <w:p>
            <w:pPr>
              <w:jc w:val="right"/>
              <w:ind w:right="54"/>
              <w:spacing w:after="0"/>
              <w:rPr>
                <w:sz w:val="20"/>
                <w:szCs w:val="20"/>
                <w:color w:val="auto"/>
              </w:rPr>
            </w:pPr>
            <w:r>
              <w:rPr>
                <w:rFonts w:ascii="Arial" w:cs="Arial" w:eastAsia="Arial" w:hAnsi="Arial"/>
                <w:sz w:val="18"/>
                <w:szCs w:val="18"/>
                <w:color w:val="auto"/>
              </w:rPr>
              <w:t>530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39,036</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2,116</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41,017</w:t>
            </w:r>
          </w:p>
        </w:tc>
      </w:tr>
      <w:tr>
        <w:trPr>
          <w:trHeight w:val="270"/>
        </w:trPr>
        <w:tc>
          <w:tcPr>
            <w:tcW w:w="4540" w:type="dxa"/>
            <w:vAlign w:val="bottom"/>
          </w:tcPr>
          <w:p>
            <w:pPr>
              <w:ind w:left="40"/>
              <w:spacing w:after="0"/>
              <w:rPr>
                <w:sz w:val="20"/>
                <w:szCs w:val="20"/>
                <w:color w:val="auto"/>
              </w:rPr>
            </w:pPr>
            <w:r>
              <w:rPr>
                <w:rFonts w:ascii="Arial" w:cs="Arial" w:eastAsia="Arial" w:hAnsi="Arial"/>
                <w:sz w:val="18"/>
                <w:szCs w:val="18"/>
                <w:color w:val="auto"/>
              </w:rPr>
              <w:t>Dividends declared</w:t>
            </w:r>
          </w:p>
        </w:tc>
        <w:tc>
          <w:tcPr>
            <w:tcW w:w="220" w:type="dxa"/>
            <w:vAlign w:val="bottom"/>
          </w:tcPr>
          <w:p>
            <w:pPr>
              <w:spacing w:after="0"/>
              <w:rPr>
                <w:sz w:val="23"/>
                <w:szCs w:val="23"/>
                <w:color w:val="auto"/>
              </w:rPr>
            </w:pPr>
          </w:p>
        </w:tc>
        <w:tc>
          <w:tcPr>
            <w:tcW w:w="1220" w:type="dxa"/>
            <w:vAlign w:val="bottom"/>
            <w:tcBorders>
              <w:right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(195)</w:t>
            </w: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56"/>
        </w:trPr>
        <w:tc>
          <w:tcPr>
            <w:tcW w:w="4540" w:type="dxa"/>
            <w:vAlign w:val="bottom"/>
          </w:tcPr>
          <w:p>
            <w:pPr>
              <w:ind w:left="40"/>
              <w:spacing w:after="0"/>
              <w:rPr>
                <w:sz w:val="20"/>
                <w:szCs w:val="20"/>
                <w:color w:val="auto"/>
              </w:rPr>
            </w:pPr>
            <w:r>
              <w:rPr>
                <w:rFonts w:ascii="Arial" w:cs="Arial" w:eastAsia="Arial" w:hAnsi="Arial"/>
                <w:sz w:val="18"/>
                <w:szCs w:val="18"/>
                <w:color w:val="auto"/>
                <w:w w:val="94"/>
              </w:rPr>
              <w:t>Contributions from (distributions to) noncontrolling interests,</w:t>
            </w:r>
          </w:p>
        </w:tc>
        <w:tc>
          <w:tcPr>
            <w:tcW w:w="220" w:type="dxa"/>
            <w:vAlign w:val="bottom"/>
          </w:tcPr>
          <w:p>
            <w:pPr>
              <w:spacing w:after="0"/>
              <w:rPr>
                <w:sz w:val="22"/>
                <w:szCs w:val="22"/>
                <w:color w:val="auto"/>
              </w:rPr>
            </w:pPr>
          </w:p>
        </w:tc>
        <w:tc>
          <w:tcPr>
            <w:tcW w:w="1220" w:type="dxa"/>
            <w:vAlign w:val="bottom"/>
            <w:tcBorders>
              <w:right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30"/>
        </w:trPr>
        <w:tc>
          <w:tcPr>
            <w:tcW w:w="4540" w:type="dxa"/>
            <w:vAlign w:val="bottom"/>
          </w:tcPr>
          <w:p>
            <w:pPr>
              <w:ind w:left="200"/>
              <w:spacing w:after="0"/>
              <w:rPr>
                <w:sz w:val="20"/>
                <w:szCs w:val="20"/>
                <w:color w:val="auto"/>
              </w:rPr>
            </w:pPr>
            <w:r>
              <w:rPr>
                <w:rFonts w:ascii="Arial" w:cs="Arial" w:eastAsia="Arial" w:hAnsi="Arial"/>
                <w:sz w:val="18"/>
                <w:szCs w:val="18"/>
                <w:color w:val="auto"/>
              </w:rPr>
              <w:t>net</w:t>
            </w:r>
          </w:p>
        </w:tc>
        <w:tc>
          <w:tcPr>
            <w:tcW w:w="220" w:type="dxa"/>
            <w:vAlign w:val="bottom"/>
          </w:tcPr>
          <w:p>
            <w:pPr>
              <w:spacing w:after="0"/>
              <w:rPr>
                <w:sz w:val="20"/>
                <w:szCs w:val="20"/>
                <w:color w:val="auto"/>
              </w:rPr>
            </w:pP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0"/>
        </w:trPr>
        <w:tc>
          <w:tcPr>
            <w:tcW w:w="4540" w:type="dxa"/>
            <w:vAlign w:val="bottom"/>
          </w:tcPr>
          <w:p>
            <w:pPr>
              <w:ind w:left="40"/>
              <w:spacing w:after="0"/>
              <w:rPr>
                <w:sz w:val="20"/>
                <w:szCs w:val="20"/>
                <w:color w:val="auto"/>
              </w:rPr>
            </w:pPr>
            <w:r>
              <w:rPr>
                <w:rFonts w:ascii="Arial" w:cs="Arial" w:eastAsia="Arial" w:hAnsi="Arial"/>
                <w:sz w:val="18"/>
                <w:szCs w:val="18"/>
                <w:color w:val="auto"/>
              </w:rPr>
              <w:t>Contribution from member</w:t>
            </w:r>
          </w:p>
        </w:tc>
        <w:tc>
          <w:tcPr>
            <w:tcW w:w="220" w:type="dxa"/>
            <w:vAlign w:val="bottom"/>
          </w:tcPr>
          <w:p>
            <w:pPr>
              <w:spacing w:after="0"/>
              <w:rPr>
                <w:sz w:val="23"/>
                <w:szCs w:val="23"/>
                <w:color w:val="auto"/>
              </w:rPr>
            </w:pPr>
          </w:p>
        </w:tc>
        <w:tc>
          <w:tcPr>
            <w:tcW w:w="1220" w:type="dxa"/>
            <w:vAlign w:val="bottom"/>
            <w:tcBorders>
              <w:right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662</w:t>
            </w: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662</w:t>
            </w:r>
          </w:p>
        </w:tc>
      </w:tr>
      <w:tr>
        <w:trPr>
          <w:trHeight w:val="270"/>
        </w:trPr>
        <w:tc>
          <w:tcPr>
            <w:tcW w:w="454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20" w:type="dxa"/>
            <w:vAlign w:val="bottom"/>
          </w:tcPr>
          <w:p>
            <w:pPr>
              <w:spacing w:after="0"/>
              <w:rPr>
                <w:sz w:val="23"/>
                <w:szCs w:val="23"/>
                <w:color w:val="auto"/>
              </w:rPr>
            </w:pPr>
          </w:p>
        </w:tc>
        <w:tc>
          <w:tcPr>
            <w:tcW w:w="1220" w:type="dxa"/>
            <w:vAlign w:val="bottom"/>
            <w:tcBorders>
              <w:right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206</w:t>
            </w:r>
          </w:p>
        </w:tc>
        <w:tc>
          <w:tcPr>
            <w:tcW w:w="200" w:type="dxa"/>
            <w:vAlign w:val="bottom"/>
          </w:tcPr>
          <w:p>
            <w:pPr>
              <w:spacing w:after="0"/>
              <w:rPr>
                <w:sz w:val="23"/>
                <w:szCs w:val="23"/>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87</w:t>
            </w:r>
          </w:p>
        </w:tc>
        <w:tc>
          <w:tcPr>
            <w:tcW w:w="24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293</w:t>
            </w:r>
          </w:p>
        </w:tc>
      </w:tr>
      <w:tr>
        <w:trPr>
          <w:trHeight w:val="270"/>
        </w:trPr>
        <w:tc>
          <w:tcPr>
            <w:tcW w:w="4540" w:type="dxa"/>
            <w:vAlign w:val="bottom"/>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3"/>
                <w:szCs w:val="23"/>
                <w:color w:val="auto"/>
              </w:rPr>
            </w:pP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3"/>
                <w:szCs w:val="23"/>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89</w:t>
            </w: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253</w:t>
            </w:r>
          </w:p>
        </w:tc>
        <w:tc>
          <w:tcPr>
            <w:tcW w:w="24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342</w:t>
            </w:r>
          </w:p>
        </w:tc>
      </w:tr>
      <w:tr>
        <w:trPr>
          <w:trHeight w:val="270"/>
        </w:trPr>
        <w:tc>
          <w:tcPr>
            <w:tcW w:w="454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Pr>
          <w:p>
            <w:pPr>
              <w:spacing w:after="0"/>
              <w:rPr>
                <w:sz w:val="23"/>
                <w:szCs w:val="23"/>
                <w:color w:val="auto"/>
              </w:rPr>
            </w:pPr>
          </w:p>
        </w:tc>
        <w:tc>
          <w:tcPr>
            <w:tcW w:w="1220" w:type="dxa"/>
            <w:vAlign w:val="bottom"/>
            <w:tcBorders>
              <w:right w:val="single" w:sz="8" w:color="auto"/>
            </w:tcBorders>
          </w:tcPr>
          <w:p>
            <w:pPr>
              <w:jc w:val="right"/>
              <w:ind w:right="54"/>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23"/>
                <w:szCs w:val="23"/>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1,200</w:t>
            </w: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55</w:t>
            </w:r>
          </w:p>
        </w:tc>
        <w:tc>
          <w:tcPr>
            <w:tcW w:w="24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1,255</w:t>
            </w:r>
          </w:p>
        </w:tc>
      </w:tr>
      <w:tr>
        <w:trPr>
          <w:trHeight w:val="27"/>
        </w:trPr>
        <w:tc>
          <w:tcPr>
            <w:tcW w:w="4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4540" w:type="dxa"/>
            <w:vAlign w:val="bottom"/>
          </w:tcPr>
          <w:p>
            <w:pPr>
              <w:ind w:left="40"/>
              <w:spacing w:after="0"/>
              <w:rPr>
                <w:sz w:val="20"/>
                <w:szCs w:val="20"/>
                <w:color w:val="auto"/>
              </w:rPr>
            </w:pPr>
            <w:r>
              <w:rPr>
                <w:rFonts w:ascii="Arial" w:cs="Arial" w:eastAsia="Arial" w:hAnsi="Arial"/>
                <w:sz w:val="18"/>
                <w:szCs w:val="18"/>
                <w:b w:val="1"/>
                <w:bCs w:val="1"/>
                <w:color w:val="auto"/>
              </w:rPr>
              <w:t>Balance, March 31, 2017</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right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527</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ind w:right="13"/>
              <w:spacing w:after="0"/>
              <w:rPr>
                <w:sz w:val="20"/>
                <w:szCs w:val="20"/>
                <w:color w:val="auto"/>
              </w:rPr>
            </w:pPr>
            <w:r>
              <w:rPr>
                <w:rFonts w:ascii="Arial" w:cs="Arial" w:eastAsia="Arial" w:hAnsi="Arial"/>
                <w:sz w:val="18"/>
                <w:szCs w:val="18"/>
                <w:b w:val="1"/>
                <w:bCs w:val="1"/>
                <w:color w:val="auto"/>
              </w:rPr>
              <w:t>40,792</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17"/>
              <w:spacing w:after="0"/>
              <w:rPr>
                <w:sz w:val="20"/>
                <w:szCs w:val="20"/>
                <w:color w:val="auto"/>
              </w:rPr>
            </w:pPr>
            <w:r>
              <w:rPr>
                <w:rFonts w:ascii="Arial" w:cs="Arial" w:eastAsia="Arial" w:hAnsi="Arial"/>
                <w:sz w:val="18"/>
                <w:szCs w:val="18"/>
                <w:b w:val="1"/>
                <w:bCs w:val="1"/>
                <w:color w:val="auto"/>
              </w:rPr>
              <w:t>71</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b w:val="1"/>
                <w:bCs w:val="1"/>
                <w:color w:val="auto"/>
              </w:rPr>
              <w:t>2,470</w:t>
            </w:r>
          </w:p>
        </w:tc>
        <w:tc>
          <w:tcPr>
            <w:tcW w:w="2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rPr>
              <w:t>43,333</w:t>
            </w:r>
          </w:p>
        </w:tc>
      </w:tr>
      <w:tr>
        <w:trPr>
          <w:trHeight w:val="34"/>
        </w:trPr>
        <w:tc>
          <w:tcPr>
            <w:tcW w:w="4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1"/>
        </w:trPr>
        <w:tc>
          <w:tcPr>
            <w:tcW w:w="4540" w:type="dxa"/>
            <w:vAlign w:val="bottom"/>
          </w:tcPr>
          <w:p>
            <w:pPr>
              <w:spacing w:after="0"/>
              <w:rPr>
                <w:sz w:val="20"/>
                <w:szCs w:val="20"/>
                <w:color w:val="auto"/>
              </w:rPr>
            </w:pPr>
            <w:r>
              <w:rPr>
                <w:rFonts w:ascii="Arial" w:cs="Arial" w:eastAsia="Arial" w:hAnsi="Arial"/>
                <w:sz w:val="14"/>
                <w:szCs w:val="14"/>
                <w:color w:val="auto"/>
                <w:w w:val="98"/>
              </w:rPr>
              <w:t>See accompanying notes to condensed consolidated financial statements.</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539"/>
        </w:trPr>
        <w:tc>
          <w:tcPr>
            <w:tcW w:w="4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ind w:right="94"/>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00" w:lineRule="exact"/>
        <w:rPr>
          <w:sz w:val="20"/>
          <w:szCs w:val="20"/>
          <w:color w:val="auto"/>
        </w:rPr>
      </w:pPr>
    </w:p>
    <w:p>
      <w:pPr>
        <w:spacing w:after="0" w:line="210" w:lineRule="exact"/>
        <w:rPr>
          <w:sz w:val="20"/>
          <w:szCs w:val="20"/>
          <w:color w:val="auto"/>
        </w:rPr>
      </w:pPr>
    </w:p>
    <w:p>
      <w:pPr>
        <w:ind w:right="4380"/>
        <w:spacing w:after="0" w:line="274" w:lineRule="auto"/>
        <w:rPr>
          <w:sz w:val="20"/>
          <w:szCs w:val="20"/>
          <w:color w:val="auto"/>
        </w:rPr>
      </w:pPr>
      <w:r>
        <w:rPr>
          <w:rFonts w:ascii="Arial" w:cs="Arial" w:eastAsia="Arial" w:hAnsi="Arial"/>
          <w:sz w:val="22"/>
          <w:szCs w:val="22"/>
          <w:b w:val="1"/>
          <w:bCs w:val="1"/>
          <w:color w:val="auto"/>
        </w:rPr>
        <w:t>NOTES TO CONDENSED CONSOLIDATED FINANCIAL STATEMENTS (Unaudited)</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Condensed Consolidated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8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Unless indicated otherwise, throughout these notes to the condensed consolidated financial statements, we refer to NBCUniversal and its consolidated subsidiaries as “we,” “us” and “our.” We have prepared these unaudited condensed consolidated financial statements based on SEC rules that permit reduced disclosure for interim periods. These financial statements include all adjustments that are necessary for a fair presentation of our consolidated results of operations, financial condition and cash flows for the periods shown, including normal, recurring accruals and other items. The consolidated results of operations for the interim periods presented are not necessarily indicative of results for the full year.</w:t>
      </w:r>
    </w:p>
    <w:p>
      <w:pPr>
        <w:spacing w:after="0" w:line="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year-end condensed consolidated balance sheet was derived from audited financial statements but does not include all disclosures required by generally accepted accounting principles in the United States (“GAAP”). For a more complete discussion of our accounting policies and certain other information, refer to our consolidated financial statements included in our 2016 Annual Report on Form 10-K.</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Recent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May 2014, the Financial Accounting Standards Board (“FASB”) updated the accounting guidance related to revenue recognition. The updated accounting guidance provides a single, contract-based revenue recognition model to help improve financial reporting by providing clearer guidance on when an entity should recognize revenue and by reducing the number of standards to which an entity has to refer. The updated accounting guidance is effective for us as of January 1, 2018.</w:t>
      </w:r>
    </w:p>
    <w:p>
      <w:pPr>
        <w:spacing w:after="0" w:line="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reviewed a majority of our revenue arrangements and expect our review to be completed in the second quarter of 2017. As a result of our review, we do not expect any material impact on our financial position or results of operations. However, we do expect that the new standard will impact the timing of recognition for our Cable Networks, Broadcast Television and Filmed Entertainment segments’ content licensing revenue associated with renewals or extensions of existing program licensing agreements, which upon adoption will be recognized as revenue when the licensed content becomes available under the renewal or extension instead of when the agreement is renewed or extended. The updated guidance also requires additional disclosures regarding our revenue transactions.</w:t>
      </w:r>
    </w:p>
    <w:p>
      <w:pPr>
        <w:spacing w:after="0" w:line="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updated guidance provides companies with alternative methods of adoption and we are in the process of determining our method of adoption, which depends in part upon our completion of the evaluation of our remaining revenue arrangements.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Assets and Financial Liabilities</w:t>
      </w:r>
    </w:p>
    <w:p>
      <w:pPr>
        <w:spacing w:after="0" w:line="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January 2016, the FASB updated the accounting guidance related to the recognition and measurement of financial assets and financial liabilities. The updated accounting guidance, among other things, requires that all nonconsolidated equity investments, except those accounted for under the equity method, be measured at fair value and that the changes in fair value be recognized in net income, such as changes in the fair value of our investment in Snap Inc. (see Note 6). The updated guidance is effective for us as of January 1, 2018. The updated accounting guidance requires a cumulative effect adjustment to beginning retained earnings in the year the guidance is adopted with certain exceptions. We are currently in the process of determining the impact that the updated accounting guidance will have on our consolidated financial statements.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February 2016, the FASB updated the accounting guidance related to leases. The updated accounting guidance requires lessees to recognize a right-of-use asset and a lease liability on the balance sheet for all leases with the exception of short-term leases. The asset and liability are initially measured based on the present value of committed lease payments. For a lessee, the recognition, measurement and presentation of expenses and cash flows arising from a lease do not significantly change from previous guidance. For a lessor, the accounting applied is also largely unchanged from previous guidance. The updated guidance is effective for us as of January 1, 2019 and early adoption is permitted. The updated accounting guidance must be adopted using a modified retrospective approach for leases that exist or are entered into after the beginning of the earliest comparative period in the financial statements. We are currently in the process of determining the impact that the updated accounting guidance will have on our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1"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Significant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FCC Spectrum Auction</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13, 2017, the Federal Communications Commission (“FCC”) announced the results of its spectrum auction. In the auction, we agreed to relinquish FCC licenses for spectrum in the New York, Philadelphia and Chicago designated market areas (“DMAs”) and will receive proceeds of $482 million. As of March 31, 2017, the book value of these licenses was $144 million and was recorded in other current assets in the condensed consolidated balance sheet. We will share broadcast signals for our NBC and Telemundo stations in these DMAs.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Universal Studios Japan</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6, 2017, we acquired the remaining interests in Universal Studios Japan that we did not already own for approximately $2.3 billion. The acquisition was funded through borrowings under our revolving credit agreement with Comcast. During the second quarter of 2017, we obtained commitments from lenders to refinance the Universal Studios Japan term loans, which we expect will, among other things, increase the borrowings, extend the maturity date and include a guarantee from Comcast. We expect to use a portion of the Universal Studios Japan term loans proceeds to repay a portion of amounts outstanding under our revolving credit agreement with Comcast.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DreamWorks Animation</w:t>
      </w:r>
    </w:p>
    <w:p>
      <w:pPr>
        <w:spacing w:after="0" w:line="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August 22, 2016, Comcast acquired all of the outstanding stock of DreamWorks Animation for $3.8 billion. DreamWorks Animation’s stockholders received $41 in cash for each share of DreamWorks Animation common stock. DreamWorks Animation creates animated feature films, television series and specials, live entertainment, and related consumer products.</w:t>
      </w:r>
    </w:p>
    <w:p>
      <w:pPr>
        <w:spacing w:after="0" w:line="3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Following the acquisition, Comcast converted DreamWorks Animation to a limited liability company and contributed its equity to us as a capital contribution. The net assets contributed to us excluded deferred income taxes and other tax-related items recorded by Comcast. The results of operations for DreamWorks Animation are reported in our Filmed Entertainment segment following the acquisition date and are presented as if the initial equity contribution occurred on the date of Comcast’s acquisition.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Preliminary Allocation of Purchase Price</w:t>
      </w:r>
    </w:p>
    <w:p>
      <w:pPr>
        <w:spacing w:after="0" w:line="19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transaction was accounted for under the acquisition method of accounting and, accordingly, the assets and liabilities are to be recorded at their fair market values as of the acquisition date. We recorded the acquired assets and liabilities of DreamWorks Animation at their estimated fair values based on preliminary valuation analyses. In valuing acquired assets and liabilities, fair value estimates were primarily based on Level 3 inputs, including future expected cash flows, market rate assumptions and discount rates. The fair value of the assumed debt was primarily based on quoted market values. The fair value of the liability related to a tax receivable agreement that DreamWorks Animation had previously entered into with one of its former stockholders (the “tax receivable agreement”) was based on the contractual settlement provisions in the agreement. During the three months ended March 31, 2017, we updated the preliminary allocation of purchase price for DreamWorks Animation, which primarily resulted in increases to intangible assets, noncontrolling interests and goodwill. The changes did not have a material impact on our condensed consolidated financial statements. We may adjust these amounts further as valuations are finalized and we obtain information necessary to complete the analyses, but no later than one year from the acquisition date.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preliminary allocation of the purchase price to the assets and liabilities of DreamWorks Animation.</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3780" w:type="dxa"/>
            <w:vAlign w:val="bottom"/>
          </w:tcPr>
          <w:p>
            <w:pPr>
              <w:spacing w:after="0"/>
              <w:rPr>
                <w:sz w:val="20"/>
                <w:szCs w:val="20"/>
                <w:color w:val="auto"/>
              </w:rPr>
            </w:pPr>
          </w:p>
        </w:tc>
        <w:tc>
          <w:tcPr>
            <w:tcW w:w="6340" w:type="dxa"/>
            <w:vAlign w:val="bottom"/>
          </w:tcPr>
          <w:p>
            <w:pPr>
              <w:jc w:val="right"/>
              <w:ind w:right="2630"/>
              <w:spacing w:after="0"/>
              <w:rPr>
                <w:sz w:val="20"/>
                <w:szCs w:val="20"/>
                <w:color w:val="auto"/>
              </w:rPr>
            </w:pPr>
            <w:r>
              <w:rPr>
                <w:rFonts w:ascii="Arial" w:cs="Arial" w:eastAsia="Arial" w:hAnsi="Arial"/>
                <w:sz w:val="18"/>
                <w:szCs w:val="18"/>
                <w:b w:val="1"/>
                <w:bCs w:val="1"/>
                <w:color w:val="auto"/>
              </w:rPr>
              <w:t>Preliminary Allocation of Purchase Price</w:t>
            </w:r>
          </w:p>
        </w:tc>
        <w:tc>
          <w:tcPr>
            <w:tcW w:w="1240" w:type="dxa"/>
            <w:vAlign w:val="bottom"/>
          </w:tcPr>
          <w:p>
            <w:pPr>
              <w:spacing w:after="0"/>
              <w:rPr>
                <w:sz w:val="20"/>
                <w:szCs w:val="20"/>
                <w:color w:val="auto"/>
              </w:rPr>
            </w:pPr>
          </w:p>
        </w:tc>
      </w:tr>
      <w:tr>
        <w:trPr>
          <w:trHeight w:val="210"/>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6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r>
      <w:tr>
        <w:trPr>
          <w:trHeight w:val="243"/>
        </w:trPr>
        <w:tc>
          <w:tcPr>
            <w:tcW w:w="3780" w:type="dxa"/>
            <w:vAlign w:val="bottom"/>
          </w:tcPr>
          <w:p>
            <w:pPr>
              <w:ind w:left="20"/>
              <w:spacing w:after="0"/>
              <w:rPr>
                <w:sz w:val="20"/>
                <w:szCs w:val="20"/>
                <w:color w:val="auto"/>
              </w:rPr>
            </w:pPr>
            <w:r>
              <w:rPr>
                <w:rFonts w:ascii="Arial" w:cs="Arial" w:eastAsia="Arial" w:hAnsi="Arial"/>
                <w:sz w:val="18"/>
                <w:szCs w:val="18"/>
                <w:color w:val="auto"/>
              </w:rPr>
              <w:t>Film and television costs</w:t>
            </w:r>
          </w:p>
        </w:tc>
        <w:tc>
          <w:tcPr>
            <w:tcW w:w="634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854</w:t>
            </w:r>
          </w:p>
        </w:tc>
      </w:tr>
      <w:tr>
        <w:trPr>
          <w:trHeight w:val="270"/>
        </w:trPr>
        <w:tc>
          <w:tcPr>
            <w:tcW w:w="378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634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362</w:t>
            </w:r>
          </w:p>
        </w:tc>
      </w:tr>
      <w:tr>
        <w:trPr>
          <w:trHeight w:val="270"/>
        </w:trPr>
        <w:tc>
          <w:tcPr>
            <w:tcW w:w="3780" w:type="dxa"/>
            <w:vAlign w:val="bottom"/>
          </w:tcPr>
          <w:p>
            <w:pPr>
              <w:ind w:left="20"/>
              <w:spacing w:after="0"/>
              <w:rPr>
                <w:sz w:val="20"/>
                <w:szCs w:val="20"/>
                <w:color w:val="auto"/>
              </w:rPr>
            </w:pPr>
            <w:r>
              <w:rPr>
                <w:rFonts w:ascii="Arial" w:cs="Arial" w:eastAsia="Arial" w:hAnsi="Arial"/>
                <w:sz w:val="18"/>
                <w:szCs w:val="18"/>
                <w:color w:val="auto"/>
              </w:rPr>
              <w:t>Working capital</w:t>
            </w:r>
          </w:p>
        </w:tc>
        <w:tc>
          <w:tcPr>
            <w:tcW w:w="634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232</w:t>
            </w:r>
          </w:p>
        </w:tc>
      </w:tr>
      <w:tr>
        <w:trPr>
          <w:trHeight w:val="270"/>
        </w:trPr>
        <w:tc>
          <w:tcPr>
            <w:tcW w:w="3780" w:type="dxa"/>
            <w:vAlign w:val="bottom"/>
          </w:tcPr>
          <w:p>
            <w:pPr>
              <w:ind w:left="20"/>
              <w:spacing w:after="0"/>
              <w:rPr>
                <w:sz w:val="20"/>
                <w:szCs w:val="20"/>
                <w:color w:val="auto"/>
              </w:rPr>
            </w:pPr>
            <w:r>
              <w:rPr>
                <w:rFonts w:ascii="Arial" w:cs="Arial" w:eastAsia="Arial" w:hAnsi="Arial"/>
                <w:sz w:val="18"/>
                <w:szCs w:val="18"/>
                <w:color w:val="auto"/>
              </w:rPr>
              <w:t>Debt</w:t>
            </w:r>
          </w:p>
        </w:tc>
        <w:tc>
          <w:tcPr>
            <w:tcW w:w="63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(381)</w:t>
            </w:r>
          </w:p>
        </w:tc>
      </w:tr>
      <w:tr>
        <w:trPr>
          <w:trHeight w:val="310"/>
        </w:trPr>
        <w:tc>
          <w:tcPr>
            <w:tcW w:w="3780" w:type="dxa"/>
            <w:vAlign w:val="bottom"/>
          </w:tcPr>
          <w:p>
            <w:pPr>
              <w:ind w:left="20"/>
              <w:spacing w:after="0"/>
              <w:rPr>
                <w:sz w:val="20"/>
                <w:szCs w:val="20"/>
                <w:color w:val="auto"/>
              </w:rPr>
            </w:pPr>
            <w:r>
              <w:rPr>
                <w:rFonts w:ascii="Arial" w:cs="Arial" w:eastAsia="Arial" w:hAnsi="Arial"/>
                <w:sz w:val="18"/>
                <w:szCs w:val="18"/>
                <w:color w:val="auto"/>
              </w:rPr>
              <w:t>Tax receivable agreement</w:t>
            </w:r>
            <w:r>
              <w:rPr>
                <w:rFonts w:ascii="Arial" w:cs="Arial" w:eastAsia="Arial" w:hAnsi="Arial"/>
                <w:sz w:val="25"/>
                <w:szCs w:val="25"/>
                <w:color w:val="auto"/>
                <w:vertAlign w:val="superscript"/>
              </w:rPr>
              <w:t>(a)</w:t>
            </w:r>
          </w:p>
        </w:tc>
        <w:tc>
          <w:tcPr>
            <w:tcW w:w="63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57"/>
        </w:trPr>
        <w:tc>
          <w:tcPr>
            <w:tcW w:w="3780" w:type="dxa"/>
            <w:vAlign w:val="bottom"/>
            <w:tcBorders>
              <w:bottom w:val="single" w:sz="8" w:color="auto"/>
            </w:tcBorders>
          </w:tcPr>
          <w:p>
            <w:pPr>
              <w:ind w:left="20"/>
              <w:spacing w:after="0" w:line="257" w:lineRule="exact"/>
              <w:rPr>
                <w:sz w:val="20"/>
                <w:szCs w:val="20"/>
                <w:color w:val="auto"/>
              </w:rPr>
            </w:pPr>
            <w:r>
              <w:rPr>
                <w:rFonts w:ascii="Arial" w:cs="Arial" w:eastAsia="Arial" w:hAnsi="Arial"/>
                <w:sz w:val="18"/>
                <w:szCs w:val="18"/>
                <w:color w:val="auto"/>
                <w:w w:val="92"/>
              </w:rPr>
              <w:t>Other noncurrent assets and liabilities and other</w:t>
            </w:r>
            <w:r>
              <w:rPr>
                <w:rFonts w:ascii="Arial" w:cs="Arial" w:eastAsia="Arial" w:hAnsi="Arial"/>
                <w:sz w:val="25"/>
                <w:szCs w:val="25"/>
                <w:color w:val="auto"/>
                <w:w w:val="92"/>
                <w:vertAlign w:val="superscript"/>
              </w:rPr>
              <w:t>(b)</w:t>
            </w:r>
          </w:p>
        </w:tc>
        <w:tc>
          <w:tcPr>
            <w:tcW w:w="63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407</w:t>
            </w:r>
          </w:p>
        </w:tc>
      </w:tr>
      <w:tr>
        <w:trPr>
          <w:trHeight w:val="237"/>
        </w:trPr>
        <w:tc>
          <w:tcPr>
            <w:tcW w:w="3780" w:type="dxa"/>
            <w:vAlign w:val="bottom"/>
          </w:tcPr>
          <w:p>
            <w:pPr>
              <w:ind w:left="20"/>
              <w:spacing w:after="0"/>
              <w:rPr>
                <w:sz w:val="20"/>
                <w:szCs w:val="20"/>
                <w:color w:val="auto"/>
              </w:rPr>
            </w:pPr>
            <w:r>
              <w:rPr>
                <w:rFonts w:ascii="Arial" w:cs="Arial" w:eastAsia="Arial" w:hAnsi="Arial"/>
                <w:sz w:val="18"/>
                <w:szCs w:val="18"/>
                <w:color w:val="auto"/>
              </w:rPr>
              <w:t>Identifiable net assets (liabilities) acquired</w:t>
            </w:r>
          </w:p>
        </w:tc>
        <w:tc>
          <w:tcPr>
            <w:tcW w:w="634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1,328</w:t>
            </w:r>
          </w:p>
        </w:tc>
      </w:tr>
      <w:tr>
        <w:trPr>
          <w:trHeight w:val="270"/>
        </w:trPr>
        <w:tc>
          <w:tcPr>
            <w:tcW w:w="3780" w:type="dxa"/>
            <w:vAlign w:val="bottom"/>
          </w:tcPr>
          <w:p>
            <w:pPr>
              <w:ind w:left="20"/>
              <w:spacing w:after="0"/>
              <w:rPr>
                <w:sz w:val="20"/>
                <w:szCs w:val="20"/>
                <w:color w:val="auto"/>
              </w:rPr>
            </w:pPr>
            <w:r>
              <w:rPr>
                <w:rFonts w:ascii="Arial" w:cs="Arial" w:eastAsia="Arial" w:hAnsi="Arial"/>
                <w:sz w:val="18"/>
                <w:szCs w:val="18"/>
                <w:color w:val="auto"/>
              </w:rPr>
              <w:t>Noncontrolling interests</w:t>
            </w:r>
          </w:p>
        </w:tc>
        <w:tc>
          <w:tcPr>
            <w:tcW w:w="63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(337)</w:t>
            </w:r>
          </w:p>
        </w:tc>
      </w:tr>
      <w:tr>
        <w:trPr>
          <w:trHeight w:val="270"/>
        </w:trPr>
        <w:tc>
          <w:tcPr>
            <w:tcW w:w="3780" w:type="dxa"/>
            <w:vAlign w:val="bottom"/>
          </w:tcPr>
          <w:p>
            <w:pPr>
              <w:ind w:left="20"/>
              <w:spacing w:after="0"/>
              <w:rPr>
                <w:sz w:val="20"/>
                <w:szCs w:val="20"/>
                <w:color w:val="auto"/>
              </w:rPr>
            </w:pPr>
            <w:r>
              <w:rPr>
                <w:rFonts w:ascii="Arial" w:cs="Arial" w:eastAsia="Arial" w:hAnsi="Arial"/>
                <w:sz w:val="18"/>
                <w:szCs w:val="18"/>
                <w:color w:val="auto"/>
              </w:rPr>
              <w:t>Goodwill</w:t>
            </w:r>
          </w:p>
        </w:tc>
        <w:tc>
          <w:tcPr>
            <w:tcW w:w="634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2,782</w:t>
            </w:r>
          </w:p>
        </w:tc>
      </w:tr>
      <w:tr>
        <w:trPr>
          <w:trHeight w:val="27"/>
        </w:trPr>
        <w:tc>
          <w:tcPr>
            <w:tcW w:w="3780" w:type="dxa"/>
            <w:vAlign w:val="bottom"/>
            <w:tcBorders>
              <w:bottom w:val="single" w:sz="8" w:color="auto"/>
            </w:tcBorders>
          </w:tcPr>
          <w:p>
            <w:pPr>
              <w:spacing w:after="0"/>
              <w:rPr>
                <w:sz w:val="2"/>
                <w:szCs w:val="2"/>
                <w:color w:val="auto"/>
              </w:rPr>
            </w:pPr>
          </w:p>
        </w:tc>
        <w:tc>
          <w:tcPr>
            <w:tcW w:w="6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3780" w:type="dxa"/>
            <w:vAlign w:val="bottom"/>
          </w:tcPr>
          <w:p>
            <w:pPr>
              <w:ind w:left="20"/>
              <w:spacing w:after="0"/>
              <w:rPr>
                <w:sz w:val="20"/>
                <w:szCs w:val="20"/>
                <w:color w:val="auto"/>
              </w:rPr>
            </w:pPr>
            <w:r>
              <w:rPr>
                <w:rFonts w:ascii="Arial" w:cs="Arial" w:eastAsia="Arial" w:hAnsi="Arial"/>
                <w:sz w:val="18"/>
                <w:szCs w:val="18"/>
                <w:b w:val="1"/>
                <w:bCs w:val="1"/>
                <w:color w:val="auto"/>
              </w:rPr>
              <w:t>Cash consideration transferred</w:t>
            </w:r>
          </w:p>
        </w:tc>
        <w:tc>
          <w:tcPr>
            <w:tcW w:w="6340" w:type="dxa"/>
            <w:vAlign w:val="bottom"/>
          </w:tcPr>
          <w:p>
            <w:pPr>
              <w:jc w:val="right"/>
              <w:ind w:right="61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3,773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720344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17145"/>
                    </a:xfrm>
                    <a:prstGeom prst="rect">
                      <a:avLst/>
                    </a:prstGeom>
                    <a:noFill/>
                  </pic:spPr>
                </pic:pic>
              </a:graphicData>
            </a:graphic>
          </wp:anchor>
        </w:drawing>
      </w:r>
    </w:p>
    <w:p>
      <w:pPr>
        <w:spacing w:after="0" w:line="69" w:lineRule="exact"/>
        <w:rPr>
          <w:sz w:val="20"/>
          <w:szCs w:val="20"/>
          <w:color w:val="auto"/>
        </w:rPr>
      </w:pPr>
    </w:p>
    <w:p>
      <w:pPr>
        <w:jc w:val="both"/>
        <w:ind w:left="260" w:hanging="252"/>
        <w:spacing w:after="0" w:line="257" w:lineRule="auto"/>
        <w:tabs>
          <w:tab w:leader="none" w:pos="2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tax receivable agreement was settled immediately following the acquisition and the payment was recorded as an operating activity in our condensed consolidated statement of cash flows in the third quarter of 2016. Comcast made a separate cash capital contribution of $146 million to fund the settlement which was recorded as a financing activity in our condensed consolidated statement of cash flows in the third quarter of 2016.</w:t>
      </w:r>
    </w:p>
    <w:p>
      <w:pPr>
        <w:sectPr>
          <w:pgSz w:w="11900" w:h="16838" w:orient="portrait"/>
          <w:cols w:equalWidth="0" w:num="1">
            <w:col w:w="11420"/>
          </w:cols>
          <w:pgMar w:left="240" w:top="121" w:right="239" w:bottom="1440" w:gutter="0" w:footer="0" w:header="0"/>
        </w:sect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121" w:right="23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75" w:lineRule="exact"/>
        <w:rPr>
          <w:sz w:val="20"/>
          <w:szCs w:val="20"/>
          <w:color w:val="auto"/>
        </w:rPr>
      </w:pPr>
    </w:p>
    <w:p>
      <w:pPr>
        <w:ind w:left="260" w:hanging="252"/>
        <w:spacing w:after="0" w:line="273" w:lineRule="auto"/>
        <w:tabs>
          <w:tab w:leader="none" w:pos="2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Other included $281 million recorded to member’s capital that represented deferred income tax assets and other tax-related items recorded by Comcast but excluded from the net assets contributed to us.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color w:val="auto"/>
        </w:rPr>
        <w:t>Revenue and net income attributable to the acquisition of DreamWorks Animation were not material for the three months ended March 31, 2017.</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Related Party Transactions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In the ordinary course of our business, we enter into transactions with Comcast.</w:t>
      </w:r>
    </w:p>
    <w:p>
      <w:pPr>
        <w:spacing w:after="0" w:line="7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generate revenue from Comcast primarily from the distribution of our cable network programming, the fees received under retransmission consent agreements in our Broadcast Television segment and, to a lesser extent, the sale of advertising and our owned programming, and we incur expenses primarily related to advertising and various support services provided by Comcast to us.</w:t>
      </w:r>
    </w:p>
    <w:p>
      <w:pPr>
        <w:spacing w:after="0" w:line="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Comcast is also the counterparty to one of our contractual obligations. As of March 31, 2017, the carrying value of the liability associated with this contractual obligation was $383 million.</w:t>
      </w:r>
    </w:p>
    <w:p>
      <w:pPr>
        <w:spacing w:after="0" w:line="22" w:lineRule="exact"/>
        <w:rPr>
          <w:sz w:val="20"/>
          <w:szCs w:val="20"/>
          <w:color w:val="auto"/>
        </w:rPr>
      </w:pPr>
    </w:p>
    <w:p>
      <w:pPr>
        <w:jc w:val="center"/>
        <w:ind w:right="40"/>
        <w:spacing w:after="0" w:line="356" w:lineRule="auto"/>
        <w:rPr>
          <w:sz w:val="20"/>
          <w:szCs w:val="20"/>
          <w:color w:val="auto"/>
        </w:rPr>
      </w:pPr>
      <w:r>
        <w:rPr>
          <w:rFonts w:ascii="Arial" w:cs="Arial" w:eastAsia="Arial" w:hAnsi="Arial"/>
          <w:sz w:val="18"/>
          <w:szCs w:val="18"/>
          <w:color w:val="auto"/>
        </w:rPr>
        <w:t xml:space="preserve">The following tables present transactions with Comcast and its consolidated subsidiaries that are included in our condensed consolidated financial statements. </w:t>
      </w:r>
      <w:r>
        <w:rPr>
          <w:rFonts w:ascii="Arial" w:cs="Arial" w:eastAsia="Arial" w:hAnsi="Arial"/>
          <w:sz w:val="18"/>
          <w:szCs w:val="18"/>
          <w:b w:val="1"/>
          <w:bCs w:val="1"/>
          <w:color w:val="auto"/>
        </w:rPr>
        <w:t>Condensed Consolidated Balance Sheet</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right"/>
              <w:ind w:right="377"/>
              <w:spacing w:after="0"/>
              <w:rPr>
                <w:sz w:val="20"/>
                <w:szCs w:val="20"/>
                <w:color w:val="auto"/>
              </w:rPr>
            </w:pPr>
            <w:r>
              <w:rPr>
                <w:rFonts w:ascii="Arial" w:cs="Arial" w:eastAsia="Arial" w:hAnsi="Arial"/>
                <w:sz w:val="14"/>
                <w:szCs w:val="14"/>
                <w:color w:val="auto"/>
              </w:rPr>
              <w:t>March 31,</w:t>
            </w:r>
          </w:p>
        </w:tc>
        <w:tc>
          <w:tcPr>
            <w:tcW w:w="300" w:type="dxa"/>
            <w:vAlign w:val="bottom"/>
          </w:tcPr>
          <w:p>
            <w:pPr>
              <w:spacing w:after="0"/>
              <w:rPr>
                <w:sz w:val="14"/>
                <w:szCs w:val="14"/>
                <w:color w:val="auto"/>
              </w:rPr>
            </w:pPr>
          </w:p>
        </w:tc>
        <w:tc>
          <w:tcPr>
            <w:tcW w:w="1180" w:type="dxa"/>
            <w:vAlign w:val="bottom"/>
          </w:tcPr>
          <w:p>
            <w:pPr>
              <w:jc w:val="right"/>
              <w:ind w:right="275"/>
              <w:spacing w:after="0"/>
              <w:rPr>
                <w:sz w:val="20"/>
                <w:szCs w:val="20"/>
                <w:color w:val="auto"/>
              </w:rPr>
            </w:pPr>
            <w:r>
              <w:rPr>
                <w:rFonts w:ascii="Arial" w:cs="Arial" w:eastAsia="Arial" w:hAnsi="Arial"/>
                <w:sz w:val="14"/>
                <w:szCs w:val="14"/>
                <w:color w:val="auto"/>
                <w:w w:val="90"/>
              </w:rPr>
              <w:t>December 31,</w:t>
            </w:r>
          </w:p>
        </w:tc>
      </w:tr>
      <w:tr>
        <w:trPr>
          <w:trHeight w:val="188"/>
        </w:trPr>
        <w:tc>
          <w:tcPr>
            <w:tcW w:w="84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color w:val="auto"/>
              </w:rPr>
              <w:t>2017</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color w:val="auto"/>
              </w:rPr>
              <w:t>2016</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b w:val="1"/>
                <w:bCs w:val="1"/>
                <w:color w:val="auto"/>
              </w:rPr>
              <w:t>Transactions with Comcast and Consolidated Subsidiaries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0"/>
        </w:trPr>
        <w:tc>
          <w:tcPr>
            <w:tcW w:w="8460" w:type="dxa"/>
            <w:vAlign w:val="bottom"/>
          </w:tcPr>
          <w:p>
            <w:pPr>
              <w:ind w:left="380"/>
              <w:spacing w:after="0"/>
              <w:rPr>
                <w:sz w:val="20"/>
                <w:szCs w:val="20"/>
                <w:color w:val="auto"/>
              </w:rPr>
            </w:pPr>
            <w:r>
              <w:rPr>
                <w:rFonts w:ascii="Arial" w:cs="Arial" w:eastAsia="Arial" w:hAnsi="Arial"/>
                <w:sz w:val="18"/>
                <w:szCs w:val="18"/>
                <w:color w:val="auto"/>
              </w:rPr>
              <w:t>Receivables, net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322</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285</w:t>
            </w:r>
          </w:p>
        </w:tc>
      </w:tr>
      <w:tr>
        <w:trPr>
          <w:trHeight w:val="270"/>
        </w:trPr>
        <w:tc>
          <w:tcPr>
            <w:tcW w:w="8460" w:type="dxa"/>
            <w:vAlign w:val="bottom"/>
          </w:tcPr>
          <w:p>
            <w:pPr>
              <w:ind w:left="380"/>
              <w:spacing w:after="0"/>
              <w:rPr>
                <w:sz w:val="20"/>
                <w:szCs w:val="20"/>
                <w:color w:val="auto"/>
              </w:rPr>
            </w:pPr>
            <w:r>
              <w:rPr>
                <w:rFonts w:ascii="Arial" w:cs="Arial" w:eastAsia="Arial" w:hAnsi="Arial"/>
                <w:sz w:val="18"/>
                <w:szCs w:val="18"/>
                <w:color w:val="auto"/>
              </w:rPr>
              <w:t>Accounts payable and accrued expenses related to trade creditors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42</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55</w:t>
            </w:r>
          </w:p>
        </w:tc>
      </w:tr>
      <w:tr>
        <w:trPr>
          <w:trHeight w:val="270"/>
        </w:trPr>
        <w:tc>
          <w:tcPr>
            <w:tcW w:w="846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19</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4</w:t>
            </w:r>
          </w:p>
        </w:tc>
      </w:tr>
      <w:tr>
        <w:trPr>
          <w:trHeight w:val="270"/>
        </w:trPr>
        <w:tc>
          <w:tcPr>
            <w:tcW w:w="8460" w:type="dxa"/>
            <w:vAlign w:val="bottom"/>
          </w:tcPr>
          <w:p>
            <w:pPr>
              <w:ind w:left="380"/>
              <w:spacing w:after="0"/>
              <w:rPr>
                <w:sz w:val="20"/>
                <w:szCs w:val="20"/>
                <w:color w:val="auto"/>
              </w:rPr>
            </w:pPr>
            <w:r>
              <w:rPr>
                <w:rFonts w:ascii="Arial" w:cs="Arial" w:eastAsia="Arial" w:hAnsi="Arial"/>
                <w:sz w:val="18"/>
                <w:szCs w:val="18"/>
                <w:color w:val="auto"/>
              </w:rPr>
              <w:t>Note payable to Comcast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1,853</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2,703</w:t>
            </w:r>
          </w:p>
        </w:tc>
      </w:tr>
      <w:tr>
        <w:trPr>
          <w:trHeight w:val="270"/>
        </w:trPr>
        <w:tc>
          <w:tcPr>
            <w:tcW w:w="8460" w:type="dxa"/>
            <w:vAlign w:val="bottom"/>
          </w:tcPr>
          <w:p>
            <w:pPr>
              <w:ind w:left="380"/>
              <w:spacing w:after="0"/>
              <w:rPr>
                <w:sz w:val="20"/>
                <w:szCs w:val="20"/>
                <w:color w:val="auto"/>
              </w:rPr>
            </w:pPr>
            <w:r>
              <w:rPr>
                <w:rFonts w:ascii="Arial" w:cs="Arial" w:eastAsia="Arial" w:hAnsi="Arial"/>
                <w:sz w:val="18"/>
                <w:szCs w:val="18"/>
                <w:color w:val="auto"/>
              </w:rPr>
              <w:t>Other noncurrent liabilities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389</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389</w:t>
            </w:r>
          </w:p>
        </w:tc>
      </w:tr>
      <w:tr>
        <w:trPr>
          <w:trHeight w:val="27"/>
        </w:trPr>
        <w:tc>
          <w:tcPr>
            <w:tcW w:w="8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77"/>
        </w:trPr>
        <w:tc>
          <w:tcPr>
            <w:tcW w:w="8460" w:type="dxa"/>
            <w:vAlign w:val="bottom"/>
          </w:tcPr>
          <w:p>
            <w:pPr>
              <w:ind w:left="3720"/>
              <w:spacing w:after="0"/>
              <w:rPr>
                <w:sz w:val="20"/>
                <w:szCs w:val="20"/>
                <w:color w:val="auto"/>
              </w:rPr>
            </w:pPr>
            <w:r>
              <w:rPr>
                <w:rFonts w:ascii="Arial" w:cs="Arial" w:eastAsia="Arial" w:hAnsi="Arial"/>
                <w:sz w:val="18"/>
                <w:szCs w:val="18"/>
                <w:b w:val="1"/>
                <w:bCs w:val="1"/>
                <w:color w:val="auto"/>
              </w:rPr>
              <w:t>Condensed Consolidated Statement of Income</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92"/>
        </w:trPr>
        <w:tc>
          <w:tcPr>
            <w:tcW w:w="8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80" w:type="dxa"/>
            <w:vAlign w:val="bottom"/>
            <w:gridSpan w:val="3"/>
          </w:tcPr>
          <w:p>
            <w:pPr>
              <w:jc w:val="right"/>
              <w:ind w:right="775"/>
              <w:spacing w:after="0"/>
              <w:rPr>
                <w:sz w:val="20"/>
                <w:szCs w:val="20"/>
                <w:color w:val="auto"/>
              </w:rPr>
            </w:pPr>
            <w:r>
              <w:rPr>
                <w:rFonts w:ascii="Arial" w:cs="Arial" w:eastAsia="Arial" w:hAnsi="Arial"/>
                <w:sz w:val="14"/>
                <w:szCs w:val="14"/>
                <w:color w:val="auto"/>
              </w:rPr>
              <w:t>Three Months Ended</w:t>
            </w:r>
          </w:p>
        </w:tc>
      </w:tr>
      <w:tr>
        <w:trPr>
          <w:trHeight w:val="188"/>
        </w:trPr>
        <w:tc>
          <w:tcPr>
            <w:tcW w:w="84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March 31</w:t>
            </w:r>
          </w:p>
        </w:tc>
        <w:tc>
          <w:tcPr>
            <w:tcW w:w="1180" w:type="dxa"/>
            <w:vAlign w:val="bottom"/>
            <w:tcBorders>
              <w:bottom w:val="single" w:sz="8" w:color="auto"/>
            </w:tcBorders>
          </w:tcPr>
          <w:p>
            <w:pPr>
              <w:spacing w:after="0"/>
              <w:rPr>
                <w:sz w:val="16"/>
                <w:szCs w:val="16"/>
                <w:color w:val="auto"/>
              </w:rPr>
            </w:pPr>
          </w:p>
        </w:tc>
      </w:tr>
      <w:tr>
        <w:trPr>
          <w:trHeight w:val="196"/>
        </w:trPr>
        <w:tc>
          <w:tcPr>
            <w:tcW w:w="84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color w:val="auto"/>
              </w:rPr>
              <w:t>2017</w:t>
            </w: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color w:val="auto"/>
              </w:rPr>
              <w:t>2016</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b w:val="1"/>
                <w:bCs w:val="1"/>
                <w:color w:val="auto"/>
              </w:rPr>
              <w:t>Transactions with Comcast and Consolidated Subsidiaries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0"/>
        </w:trPr>
        <w:tc>
          <w:tcPr>
            <w:tcW w:w="8460" w:type="dxa"/>
            <w:vAlign w:val="bottom"/>
          </w:tcPr>
          <w:p>
            <w:pPr>
              <w:ind w:left="380"/>
              <w:spacing w:after="0"/>
              <w:rPr>
                <w:sz w:val="20"/>
                <w:szCs w:val="20"/>
                <w:color w:val="auto"/>
              </w:rPr>
            </w:pPr>
            <w:r>
              <w:rPr>
                <w:rFonts w:ascii="Arial" w:cs="Arial" w:eastAsia="Arial" w:hAnsi="Arial"/>
                <w:sz w:val="18"/>
                <w:szCs w:val="18"/>
                <w:color w:val="auto"/>
              </w:rPr>
              <w:t>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459</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406</w:t>
            </w:r>
          </w:p>
        </w:tc>
      </w:tr>
      <w:tr>
        <w:trPr>
          <w:trHeight w:val="270"/>
        </w:trPr>
        <w:tc>
          <w:tcPr>
            <w:tcW w:w="8460" w:type="dxa"/>
            <w:vAlign w:val="bottom"/>
          </w:tcPr>
          <w:p>
            <w:pPr>
              <w:ind w:left="380"/>
              <w:spacing w:after="0"/>
              <w:rPr>
                <w:sz w:val="20"/>
                <w:szCs w:val="20"/>
                <w:color w:val="auto"/>
              </w:rPr>
            </w:pPr>
            <w:r>
              <w:rPr>
                <w:rFonts w:ascii="Arial" w:cs="Arial" w:eastAsia="Arial" w:hAnsi="Arial"/>
                <w:sz w:val="18"/>
                <w:szCs w:val="18"/>
                <w:color w:val="auto"/>
              </w:rPr>
              <w:t>Operating costs and expenses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0"/>
        </w:trPr>
        <w:tc>
          <w:tcPr>
            <w:tcW w:w="8460" w:type="dxa"/>
            <w:vAlign w:val="bottom"/>
          </w:tcPr>
          <w:p>
            <w:pPr>
              <w:ind w:left="380"/>
              <w:spacing w:after="0"/>
              <w:rPr>
                <w:sz w:val="20"/>
                <w:szCs w:val="20"/>
                <w:color w:val="auto"/>
              </w:rPr>
            </w:pPr>
            <w:r>
              <w:rPr>
                <w:rFonts w:ascii="Arial" w:cs="Arial" w:eastAsia="Arial" w:hAnsi="Arial"/>
                <w:sz w:val="18"/>
                <w:szCs w:val="18"/>
                <w:color w:val="auto"/>
              </w:rPr>
              <w:t>Other income (expense)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8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Film and Television Costs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160" w:type="dxa"/>
            <w:vAlign w:val="bottom"/>
          </w:tcPr>
          <w:p>
            <w:pPr>
              <w:jc w:val="right"/>
              <w:ind w:right="333"/>
              <w:spacing w:after="0"/>
              <w:rPr>
                <w:sz w:val="20"/>
                <w:szCs w:val="20"/>
                <w:color w:val="auto"/>
              </w:rPr>
            </w:pPr>
            <w:r>
              <w:rPr>
                <w:rFonts w:ascii="Arial" w:cs="Arial" w:eastAsia="Arial" w:hAnsi="Arial"/>
                <w:sz w:val="14"/>
                <w:szCs w:val="14"/>
                <w:color w:val="auto"/>
              </w:rPr>
              <w:t>March 31,</w:t>
            </w:r>
          </w:p>
        </w:tc>
        <w:tc>
          <w:tcPr>
            <w:tcW w:w="260" w:type="dxa"/>
            <w:vAlign w:val="bottom"/>
          </w:tcPr>
          <w:p>
            <w:pPr>
              <w:spacing w:after="0"/>
              <w:rPr>
                <w:sz w:val="14"/>
                <w:szCs w:val="14"/>
                <w:color w:val="auto"/>
              </w:rPr>
            </w:pPr>
          </w:p>
        </w:tc>
        <w:tc>
          <w:tcPr>
            <w:tcW w:w="1260" w:type="dxa"/>
            <w:vAlign w:val="bottom"/>
          </w:tcPr>
          <w:p>
            <w:pPr>
              <w:jc w:val="right"/>
              <w:ind w:right="273"/>
              <w:spacing w:after="0"/>
              <w:rPr>
                <w:sz w:val="20"/>
                <w:szCs w:val="20"/>
                <w:color w:val="auto"/>
              </w:rPr>
            </w:pPr>
            <w:r>
              <w:rPr>
                <w:rFonts w:ascii="Arial" w:cs="Arial" w:eastAsia="Arial" w:hAnsi="Arial"/>
                <w:sz w:val="14"/>
                <w:szCs w:val="14"/>
                <w:color w:val="auto"/>
              </w:rPr>
              <w:t>December 31,</w:t>
            </w:r>
          </w:p>
        </w:tc>
      </w:tr>
      <w:tr>
        <w:trPr>
          <w:trHeight w:val="188"/>
        </w:trPr>
        <w:tc>
          <w:tcPr>
            <w:tcW w:w="5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8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color w:val="auto"/>
              </w:rPr>
              <w:t>2017</w:t>
            </w: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color w:val="auto"/>
              </w:rPr>
              <w:t>2016</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Film Costs:</w:t>
            </w:r>
          </w:p>
        </w:tc>
        <w:tc>
          <w:tcPr>
            <w:tcW w:w="28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0"/>
        </w:trPr>
        <w:tc>
          <w:tcPr>
            <w:tcW w:w="5860" w:type="dxa"/>
            <w:vAlign w:val="bottom"/>
          </w:tcPr>
          <w:p>
            <w:pPr>
              <w:ind w:left="380"/>
              <w:spacing w:after="0"/>
              <w:rPr>
                <w:sz w:val="20"/>
                <w:szCs w:val="20"/>
                <w:color w:val="auto"/>
              </w:rPr>
            </w:pPr>
            <w:r>
              <w:rPr>
                <w:rFonts w:ascii="Arial" w:cs="Arial" w:eastAsia="Arial" w:hAnsi="Arial"/>
                <w:sz w:val="18"/>
                <w:szCs w:val="18"/>
                <w:color w:val="auto"/>
              </w:rPr>
              <w:t>Released, less amortization</w:t>
            </w:r>
          </w:p>
        </w:tc>
        <w:tc>
          <w:tcPr>
            <w:tcW w:w="28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1,657</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1,750</w:t>
            </w:r>
          </w:p>
        </w:tc>
      </w:tr>
      <w:tr>
        <w:trPr>
          <w:trHeight w:val="270"/>
        </w:trPr>
        <w:tc>
          <w:tcPr>
            <w:tcW w:w="5860" w:type="dxa"/>
            <w:vAlign w:val="bottom"/>
          </w:tcPr>
          <w:p>
            <w:pPr>
              <w:ind w:left="380"/>
              <w:spacing w:after="0"/>
              <w:rPr>
                <w:sz w:val="20"/>
                <w:szCs w:val="20"/>
                <w:color w:val="auto"/>
              </w:rPr>
            </w:pPr>
            <w:r>
              <w:rPr>
                <w:rFonts w:ascii="Arial" w:cs="Arial" w:eastAsia="Arial" w:hAnsi="Arial"/>
                <w:sz w:val="18"/>
                <w:szCs w:val="18"/>
                <w:color w:val="auto"/>
              </w:rPr>
              <w:t>Completed, not released</w:t>
            </w:r>
          </w:p>
        </w:tc>
        <w:tc>
          <w:tcPr>
            <w:tcW w:w="28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469</w:t>
            </w:r>
          </w:p>
        </w:tc>
        <w:tc>
          <w:tcPr>
            <w:tcW w:w="2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50</w:t>
            </w:r>
          </w:p>
        </w:tc>
      </w:tr>
      <w:tr>
        <w:trPr>
          <w:trHeight w:val="270"/>
        </w:trPr>
        <w:tc>
          <w:tcPr>
            <w:tcW w:w="5860" w:type="dxa"/>
            <w:vAlign w:val="bottom"/>
          </w:tcPr>
          <w:p>
            <w:pPr>
              <w:ind w:left="380"/>
              <w:spacing w:after="0"/>
              <w:rPr>
                <w:sz w:val="20"/>
                <w:szCs w:val="20"/>
                <w:color w:val="auto"/>
              </w:rPr>
            </w:pPr>
            <w:r>
              <w:rPr>
                <w:rFonts w:ascii="Arial" w:cs="Arial" w:eastAsia="Arial" w:hAnsi="Arial"/>
                <w:sz w:val="18"/>
                <w:szCs w:val="18"/>
                <w:color w:val="auto"/>
              </w:rPr>
              <w:t>In production and in development</w:t>
            </w:r>
          </w:p>
        </w:tc>
        <w:tc>
          <w:tcPr>
            <w:tcW w:w="28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982</w:t>
            </w:r>
          </w:p>
        </w:tc>
        <w:tc>
          <w:tcPr>
            <w:tcW w:w="2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1,310</w:t>
            </w:r>
          </w:p>
        </w:tc>
      </w:tr>
      <w:tr>
        <w:trPr>
          <w:trHeight w:val="27"/>
        </w:trPr>
        <w:tc>
          <w:tcPr>
            <w:tcW w:w="586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8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3,108</w:t>
            </w:r>
          </w:p>
        </w:tc>
        <w:tc>
          <w:tcPr>
            <w:tcW w:w="26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3,110</w:t>
            </w:r>
          </w:p>
        </w:tc>
      </w:tr>
      <w:tr>
        <w:trPr>
          <w:trHeight w:val="270"/>
        </w:trPr>
        <w:tc>
          <w:tcPr>
            <w:tcW w:w="5860" w:type="dxa"/>
            <w:vAlign w:val="bottom"/>
          </w:tcPr>
          <w:p>
            <w:pPr>
              <w:ind w:left="40"/>
              <w:spacing w:after="0"/>
              <w:rPr>
                <w:sz w:val="20"/>
                <w:szCs w:val="20"/>
                <w:color w:val="auto"/>
              </w:rPr>
            </w:pPr>
            <w:r>
              <w:rPr>
                <w:rFonts w:ascii="Arial" w:cs="Arial" w:eastAsia="Arial" w:hAnsi="Arial"/>
                <w:sz w:val="18"/>
                <w:szCs w:val="18"/>
                <w:color w:val="auto"/>
              </w:rPr>
              <w:t>Television Costs:</w:t>
            </w:r>
          </w:p>
        </w:tc>
        <w:tc>
          <w:tcPr>
            <w:tcW w:w="28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5860" w:type="dxa"/>
            <w:vAlign w:val="bottom"/>
          </w:tcPr>
          <w:p>
            <w:pPr>
              <w:ind w:left="380"/>
              <w:spacing w:after="0"/>
              <w:rPr>
                <w:sz w:val="20"/>
                <w:szCs w:val="20"/>
                <w:color w:val="auto"/>
              </w:rPr>
            </w:pPr>
            <w:r>
              <w:rPr>
                <w:rFonts w:ascii="Arial" w:cs="Arial" w:eastAsia="Arial" w:hAnsi="Arial"/>
                <w:sz w:val="18"/>
                <w:szCs w:val="18"/>
                <w:color w:val="auto"/>
              </w:rPr>
              <w:t>Released, less amortization</w:t>
            </w:r>
          </w:p>
        </w:tc>
        <w:tc>
          <w:tcPr>
            <w:tcW w:w="28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2,008</w:t>
            </w:r>
          </w:p>
        </w:tc>
        <w:tc>
          <w:tcPr>
            <w:tcW w:w="2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1,953</w:t>
            </w:r>
          </w:p>
        </w:tc>
      </w:tr>
      <w:tr>
        <w:trPr>
          <w:trHeight w:val="270"/>
        </w:trPr>
        <w:tc>
          <w:tcPr>
            <w:tcW w:w="5860" w:type="dxa"/>
            <w:vAlign w:val="bottom"/>
          </w:tcPr>
          <w:p>
            <w:pPr>
              <w:ind w:left="380"/>
              <w:spacing w:after="0"/>
              <w:rPr>
                <w:sz w:val="20"/>
                <w:szCs w:val="20"/>
                <w:color w:val="auto"/>
              </w:rPr>
            </w:pPr>
            <w:r>
              <w:rPr>
                <w:rFonts w:ascii="Arial" w:cs="Arial" w:eastAsia="Arial" w:hAnsi="Arial"/>
                <w:sz w:val="18"/>
                <w:szCs w:val="18"/>
                <w:color w:val="auto"/>
              </w:rPr>
              <w:t>In production and in development</w:t>
            </w:r>
          </w:p>
        </w:tc>
        <w:tc>
          <w:tcPr>
            <w:tcW w:w="28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729</w:t>
            </w:r>
          </w:p>
        </w:tc>
        <w:tc>
          <w:tcPr>
            <w:tcW w:w="2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853</w:t>
            </w:r>
          </w:p>
        </w:tc>
      </w:tr>
      <w:tr>
        <w:trPr>
          <w:trHeight w:val="27"/>
        </w:trPr>
        <w:tc>
          <w:tcPr>
            <w:tcW w:w="586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8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2,737</w:t>
            </w:r>
          </w:p>
        </w:tc>
        <w:tc>
          <w:tcPr>
            <w:tcW w:w="26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2,806</w:t>
            </w:r>
          </w:p>
        </w:tc>
      </w:tr>
      <w:tr>
        <w:trPr>
          <w:trHeight w:val="270"/>
        </w:trPr>
        <w:tc>
          <w:tcPr>
            <w:tcW w:w="5860" w:type="dxa"/>
            <w:vAlign w:val="bottom"/>
          </w:tcPr>
          <w:p>
            <w:pPr>
              <w:ind w:left="40"/>
              <w:spacing w:after="0"/>
              <w:rPr>
                <w:sz w:val="20"/>
                <w:szCs w:val="20"/>
                <w:color w:val="auto"/>
              </w:rPr>
            </w:pPr>
            <w:r>
              <w:rPr>
                <w:rFonts w:ascii="Arial" w:cs="Arial" w:eastAsia="Arial" w:hAnsi="Arial"/>
                <w:sz w:val="18"/>
                <w:szCs w:val="18"/>
                <w:color w:val="auto"/>
              </w:rPr>
              <w:t>Programming rights, less amortization</w:t>
            </w:r>
          </w:p>
        </w:tc>
        <w:tc>
          <w:tcPr>
            <w:tcW w:w="28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2,587</w:t>
            </w:r>
          </w:p>
        </w:tc>
        <w:tc>
          <w:tcPr>
            <w:tcW w:w="2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2,570</w:t>
            </w:r>
          </w:p>
        </w:tc>
      </w:tr>
      <w:tr>
        <w:trPr>
          <w:trHeight w:val="27"/>
        </w:trPr>
        <w:tc>
          <w:tcPr>
            <w:tcW w:w="586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8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8,432</w:t>
            </w:r>
          </w:p>
        </w:tc>
        <w:tc>
          <w:tcPr>
            <w:tcW w:w="26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8,486</w:t>
            </w:r>
          </w:p>
        </w:tc>
      </w:tr>
      <w:tr>
        <w:trPr>
          <w:trHeight w:val="270"/>
        </w:trPr>
        <w:tc>
          <w:tcPr>
            <w:tcW w:w="5860" w:type="dxa"/>
            <w:vAlign w:val="bottom"/>
          </w:tcPr>
          <w:p>
            <w:pPr>
              <w:ind w:left="40"/>
              <w:spacing w:after="0"/>
              <w:rPr>
                <w:sz w:val="20"/>
                <w:szCs w:val="20"/>
                <w:color w:val="auto"/>
              </w:rPr>
            </w:pPr>
            <w:r>
              <w:rPr>
                <w:rFonts w:ascii="Arial" w:cs="Arial" w:eastAsia="Arial" w:hAnsi="Arial"/>
                <w:sz w:val="18"/>
                <w:szCs w:val="18"/>
                <w:color w:val="auto"/>
              </w:rPr>
              <w:t>Less: Current portion of programming rights</w:t>
            </w:r>
          </w:p>
        </w:tc>
        <w:tc>
          <w:tcPr>
            <w:tcW w:w="28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1,471</w:t>
            </w:r>
          </w:p>
        </w:tc>
        <w:tc>
          <w:tcPr>
            <w:tcW w:w="2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1,241</w:t>
            </w:r>
          </w:p>
        </w:tc>
      </w:tr>
      <w:tr>
        <w:trPr>
          <w:trHeight w:val="27"/>
        </w:trPr>
        <w:tc>
          <w:tcPr>
            <w:tcW w:w="586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b w:val="1"/>
                <w:bCs w:val="1"/>
                <w:color w:val="auto"/>
              </w:rPr>
              <w:t>Film and television costs</w:t>
            </w:r>
          </w:p>
        </w:tc>
        <w:tc>
          <w:tcPr>
            <w:tcW w:w="288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6,961</w:t>
            </w:r>
          </w:p>
        </w:tc>
        <w:tc>
          <w:tcPr>
            <w:tcW w:w="2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3"/>
              <w:spacing w:after="0"/>
              <w:rPr>
                <w:sz w:val="20"/>
                <w:szCs w:val="20"/>
                <w:color w:val="auto"/>
              </w:rPr>
            </w:pPr>
            <w:r>
              <w:rPr>
                <w:rFonts w:ascii="Arial" w:cs="Arial" w:eastAsia="Arial" w:hAnsi="Arial"/>
                <w:sz w:val="18"/>
                <w:szCs w:val="18"/>
                <w:b w:val="1"/>
                <w:bCs w:val="1"/>
                <w:color w:val="auto"/>
              </w:rPr>
              <w:t>7,245</w:t>
            </w:r>
          </w:p>
        </w:tc>
      </w:tr>
      <w:tr>
        <w:trPr>
          <w:trHeight w:val="34"/>
        </w:trPr>
        <w:tc>
          <w:tcPr>
            <w:tcW w:w="586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121" w:right="239" w:bottom="144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Investments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160" w:type="dxa"/>
            <w:vAlign w:val="bottom"/>
          </w:tcPr>
          <w:p>
            <w:pPr>
              <w:jc w:val="right"/>
              <w:ind w:right="333"/>
              <w:spacing w:after="0"/>
              <w:rPr>
                <w:sz w:val="20"/>
                <w:szCs w:val="20"/>
                <w:color w:val="auto"/>
              </w:rPr>
            </w:pPr>
            <w:r>
              <w:rPr>
                <w:rFonts w:ascii="Arial" w:cs="Arial" w:eastAsia="Arial" w:hAnsi="Arial"/>
                <w:sz w:val="14"/>
                <w:szCs w:val="14"/>
                <w:color w:val="auto"/>
              </w:rPr>
              <w:t>March 31,</w:t>
            </w:r>
          </w:p>
        </w:tc>
        <w:tc>
          <w:tcPr>
            <w:tcW w:w="260" w:type="dxa"/>
            <w:vAlign w:val="bottom"/>
          </w:tcPr>
          <w:p>
            <w:pPr>
              <w:spacing w:after="0"/>
              <w:rPr>
                <w:sz w:val="14"/>
                <w:szCs w:val="14"/>
                <w:color w:val="auto"/>
              </w:rPr>
            </w:pPr>
          </w:p>
        </w:tc>
        <w:tc>
          <w:tcPr>
            <w:tcW w:w="1260" w:type="dxa"/>
            <w:vAlign w:val="bottom"/>
          </w:tcPr>
          <w:p>
            <w:pPr>
              <w:jc w:val="right"/>
              <w:ind w:right="273"/>
              <w:spacing w:after="0"/>
              <w:rPr>
                <w:sz w:val="20"/>
                <w:szCs w:val="20"/>
                <w:color w:val="auto"/>
              </w:rPr>
            </w:pPr>
            <w:r>
              <w:rPr>
                <w:rFonts w:ascii="Arial" w:cs="Arial" w:eastAsia="Arial" w:hAnsi="Arial"/>
                <w:sz w:val="14"/>
                <w:szCs w:val="14"/>
                <w:color w:val="auto"/>
              </w:rPr>
              <w:t>December 31,</w:t>
            </w:r>
          </w:p>
        </w:tc>
      </w:tr>
      <w:tr>
        <w:trPr>
          <w:trHeight w:val="188"/>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7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color w:val="auto"/>
              </w:rPr>
              <w:t>2017</w:t>
            </w: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color w:val="auto"/>
              </w:rPr>
              <w:t>2016</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Fair Value Method:</w:t>
            </w:r>
          </w:p>
        </w:tc>
        <w:tc>
          <w:tcPr>
            <w:tcW w:w="37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Snap</w:t>
            </w:r>
          </w:p>
        </w:tc>
        <w:tc>
          <w:tcPr>
            <w:tcW w:w="37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662</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Other</w:t>
            </w:r>
          </w:p>
        </w:tc>
        <w:tc>
          <w:tcPr>
            <w:tcW w:w="37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6</w:t>
            </w:r>
          </w:p>
        </w:tc>
      </w:tr>
      <w:tr>
        <w:trPr>
          <w:trHeight w:val="27"/>
        </w:trPr>
        <w:tc>
          <w:tcPr>
            <w:tcW w:w="496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669</w:t>
            </w:r>
          </w:p>
        </w:tc>
        <w:tc>
          <w:tcPr>
            <w:tcW w:w="26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6</w:t>
            </w:r>
          </w:p>
        </w:tc>
      </w:tr>
      <w:tr>
        <w:trPr>
          <w:trHeight w:val="270"/>
        </w:trPr>
        <w:tc>
          <w:tcPr>
            <w:tcW w:w="4960" w:type="dxa"/>
            <w:vAlign w:val="bottom"/>
          </w:tcPr>
          <w:p>
            <w:pPr>
              <w:ind w:left="40"/>
              <w:spacing w:after="0"/>
              <w:rPr>
                <w:sz w:val="20"/>
                <w:szCs w:val="20"/>
                <w:color w:val="auto"/>
              </w:rPr>
            </w:pPr>
            <w:r>
              <w:rPr>
                <w:rFonts w:ascii="Arial" w:cs="Arial" w:eastAsia="Arial" w:hAnsi="Arial"/>
                <w:sz w:val="18"/>
                <w:szCs w:val="18"/>
                <w:color w:val="auto"/>
              </w:rPr>
              <w:t>Equity Method:</w:t>
            </w:r>
          </w:p>
        </w:tc>
        <w:tc>
          <w:tcPr>
            <w:tcW w:w="37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Hulu</w:t>
            </w:r>
          </w:p>
        </w:tc>
        <w:tc>
          <w:tcPr>
            <w:tcW w:w="37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171</w:t>
            </w:r>
          </w:p>
        </w:tc>
        <w:tc>
          <w:tcPr>
            <w:tcW w:w="2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225</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Other</w:t>
            </w:r>
          </w:p>
        </w:tc>
        <w:tc>
          <w:tcPr>
            <w:tcW w:w="37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400</w:t>
            </w:r>
          </w:p>
        </w:tc>
        <w:tc>
          <w:tcPr>
            <w:tcW w:w="2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336</w:t>
            </w:r>
          </w:p>
        </w:tc>
      </w:tr>
      <w:tr>
        <w:trPr>
          <w:trHeight w:val="27"/>
        </w:trPr>
        <w:tc>
          <w:tcPr>
            <w:tcW w:w="496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571</w:t>
            </w:r>
          </w:p>
        </w:tc>
        <w:tc>
          <w:tcPr>
            <w:tcW w:w="26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561</w:t>
            </w:r>
          </w:p>
        </w:tc>
      </w:tr>
      <w:tr>
        <w:trPr>
          <w:trHeight w:val="270"/>
        </w:trPr>
        <w:tc>
          <w:tcPr>
            <w:tcW w:w="4960" w:type="dxa"/>
            <w:vAlign w:val="bottom"/>
          </w:tcPr>
          <w:p>
            <w:pPr>
              <w:ind w:left="40"/>
              <w:spacing w:after="0"/>
              <w:rPr>
                <w:sz w:val="20"/>
                <w:szCs w:val="20"/>
                <w:color w:val="auto"/>
              </w:rPr>
            </w:pPr>
            <w:r>
              <w:rPr>
                <w:rFonts w:ascii="Arial" w:cs="Arial" w:eastAsia="Arial" w:hAnsi="Arial"/>
                <w:sz w:val="18"/>
                <w:szCs w:val="18"/>
                <w:color w:val="auto"/>
              </w:rPr>
              <w:t>Cost Method:</w:t>
            </w:r>
          </w:p>
        </w:tc>
        <w:tc>
          <w:tcPr>
            <w:tcW w:w="37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BuzzFeed</w:t>
            </w:r>
          </w:p>
        </w:tc>
        <w:tc>
          <w:tcPr>
            <w:tcW w:w="37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400</w:t>
            </w:r>
          </w:p>
        </w:tc>
        <w:tc>
          <w:tcPr>
            <w:tcW w:w="2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400</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Other</w:t>
            </w:r>
          </w:p>
        </w:tc>
        <w:tc>
          <w:tcPr>
            <w:tcW w:w="37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300</w:t>
            </w:r>
          </w:p>
        </w:tc>
        <w:tc>
          <w:tcPr>
            <w:tcW w:w="2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296</w:t>
            </w:r>
          </w:p>
        </w:tc>
      </w:tr>
      <w:tr>
        <w:trPr>
          <w:trHeight w:val="27"/>
        </w:trPr>
        <w:tc>
          <w:tcPr>
            <w:tcW w:w="496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700</w:t>
            </w:r>
          </w:p>
        </w:tc>
        <w:tc>
          <w:tcPr>
            <w:tcW w:w="26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696</w:t>
            </w:r>
          </w:p>
        </w:tc>
      </w:tr>
      <w:tr>
        <w:trPr>
          <w:trHeight w:val="27"/>
        </w:trPr>
        <w:tc>
          <w:tcPr>
            <w:tcW w:w="496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Total investments</w:t>
            </w:r>
          </w:p>
        </w:tc>
        <w:tc>
          <w:tcPr>
            <w:tcW w:w="378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1,940</w:t>
            </w:r>
          </w:p>
        </w:tc>
        <w:tc>
          <w:tcPr>
            <w:tcW w:w="2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3"/>
              <w:spacing w:after="0"/>
              <w:rPr>
                <w:sz w:val="20"/>
                <w:szCs w:val="20"/>
                <w:color w:val="auto"/>
              </w:rPr>
            </w:pPr>
            <w:r>
              <w:rPr>
                <w:rFonts w:ascii="Arial" w:cs="Arial" w:eastAsia="Arial" w:hAnsi="Arial"/>
                <w:sz w:val="18"/>
                <w:szCs w:val="18"/>
                <w:b w:val="1"/>
                <w:bCs w:val="1"/>
                <w:color w:val="auto"/>
              </w:rPr>
              <w:t>1,263</w:t>
            </w:r>
          </w:p>
        </w:tc>
      </w:tr>
      <w:tr>
        <w:trPr>
          <w:trHeight w:val="34"/>
        </w:trPr>
        <w:tc>
          <w:tcPr>
            <w:tcW w:w="496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Method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Snap</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2017, Comcast acquired an interest in Snap Inc. as part of its initial public offering. On March 31, 2017, Comcast contributed its investment in Snap to us as an equity contribution which was recorded in our condensed consolidated statement of equity based on the fair value of the investment as of March 31, 2017. We have classified our investment as available for sale. Snap is a camera company whose primary product is Snapchat, a camera app that was created to help people communicate through short videos and images.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Weather Channel</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2016, following a legal restructuring at The Weather Channel, we and the other investors sold the entity holding The Weather Channel’s product and technology businesses to IBM. Following the close of the transaction, we continue to hold an investment in The Weather Channel cable network through a new holding company. As a result of the sale of our investment, we recognized a pretax gain of $108 million in other income (expense), net for the three months ended March 31, 2016.</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Long-Term Debt</w:t>
      </w:r>
    </w:p>
    <w:p>
      <w:pPr>
        <w:spacing w:after="0" w:line="7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As of March 31, 2017, our debt, excluding the note payable to Comcast, had a carrying value of $11.7 billion and an estimated fair value of $12.6 billion. The estimated fair value of our publicly traded debt was primarily based on Level 1 inputs that use quoted market values for the debt. The estimated fair value of debt for which there are no quoted market prices was based on Level 2 inputs that use interest rates available to us for debt with similar terms and remaining maturities.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Cross-Guarantee Structure</w:t>
      </w:r>
    </w:p>
    <w:p>
      <w:pPr>
        <w:spacing w:after="0" w:line="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Comcast and a 100% owned cable holding company subsidiary of Comcast (“CCCL Parent”) have fully and unconditionally guaranteed each other’s debt securities, including the $7 billion Comcast revolving credit facility due 2021. As of March 31, 2017, outstanding debt securities of $45.5 billion of Comcast and CCCL Parent were subject to the guarantee structure.</w:t>
      </w:r>
    </w:p>
    <w:p>
      <w:pPr>
        <w:spacing w:after="0" w:line="33"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We do not, however, guarantee the obligations of NBCUniversal Enterprise with respect to its $3.3 billion aggregate principal amount of senior notes, $1.5 billion revolving credit facility, commercial paper program, or $725 million liquidation preference of Series A cumulative preferred stock.</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None of Comcast, CCCL Parent nor NBCUniversal guarantee the $3.4 billion of Universal Studios Japan term loans.</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Share-Based Compensation</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Comcast maintains share-based compensation plans that consist primarily of awards of restricted share units and stock options to certain employees and directors as part of its approach to long-term incentive compensation. Additionally, through its employee stock purchase plans, employees are able to purchase shares of Comcast common stock at a discount through payroll deductions. Certain of our employees participate in these plans and the expense associated with their participation is settled in cash with Comcast.</w:t>
      </w:r>
    </w:p>
    <w:p>
      <w:pPr>
        <w:sectPr>
          <w:pgSz w:w="11900" w:h="16838" w:orient="portrait"/>
          <w:cols w:equalWidth="0" w:num="1">
            <w:col w:w="11420"/>
          </w:cols>
          <w:pgMar w:left="240" w:top="121" w:right="239" w:bottom="1440" w:gutter="0" w:footer="0" w:header="0"/>
        </w:sect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121" w:right="239" w:bottom="1440"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Recognized Share-Based Compensation Expense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0" w:type="dxa"/>
            <w:vAlign w:val="bottom"/>
            <w:gridSpan w:val="3"/>
          </w:tcPr>
          <w:p>
            <w:pPr>
              <w:jc w:val="right"/>
              <w:ind w:right="774"/>
              <w:spacing w:after="0"/>
              <w:rPr>
                <w:sz w:val="20"/>
                <w:szCs w:val="20"/>
                <w:color w:val="auto"/>
              </w:rPr>
            </w:pPr>
            <w:r>
              <w:rPr>
                <w:rFonts w:ascii="Arial" w:cs="Arial" w:eastAsia="Arial" w:hAnsi="Arial"/>
                <w:sz w:val="14"/>
                <w:szCs w:val="14"/>
                <w:color w:val="auto"/>
              </w:rPr>
              <w:t>Three Months Ended</w:t>
            </w:r>
          </w:p>
        </w:tc>
      </w:tr>
      <w:tr>
        <w:trPr>
          <w:trHeight w:val="188"/>
        </w:trPr>
        <w:tc>
          <w:tcPr>
            <w:tcW w:w="84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color w:val="auto"/>
              </w:rPr>
              <w:t>March 31</w:t>
            </w:r>
          </w:p>
        </w:tc>
        <w:tc>
          <w:tcPr>
            <w:tcW w:w="1040" w:type="dxa"/>
            <w:vAlign w:val="bottom"/>
            <w:tcBorders>
              <w:bottom w:val="single" w:sz="8" w:color="auto"/>
            </w:tcBorders>
          </w:tcPr>
          <w:p>
            <w:pPr>
              <w:spacing w:after="0"/>
              <w:rPr>
                <w:sz w:val="16"/>
                <w:szCs w:val="16"/>
                <w:color w:val="auto"/>
              </w:rPr>
            </w:pPr>
          </w:p>
        </w:tc>
      </w:tr>
      <w:tr>
        <w:trPr>
          <w:trHeight w:val="196"/>
        </w:trPr>
        <w:tc>
          <w:tcPr>
            <w:tcW w:w="84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color w:val="auto"/>
              </w:rPr>
              <w:t>2017</w:t>
            </w:r>
          </w:p>
        </w:tc>
        <w:tc>
          <w:tcPr>
            <w:tcW w:w="4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color w:val="auto"/>
              </w:rPr>
              <w:t>2016</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Restricted share units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w:t>
            </w:r>
          </w:p>
        </w:tc>
        <w:tc>
          <w:tcPr>
            <w:tcW w:w="4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18</w:t>
            </w:r>
          </w:p>
        </w:tc>
      </w:tr>
      <w:tr>
        <w:trPr>
          <w:trHeight w:val="270"/>
        </w:trPr>
        <w:tc>
          <w:tcPr>
            <w:tcW w:w="8460" w:type="dxa"/>
            <w:vAlign w:val="bottom"/>
          </w:tcPr>
          <w:p>
            <w:pPr>
              <w:ind w:left="40"/>
              <w:spacing w:after="0"/>
              <w:rPr>
                <w:sz w:val="20"/>
                <w:szCs w:val="20"/>
                <w:color w:val="auto"/>
              </w:rPr>
            </w:pPr>
            <w:r>
              <w:rPr>
                <w:rFonts w:ascii="Arial" w:cs="Arial" w:eastAsia="Arial" w:hAnsi="Arial"/>
                <w:sz w:val="18"/>
                <w:szCs w:val="18"/>
                <w:color w:val="auto"/>
              </w:rPr>
              <w:t>Stock options</w:t>
            </w:r>
          </w:p>
        </w:tc>
        <w:tc>
          <w:tcPr>
            <w:tcW w:w="3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48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w:t>
            </w:r>
          </w:p>
        </w:tc>
      </w:tr>
      <w:tr>
        <w:trPr>
          <w:trHeight w:val="270"/>
        </w:trPr>
        <w:tc>
          <w:tcPr>
            <w:tcW w:w="8460" w:type="dxa"/>
            <w:vAlign w:val="bottom"/>
          </w:tcPr>
          <w:p>
            <w:pPr>
              <w:ind w:left="40"/>
              <w:spacing w:after="0"/>
              <w:rPr>
                <w:sz w:val="20"/>
                <w:szCs w:val="20"/>
                <w:color w:val="auto"/>
              </w:rPr>
            </w:pPr>
            <w:r>
              <w:rPr>
                <w:rFonts w:ascii="Arial" w:cs="Arial" w:eastAsia="Arial" w:hAnsi="Arial"/>
                <w:sz w:val="18"/>
                <w:szCs w:val="18"/>
                <w:color w:val="auto"/>
              </w:rPr>
              <w:t>Employee stock purchase plans</w:t>
            </w:r>
          </w:p>
        </w:tc>
        <w:tc>
          <w:tcPr>
            <w:tcW w:w="3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48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w:t>
            </w:r>
          </w:p>
        </w:tc>
      </w:tr>
      <w:tr>
        <w:trPr>
          <w:trHeight w:val="27"/>
        </w:trPr>
        <w:tc>
          <w:tcPr>
            <w:tcW w:w="8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846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480" w:type="dxa"/>
            <w:vAlign w:val="bottom"/>
          </w:tcPr>
          <w:p>
            <w:pPr>
              <w:jc w:val="right"/>
              <w:ind w:right="23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b w:val="1"/>
                <w:bCs w:val="1"/>
                <w:color w:val="auto"/>
              </w:rPr>
              <w:t>23</w:t>
            </w:r>
          </w:p>
        </w:tc>
      </w:tr>
      <w:tr>
        <w:trPr>
          <w:trHeight w:val="34"/>
        </w:trPr>
        <w:tc>
          <w:tcPr>
            <w:tcW w:w="8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Supplemental Financial Information</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Receivables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center"/>
              <w:ind w:right="216"/>
              <w:spacing w:after="0"/>
              <w:rPr>
                <w:sz w:val="20"/>
                <w:szCs w:val="20"/>
                <w:color w:val="auto"/>
              </w:rPr>
            </w:pPr>
            <w:r>
              <w:rPr>
                <w:rFonts w:ascii="Arial" w:cs="Arial" w:eastAsia="Arial" w:hAnsi="Arial"/>
                <w:sz w:val="14"/>
                <w:szCs w:val="14"/>
                <w:color w:val="auto"/>
                <w:w w:val="93"/>
              </w:rPr>
              <w:t>March 31,</w:t>
            </w:r>
          </w:p>
        </w:tc>
        <w:tc>
          <w:tcPr>
            <w:tcW w:w="300" w:type="dxa"/>
            <w:vAlign w:val="bottom"/>
          </w:tcPr>
          <w:p>
            <w:pPr>
              <w:spacing w:after="0"/>
              <w:rPr>
                <w:sz w:val="14"/>
                <w:szCs w:val="14"/>
                <w:color w:val="auto"/>
              </w:rPr>
            </w:pPr>
          </w:p>
        </w:tc>
        <w:tc>
          <w:tcPr>
            <w:tcW w:w="1180" w:type="dxa"/>
            <w:vAlign w:val="bottom"/>
          </w:tcPr>
          <w:p>
            <w:pPr>
              <w:jc w:val="center"/>
              <w:ind w:right="254"/>
              <w:spacing w:after="0"/>
              <w:rPr>
                <w:sz w:val="20"/>
                <w:szCs w:val="20"/>
                <w:color w:val="auto"/>
              </w:rPr>
            </w:pPr>
            <w:r>
              <w:rPr>
                <w:rFonts w:ascii="Arial" w:cs="Arial" w:eastAsia="Arial" w:hAnsi="Arial"/>
                <w:sz w:val="14"/>
                <w:szCs w:val="14"/>
                <w:color w:val="auto"/>
                <w:w w:val="90"/>
              </w:rPr>
              <w:t>December 31,</w:t>
            </w:r>
          </w:p>
        </w:tc>
      </w:tr>
      <w:tr>
        <w:trPr>
          <w:trHeight w:val="188"/>
        </w:trPr>
        <w:tc>
          <w:tcPr>
            <w:tcW w:w="84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color w:val="auto"/>
                <w:w w:val="89"/>
              </w:rPr>
              <w:t>2017</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color w:val="auto"/>
                <w:w w:val="89"/>
              </w:rPr>
              <w:t>2016</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Receivables, gross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6,647</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6,799</w:t>
            </w:r>
          </w:p>
        </w:tc>
      </w:tr>
      <w:tr>
        <w:trPr>
          <w:trHeight w:val="270"/>
        </w:trPr>
        <w:tc>
          <w:tcPr>
            <w:tcW w:w="8460" w:type="dxa"/>
            <w:vAlign w:val="bottom"/>
          </w:tcPr>
          <w:p>
            <w:pPr>
              <w:ind w:left="40"/>
              <w:spacing w:after="0"/>
              <w:rPr>
                <w:sz w:val="20"/>
                <w:szCs w:val="20"/>
                <w:color w:val="auto"/>
              </w:rPr>
            </w:pPr>
            <w:r>
              <w:rPr>
                <w:rFonts w:ascii="Arial" w:cs="Arial" w:eastAsia="Arial" w:hAnsi="Arial"/>
                <w:sz w:val="18"/>
                <w:szCs w:val="18"/>
                <w:color w:val="auto"/>
              </w:rPr>
              <w:t>Less: Allowance for returns and customer incentives</w:t>
            </w:r>
          </w:p>
        </w:tc>
        <w:tc>
          <w:tcPr>
            <w:tcW w:w="280" w:type="dxa"/>
            <w:vAlign w:val="bottom"/>
          </w:tcPr>
          <w:p>
            <w:pPr>
              <w:spacing w:after="0"/>
              <w:rPr>
                <w:sz w:val="23"/>
                <w:szCs w:val="23"/>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343</w:t>
            </w:r>
          </w:p>
        </w:tc>
        <w:tc>
          <w:tcPr>
            <w:tcW w:w="300" w:type="dxa"/>
            <w:vAlign w:val="bottom"/>
          </w:tcPr>
          <w:p>
            <w:pPr>
              <w:spacing w:after="0"/>
              <w:rPr>
                <w:sz w:val="23"/>
                <w:szCs w:val="23"/>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413</w:t>
            </w:r>
          </w:p>
        </w:tc>
      </w:tr>
      <w:tr>
        <w:trPr>
          <w:trHeight w:val="270"/>
        </w:trPr>
        <w:tc>
          <w:tcPr>
            <w:tcW w:w="8460" w:type="dxa"/>
            <w:vAlign w:val="bottom"/>
          </w:tcPr>
          <w:p>
            <w:pPr>
              <w:ind w:left="40"/>
              <w:spacing w:after="0"/>
              <w:rPr>
                <w:sz w:val="20"/>
                <w:szCs w:val="20"/>
                <w:color w:val="auto"/>
              </w:rPr>
            </w:pPr>
            <w:r>
              <w:rPr>
                <w:rFonts w:ascii="Arial" w:cs="Arial" w:eastAsia="Arial" w:hAnsi="Arial"/>
                <w:sz w:val="18"/>
                <w:szCs w:val="18"/>
                <w:color w:val="auto"/>
              </w:rPr>
              <w:t>Less: Allowance for doubtful accounts</w:t>
            </w:r>
          </w:p>
        </w:tc>
        <w:tc>
          <w:tcPr>
            <w:tcW w:w="280" w:type="dxa"/>
            <w:vAlign w:val="bottom"/>
          </w:tcPr>
          <w:p>
            <w:pPr>
              <w:spacing w:after="0"/>
              <w:rPr>
                <w:sz w:val="23"/>
                <w:szCs w:val="23"/>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77</w:t>
            </w:r>
          </w:p>
        </w:tc>
        <w:tc>
          <w:tcPr>
            <w:tcW w:w="300" w:type="dxa"/>
            <w:vAlign w:val="bottom"/>
          </w:tcPr>
          <w:p>
            <w:pPr>
              <w:spacing w:after="0"/>
              <w:rPr>
                <w:sz w:val="23"/>
                <w:szCs w:val="23"/>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84</w:t>
            </w:r>
          </w:p>
        </w:tc>
      </w:tr>
      <w:tr>
        <w:trPr>
          <w:trHeight w:val="27"/>
        </w:trPr>
        <w:tc>
          <w:tcPr>
            <w:tcW w:w="8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8460" w:type="dxa"/>
            <w:vAlign w:val="bottom"/>
          </w:tcPr>
          <w:p>
            <w:pPr>
              <w:ind w:left="40"/>
              <w:spacing w:after="0"/>
              <w:rPr>
                <w:sz w:val="20"/>
                <w:szCs w:val="20"/>
                <w:color w:val="auto"/>
              </w:rPr>
            </w:pPr>
            <w:r>
              <w:rPr>
                <w:rFonts w:ascii="Arial" w:cs="Arial" w:eastAsia="Arial" w:hAnsi="Arial"/>
                <w:sz w:val="18"/>
                <w:szCs w:val="18"/>
                <w:b w:val="1"/>
                <w:bCs w:val="1"/>
                <w:color w:val="auto"/>
              </w:rPr>
              <w:t>Receivables, net</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16"/>
              <w:spacing w:after="0"/>
              <w:rPr>
                <w:sz w:val="20"/>
                <w:szCs w:val="20"/>
                <w:color w:val="auto"/>
              </w:rPr>
            </w:pPr>
            <w:r>
              <w:rPr>
                <w:rFonts w:ascii="Arial" w:cs="Arial" w:eastAsia="Arial" w:hAnsi="Arial"/>
                <w:sz w:val="18"/>
                <w:szCs w:val="18"/>
                <w:b w:val="1"/>
                <w:bCs w:val="1"/>
                <w:color w:val="auto"/>
              </w:rPr>
              <w:t>6,227</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b w:val="1"/>
                <w:bCs w:val="1"/>
                <w:color w:val="auto"/>
              </w:rPr>
              <w:t>6,302</w:t>
            </w:r>
          </w:p>
        </w:tc>
      </w:tr>
      <w:tr>
        <w:trPr>
          <w:trHeight w:val="34"/>
        </w:trPr>
        <w:tc>
          <w:tcPr>
            <w:tcW w:w="8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4"/>
        </w:trPr>
        <w:tc>
          <w:tcPr>
            <w:tcW w:w="8460" w:type="dxa"/>
            <w:vAlign w:val="bottom"/>
          </w:tcPr>
          <w:p>
            <w:pPr>
              <w:jc w:val="center"/>
              <w:ind w:left="2872"/>
              <w:spacing w:after="0"/>
              <w:rPr>
                <w:sz w:val="20"/>
                <w:szCs w:val="20"/>
                <w:color w:val="auto"/>
              </w:rPr>
            </w:pPr>
            <w:r>
              <w:rPr>
                <w:rFonts w:ascii="Arial" w:cs="Arial" w:eastAsia="Arial" w:hAnsi="Arial"/>
                <w:sz w:val="18"/>
                <w:szCs w:val="18"/>
                <w:b w:val="1"/>
                <w:bCs w:val="1"/>
                <w:color w:val="auto"/>
              </w:rPr>
              <w:t>Accumulated Other Comprehensive Income (Loss)</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92"/>
        </w:trPr>
        <w:tc>
          <w:tcPr>
            <w:tcW w:w="8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center"/>
              <w:ind w:right="216"/>
              <w:spacing w:after="0"/>
              <w:rPr>
                <w:sz w:val="20"/>
                <w:szCs w:val="20"/>
                <w:color w:val="auto"/>
              </w:rPr>
            </w:pPr>
            <w:r>
              <w:rPr>
                <w:rFonts w:ascii="Arial" w:cs="Arial" w:eastAsia="Arial" w:hAnsi="Arial"/>
                <w:sz w:val="14"/>
                <w:szCs w:val="14"/>
                <w:color w:val="auto"/>
                <w:w w:val="93"/>
              </w:rPr>
              <w:t>March 31,</w:t>
            </w:r>
          </w:p>
        </w:tc>
        <w:tc>
          <w:tcPr>
            <w:tcW w:w="300" w:type="dxa"/>
            <w:vAlign w:val="bottom"/>
          </w:tcPr>
          <w:p>
            <w:pPr>
              <w:spacing w:after="0"/>
              <w:rPr>
                <w:sz w:val="24"/>
                <w:szCs w:val="24"/>
                <w:color w:val="auto"/>
              </w:rPr>
            </w:pPr>
          </w:p>
        </w:tc>
        <w:tc>
          <w:tcPr>
            <w:tcW w:w="1180" w:type="dxa"/>
            <w:vAlign w:val="bottom"/>
          </w:tcPr>
          <w:p>
            <w:pPr>
              <w:jc w:val="center"/>
              <w:ind w:right="234"/>
              <w:spacing w:after="0"/>
              <w:rPr>
                <w:sz w:val="20"/>
                <w:szCs w:val="20"/>
                <w:color w:val="auto"/>
              </w:rPr>
            </w:pPr>
            <w:r>
              <w:rPr>
                <w:rFonts w:ascii="Arial" w:cs="Arial" w:eastAsia="Arial" w:hAnsi="Arial"/>
                <w:sz w:val="14"/>
                <w:szCs w:val="14"/>
                <w:color w:val="auto"/>
                <w:w w:val="93"/>
              </w:rPr>
              <w:t>March 31,</w:t>
            </w:r>
          </w:p>
        </w:tc>
      </w:tr>
      <w:tr>
        <w:trPr>
          <w:trHeight w:val="188"/>
        </w:trPr>
        <w:tc>
          <w:tcPr>
            <w:tcW w:w="84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color w:val="auto"/>
                <w:w w:val="89"/>
              </w:rPr>
              <w:t>2017</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color w:val="auto"/>
                <w:w w:val="89"/>
              </w:rPr>
              <w:t>2016</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Unrealized gains (losses) on marketable securities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0"/>
        </w:trPr>
        <w:tc>
          <w:tcPr>
            <w:tcW w:w="8460" w:type="dxa"/>
            <w:vAlign w:val="bottom"/>
          </w:tcPr>
          <w:p>
            <w:pPr>
              <w:ind w:left="40"/>
              <w:spacing w:after="0"/>
              <w:rPr>
                <w:sz w:val="20"/>
                <w:szCs w:val="20"/>
                <w:color w:val="auto"/>
              </w:rPr>
            </w:pPr>
            <w:r>
              <w:rPr>
                <w:rFonts w:ascii="Arial" w:cs="Arial" w:eastAsia="Arial" w:hAnsi="Arial"/>
                <w:sz w:val="18"/>
                <w:szCs w:val="18"/>
                <w:color w:val="auto"/>
              </w:rPr>
              <w:t>Deferred gains (losses) on cash flow hedges</w:t>
            </w:r>
          </w:p>
        </w:tc>
        <w:tc>
          <w:tcPr>
            <w:tcW w:w="280" w:type="dxa"/>
            <w:vAlign w:val="bottom"/>
          </w:tcPr>
          <w:p>
            <w:pPr>
              <w:spacing w:after="0"/>
              <w:rPr>
                <w:sz w:val="23"/>
                <w:szCs w:val="23"/>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0"/>
        </w:trPr>
        <w:tc>
          <w:tcPr>
            <w:tcW w:w="8460" w:type="dxa"/>
            <w:vAlign w:val="bottom"/>
          </w:tcPr>
          <w:p>
            <w:pPr>
              <w:ind w:left="40"/>
              <w:spacing w:after="0"/>
              <w:rPr>
                <w:sz w:val="20"/>
                <w:szCs w:val="20"/>
                <w:color w:val="auto"/>
              </w:rPr>
            </w:pPr>
            <w:r>
              <w:rPr>
                <w:rFonts w:ascii="Arial" w:cs="Arial" w:eastAsia="Arial" w:hAnsi="Arial"/>
                <w:sz w:val="18"/>
                <w:szCs w:val="18"/>
                <w:color w:val="auto"/>
              </w:rPr>
              <w:t>Unrecognized gains (losses) on employee benefit obligations</w:t>
            </w:r>
          </w:p>
        </w:tc>
        <w:tc>
          <w:tcPr>
            <w:tcW w:w="280" w:type="dxa"/>
            <w:vAlign w:val="bottom"/>
          </w:tcPr>
          <w:p>
            <w:pPr>
              <w:spacing w:after="0"/>
              <w:rPr>
                <w:sz w:val="23"/>
                <w:szCs w:val="23"/>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120</w:t>
            </w:r>
          </w:p>
        </w:tc>
        <w:tc>
          <w:tcPr>
            <w:tcW w:w="300" w:type="dxa"/>
            <w:vAlign w:val="bottom"/>
          </w:tcPr>
          <w:p>
            <w:pPr>
              <w:spacing w:after="0"/>
              <w:rPr>
                <w:sz w:val="23"/>
                <w:szCs w:val="23"/>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w:t>
            </w:r>
          </w:p>
        </w:tc>
      </w:tr>
      <w:tr>
        <w:trPr>
          <w:trHeight w:val="270"/>
        </w:trPr>
        <w:tc>
          <w:tcPr>
            <w:tcW w:w="8460" w:type="dxa"/>
            <w:vAlign w:val="bottom"/>
          </w:tcPr>
          <w:p>
            <w:pPr>
              <w:ind w:left="40"/>
              <w:spacing w:after="0"/>
              <w:rPr>
                <w:sz w:val="20"/>
                <w:szCs w:val="20"/>
                <w:color w:val="auto"/>
              </w:rPr>
            </w:pPr>
            <w:r>
              <w:rPr>
                <w:rFonts w:ascii="Arial" w:cs="Arial" w:eastAsia="Arial" w:hAnsi="Arial"/>
                <w:sz w:val="18"/>
                <w:szCs w:val="18"/>
                <w:color w:val="auto"/>
              </w:rPr>
              <w:t>Cumulative translation adjustments</w:t>
            </w:r>
          </w:p>
        </w:tc>
        <w:tc>
          <w:tcPr>
            <w:tcW w:w="2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w:t>
            </w: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
        </w:trPr>
        <w:tc>
          <w:tcPr>
            <w:tcW w:w="8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8460" w:type="dxa"/>
            <w:vAlign w:val="bottom"/>
          </w:tcPr>
          <w:p>
            <w:pPr>
              <w:ind w:left="40"/>
              <w:spacing w:after="0"/>
              <w:rPr>
                <w:sz w:val="20"/>
                <w:szCs w:val="20"/>
                <w:color w:val="auto"/>
              </w:rPr>
            </w:pPr>
            <w:r>
              <w:rPr>
                <w:rFonts w:ascii="Arial" w:cs="Arial" w:eastAsia="Arial" w:hAnsi="Arial"/>
                <w:sz w:val="18"/>
                <w:szCs w:val="18"/>
                <w:b w:val="1"/>
                <w:bCs w:val="1"/>
                <w:color w:val="auto"/>
              </w:rPr>
              <w:t>Accumulated other comprehensive income (loss)</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16"/>
              <w:spacing w:after="0"/>
              <w:rPr>
                <w:sz w:val="20"/>
                <w:szCs w:val="20"/>
                <w:color w:val="auto"/>
              </w:rPr>
            </w:pPr>
            <w:r>
              <w:rPr>
                <w:rFonts w:ascii="Arial" w:cs="Arial" w:eastAsia="Arial" w:hAnsi="Arial"/>
                <w:sz w:val="18"/>
                <w:szCs w:val="18"/>
                <w:b w:val="1"/>
                <w:bCs w:val="1"/>
                <w:color w:val="auto"/>
              </w:rPr>
              <w:t>71</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(68)</w:t>
            </w:r>
          </w:p>
        </w:tc>
      </w:tr>
      <w:tr>
        <w:trPr>
          <w:trHeight w:val="34"/>
        </w:trPr>
        <w:tc>
          <w:tcPr>
            <w:tcW w:w="8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338"/>
        </w:trPr>
        <w:tc>
          <w:tcPr>
            <w:tcW w:w="8460" w:type="dxa"/>
            <w:vAlign w:val="bottom"/>
          </w:tcPr>
          <w:p>
            <w:pPr>
              <w:jc w:val="center"/>
              <w:ind w:left="2852"/>
              <w:spacing w:after="0"/>
              <w:rPr>
                <w:sz w:val="20"/>
                <w:szCs w:val="20"/>
                <w:color w:val="auto"/>
              </w:rPr>
            </w:pPr>
            <w:r>
              <w:rPr>
                <w:rFonts w:ascii="Arial" w:cs="Arial" w:eastAsia="Arial" w:hAnsi="Arial"/>
                <w:sz w:val="18"/>
                <w:szCs w:val="18"/>
                <w:b w:val="1"/>
                <w:bCs w:val="1"/>
                <w:color w:val="auto"/>
                <w:w w:val="99"/>
              </w:rPr>
              <w:t>Net Cash Provided by Operating Activities</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73"/>
        </w:trPr>
        <w:tc>
          <w:tcPr>
            <w:tcW w:w="8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80" w:type="dxa"/>
            <w:vAlign w:val="bottom"/>
            <w:gridSpan w:val="3"/>
          </w:tcPr>
          <w:p>
            <w:pPr>
              <w:jc w:val="center"/>
              <w:ind w:right="174"/>
              <w:spacing w:after="0"/>
              <w:rPr>
                <w:sz w:val="20"/>
                <w:szCs w:val="20"/>
                <w:color w:val="auto"/>
              </w:rPr>
            </w:pPr>
            <w:r>
              <w:rPr>
                <w:rFonts w:ascii="Arial" w:cs="Arial" w:eastAsia="Arial" w:hAnsi="Arial"/>
                <w:sz w:val="14"/>
                <w:szCs w:val="14"/>
                <w:color w:val="auto"/>
                <w:w w:val="93"/>
              </w:rPr>
              <w:t>Three Months Ended</w:t>
            </w:r>
          </w:p>
        </w:tc>
      </w:tr>
      <w:tr>
        <w:trPr>
          <w:trHeight w:val="188"/>
        </w:trPr>
        <w:tc>
          <w:tcPr>
            <w:tcW w:w="84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left="856"/>
              <w:spacing w:after="0"/>
              <w:rPr>
                <w:sz w:val="20"/>
                <w:szCs w:val="20"/>
                <w:color w:val="auto"/>
              </w:rPr>
            </w:pPr>
            <w:r>
              <w:rPr>
                <w:rFonts w:ascii="Arial" w:cs="Arial" w:eastAsia="Arial" w:hAnsi="Arial"/>
                <w:sz w:val="14"/>
                <w:szCs w:val="14"/>
                <w:color w:val="auto"/>
                <w:w w:val="95"/>
              </w:rPr>
              <w:t>March 31</w:t>
            </w:r>
          </w:p>
        </w:tc>
        <w:tc>
          <w:tcPr>
            <w:tcW w:w="1180" w:type="dxa"/>
            <w:vAlign w:val="bottom"/>
            <w:tcBorders>
              <w:bottom w:val="single" w:sz="8" w:color="auto"/>
            </w:tcBorders>
          </w:tcPr>
          <w:p>
            <w:pPr>
              <w:spacing w:after="0"/>
              <w:rPr>
                <w:sz w:val="16"/>
                <w:szCs w:val="16"/>
                <w:color w:val="auto"/>
              </w:rPr>
            </w:pPr>
          </w:p>
        </w:tc>
      </w:tr>
      <w:tr>
        <w:trPr>
          <w:trHeight w:val="196"/>
        </w:trPr>
        <w:tc>
          <w:tcPr>
            <w:tcW w:w="84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color w:val="auto"/>
                <w:w w:val="89"/>
              </w:rPr>
              <w:t>2017</w:t>
            </w: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color w:val="auto"/>
                <w:w w:val="89"/>
              </w:rPr>
              <w:t>2016</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1,273</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1,082</w:t>
            </w:r>
          </w:p>
        </w:tc>
      </w:tr>
      <w:tr>
        <w:trPr>
          <w:trHeight w:val="270"/>
        </w:trPr>
        <w:tc>
          <w:tcPr>
            <w:tcW w:w="8460" w:type="dxa"/>
            <w:vAlign w:val="bottom"/>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70"/>
        </w:trPr>
        <w:tc>
          <w:tcPr>
            <w:tcW w:w="84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3"/>
                <w:szCs w:val="23"/>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508</w:t>
            </w:r>
          </w:p>
        </w:tc>
        <w:tc>
          <w:tcPr>
            <w:tcW w:w="300" w:type="dxa"/>
            <w:vAlign w:val="bottom"/>
          </w:tcPr>
          <w:p>
            <w:pPr>
              <w:spacing w:after="0"/>
              <w:rPr>
                <w:sz w:val="23"/>
                <w:szCs w:val="23"/>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414</w:t>
            </w:r>
          </w:p>
        </w:tc>
      </w:tr>
      <w:tr>
        <w:trPr>
          <w:trHeight w:val="270"/>
        </w:trPr>
        <w:tc>
          <w:tcPr>
            <w:tcW w:w="8460" w:type="dxa"/>
            <w:vAlign w:val="bottom"/>
          </w:tcPr>
          <w:p>
            <w:pPr>
              <w:ind w:left="380"/>
              <w:spacing w:after="0"/>
              <w:rPr>
                <w:sz w:val="20"/>
                <w:szCs w:val="20"/>
                <w:color w:val="auto"/>
              </w:rPr>
            </w:pPr>
            <w:r>
              <w:rPr>
                <w:rFonts w:ascii="Arial" w:cs="Arial" w:eastAsia="Arial" w:hAnsi="Arial"/>
                <w:sz w:val="18"/>
                <w:szCs w:val="18"/>
                <w:color w:val="auto"/>
              </w:rPr>
              <w:t>Equity in net (income) losses of investees, net</w:t>
            </w:r>
          </w:p>
        </w:tc>
        <w:tc>
          <w:tcPr>
            <w:tcW w:w="280" w:type="dxa"/>
            <w:vAlign w:val="bottom"/>
          </w:tcPr>
          <w:p>
            <w:pPr>
              <w:spacing w:after="0"/>
              <w:rPr>
                <w:sz w:val="23"/>
                <w:szCs w:val="23"/>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23"/>
                <w:szCs w:val="23"/>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w:t>
            </w:r>
          </w:p>
        </w:tc>
      </w:tr>
      <w:tr>
        <w:trPr>
          <w:trHeight w:val="270"/>
        </w:trPr>
        <w:tc>
          <w:tcPr>
            <w:tcW w:w="8460" w:type="dxa"/>
            <w:vAlign w:val="bottom"/>
          </w:tcPr>
          <w:p>
            <w:pPr>
              <w:ind w:left="380"/>
              <w:spacing w:after="0"/>
              <w:rPr>
                <w:sz w:val="20"/>
                <w:szCs w:val="20"/>
                <w:color w:val="auto"/>
              </w:rPr>
            </w:pPr>
            <w:r>
              <w:rPr>
                <w:rFonts w:ascii="Arial" w:cs="Arial" w:eastAsia="Arial" w:hAnsi="Arial"/>
                <w:sz w:val="18"/>
                <w:szCs w:val="18"/>
                <w:color w:val="auto"/>
              </w:rPr>
              <w:t>Cash received from investees</w:t>
            </w:r>
          </w:p>
        </w:tc>
        <w:tc>
          <w:tcPr>
            <w:tcW w:w="280" w:type="dxa"/>
            <w:vAlign w:val="bottom"/>
          </w:tcPr>
          <w:p>
            <w:pPr>
              <w:spacing w:after="0"/>
              <w:rPr>
                <w:sz w:val="23"/>
                <w:szCs w:val="23"/>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23"/>
                <w:szCs w:val="23"/>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12</w:t>
            </w:r>
          </w:p>
        </w:tc>
      </w:tr>
      <w:tr>
        <w:trPr>
          <w:trHeight w:val="270"/>
        </w:trPr>
        <w:tc>
          <w:tcPr>
            <w:tcW w:w="8460" w:type="dxa"/>
            <w:vAlign w:val="bottom"/>
          </w:tcPr>
          <w:p>
            <w:pPr>
              <w:ind w:left="380"/>
              <w:spacing w:after="0"/>
              <w:rPr>
                <w:sz w:val="20"/>
                <w:szCs w:val="20"/>
                <w:color w:val="auto"/>
              </w:rPr>
            </w:pPr>
            <w:r>
              <w:rPr>
                <w:rFonts w:ascii="Arial" w:cs="Arial" w:eastAsia="Arial" w:hAnsi="Arial"/>
                <w:sz w:val="18"/>
                <w:szCs w:val="18"/>
                <w:color w:val="auto"/>
              </w:rPr>
              <w:t>Net (gain) loss on investment activity and other</w:t>
            </w:r>
          </w:p>
        </w:tc>
        <w:tc>
          <w:tcPr>
            <w:tcW w:w="2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70"/>
        </w:trPr>
        <w:tc>
          <w:tcPr>
            <w:tcW w:w="846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3"/>
                <w:szCs w:val="23"/>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23"/>
                <w:szCs w:val="23"/>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48</w:t>
            </w:r>
          </w:p>
        </w:tc>
      </w:tr>
      <w:tr>
        <w:trPr>
          <w:trHeight w:val="270"/>
        </w:trPr>
        <w:tc>
          <w:tcPr>
            <w:tcW w:w="846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70"/>
        </w:trPr>
        <w:tc>
          <w:tcPr>
            <w:tcW w:w="8460" w:type="dxa"/>
            <w:vAlign w:val="bottom"/>
          </w:tcPr>
          <w:p>
            <w:pPr>
              <w:ind w:left="380"/>
              <w:spacing w:after="0"/>
              <w:rPr>
                <w:sz w:val="20"/>
                <w:szCs w:val="20"/>
                <w:color w:val="auto"/>
              </w:rPr>
            </w:pPr>
            <w:r>
              <w:rPr>
                <w:rFonts w:ascii="Arial" w:cs="Arial" w:eastAsia="Arial" w:hAnsi="Arial"/>
                <w:sz w:val="18"/>
                <w:szCs w:val="18"/>
                <w:color w:val="auto"/>
              </w:rPr>
              <w:t>Current and noncurrent receivables, net</w:t>
            </w:r>
          </w:p>
        </w:tc>
        <w:tc>
          <w:tcPr>
            <w:tcW w:w="280" w:type="dxa"/>
            <w:vAlign w:val="bottom"/>
          </w:tcPr>
          <w:p>
            <w:pPr>
              <w:spacing w:after="0"/>
              <w:rPr>
                <w:sz w:val="23"/>
                <w:szCs w:val="23"/>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104</w:t>
            </w:r>
          </w:p>
        </w:tc>
        <w:tc>
          <w:tcPr>
            <w:tcW w:w="300" w:type="dxa"/>
            <w:vAlign w:val="bottom"/>
          </w:tcPr>
          <w:p>
            <w:pPr>
              <w:spacing w:after="0"/>
              <w:rPr>
                <w:sz w:val="23"/>
                <w:szCs w:val="23"/>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349</w:t>
            </w:r>
          </w:p>
        </w:tc>
      </w:tr>
      <w:tr>
        <w:trPr>
          <w:trHeight w:val="270"/>
        </w:trPr>
        <w:tc>
          <w:tcPr>
            <w:tcW w:w="8460" w:type="dxa"/>
            <w:vAlign w:val="bottom"/>
          </w:tcPr>
          <w:p>
            <w:pPr>
              <w:ind w:left="380"/>
              <w:spacing w:after="0"/>
              <w:rPr>
                <w:sz w:val="20"/>
                <w:szCs w:val="20"/>
                <w:color w:val="auto"/>
              </w:rPr>
            </w:pPr>
            <w:r>
              <w:rPr>
                <w:rFonts w:ascii="Arial" w:cs="Arial" w:eastAsia="Arial" w:hAnsi="Arial"/>
                <w:sz w:val="18"/>
                <w:szCs w:val="18"/>
                <w:color w:val="auto"/>
              </w:rPr>
              <w:t>Film and television costs, net</w:t>
            </w:r>
          </w:p>
        </w:tc>
        <w:tc>
          <w:tcPr>
            <w:tcW w:w="280" w:type="dxa"/>
            <w:vAlign w:val="bottom"/>
          </w:tcPr>
          <w:p>
            <w:pPr>
              <w:spacing w:after="0"/>
              <w:rPr>
                <w:sz w:val="23"/>
                <w:szCs w:val="23"/>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46</w:t>
            </w: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70"/>
        </w:trPr>
        <w:tc>
          <w:tcPr>
            <w:tcW w:w="8460" w:type="dxa"/>
            <w:vAlign w:val="bottom"/>
          </w:tcPr>
          <w:p>
            <w:pPr>
              <w:ind w:left="380"/>
              <w:spacing w:after="0"/>
              <w:rPr>
                <w:sz w:val="20"/>
                <w:szCs w:val="20"/>
                <w:color w:val="auto"/>
              </w:rPr>
            </w:pPr>
            <w:r>
              <w:rPr>
                <w:rFonts w:ascii="Arial" w:cs="Arial" w:eastAsia="Arial" w:hAnsi="Arial"/>
                <w:sz w:val="18"/>
                <w:szCs w:val="18"/>
                <w:color w:val="auto"/>
              </w:rPr>
              <w:t>Accounts payable and accrued expenses related to trade creditors</w:t>
            </w:r>
          </w:p>
        </w:tc>
        <w:tc>
          <w:tcPr>
            <w:tcW w:w="2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(190)</w:t>
            </w: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70"/>
        </w:trPr>
        <w:tc>
          <w:tcPr>
            <w:tcW w:w="8460" w:type="dxa"/>
            <w:vAlign w:val="bottom"/>
          </w:tcPr>
          <w:p>
            <w:pPr>
              <w:ind w:left="380"/>
              <w:spacing w:after="0"/>
              <w:rPr>
                <w:sz w:val="20"/>
                <w:szCs w:val="20"/>
                <w:color w:val="auto"/>
              </w:rPr>
            </w:pPr>
            <w:r>
              <w:rPr>
                <w:rFonts w:ascii="Arial" w:cs="Arial" w:eastAsia="Arial" w:hAnsi="Arial"/>
                <w:sz w:val="18"/>
                <w:szCs w:val="18"/>
                <w:color w:val="auto"/>
              </w:rPr>
              <w:t>Other operating assets and liabilities</w:t>
            </w:r>
          </w:p>
        </w:tc>
        <w:tc>
          <w:tcPr>
            <w:tcW w:w="2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(295)</w:t>
            </w: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(393)</w:t>
            </w:r>
          </w:p>
        </w:tc>
      </w:tr>
      <w:tr>
        <w:trPr>
          <w:trHeight w:val="27"/>
        </w:trPr>
        <w:tc>
          <w:tcPr>
            <w:tcW w:w="8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846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16"/>
              <w:spacing w:after="0"/>
              <w:rPr>
                <w:sz w:val="20"/>
                <w:szCs w:val="20"/>
                <w:color w:val="auto"/>
              </w:rPr>
            </w:pPr>
            <w:r>
              <w:rPr>
                <w:rFonts w:ascii="Arial" w:cs="Arial" w:eastAsia="Arial" w:hAnsi="Arial"/>
                <w:sz w:val="18"/>
                <w:szCs w:val="18"/>
                <w:b w:val="1"/>
                <w:bCs w:val="1"/>
                <w:color w:val="auto"/>
              </w:rPr>
              <w:t>1,477</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b w:val="1"/>
                <w:bCs w:val="1"/>
                <w:color w:val="auto"/>
              </w:rPr>
              <w:t>1,177</w:t>
            </w:r>
          </w:p>
        </w:tc>
      </w:tr>
      <w:tr>
        <w:trPr>
          <w:trHeight w:val="34"/>
        </w:trPr>
        <w:tc>
          <w:tcPr>
            <w:tcW w:w="8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338"/>
        </w:trPr>
        <w:tc>
          <w:tcPr>
            <w:tcW w:w="8460" w:type="dxa"/>
            <w:vAlign w:val="bottom"/>
          </w:tcPr>
          <w:p>
            <w:pPr>
              <w:jc w:val="center"/>
              <w:ind w:left="2852"/>
              <w:spacing w:after="0"/>
              <w:rPr>
                <w:sz w:val="20"/>
                <w:szCs w:val="20"/>
                <w:color w:val="auto"/>
              </w:rPr>
            </w:pPr>
            <w:r>
              <w:rPr>
                <w:rFonts w:ascii="Arial" w:cs="Arial" w:eastAsia="Arial" w:hAnsi="Arial"/>
                <w:sz w:val="18"/>
                <w:szCs w:val="18"/>
                <w:b w:val="1"/>
                <w:bCs w:val="1"/>
                <w:color w:val="auto"/>
                <w:w w:val="99"/>
              </w:rPr>
              <w:t>Cash Payments for Interest and Income Taxes</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73"/>
        </w:trPr>
        <w:tc>
          <w:tcPr>
            <w:tcW w:w="8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80" w:type="dxa"/>
            <w:vAlign w:val="bottom"/>
            <w:gridSpan w:val="3"/>
          </w:tcPr>
          <w:p>
            <w:pPr>
              <w:jc w:val="center"/>
              <w:ind w:right="174"/>
              <w:spacing w:after="0"/>
              <w:rPr>
                <w:sz w:val="20"/>
                <w:szCs w:val="20"/>
                <w:color w:val="auto"/>
              </w:rPr>
            </w:pPr>
            <w:r>
              <w:rPr>
                <w:rFonts w:ascii="Arial" w:cs="Arial" w:eastAsia="Arial" w:hAnsi="Arial"/>
                <w:sz w:val="14"/>
                <w:szCs w:val="14"/>
                <w:color w:val="auto"/>
                <w:w w:val="93"/>
              </w:rPr>
              <w:t>Three Months Ended</w:t>
            </w:r>
          </w:p>
        </w:tc>
      </w:tr>
      <w:tr>
        <w:trPr>
          <w:trHeight w:val="188"/>
        </w:trPr>
        <w:tc>
          <w:tcPr>
            <w:tcW w:w="84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left="856"/>
              <w:spacing w:after="0"/>
              <w:rPr>
                <w:sz w:val="20"/>
                <w:szCs w:val="20"/>
                <w:color w:val="auto"/>
              </w:rPr>
            </w:pPr>
            <w:r>
              <w:rPr>
                <w:rFonts w:ascii="Arial" w:cs="Arial" w:eastAsia="Arial" w:hAnsi="Arial"/>
                <w:sz w:val="14"/>
                <w:szCs w:val="14"/>
                <w:color w:val="auto"/>
                <w:w w:val="95"/>
              </w:rPr>
              <w:t>March 31</w:t>
            </w:r>
          </w:p>
        </w:tc>
        <w:tc>
          <w:tcPr>
            <w:tcW w:w="1180" w:type="dxa"/>
            <w:vAlign w:val="bottom"/>
            <w:tcBorders>
              <w:bottom w:val="single" w:sz="8" w:color="auto"/>
            </w:tcBorders>
          </w:tcPr>
          <w:p>
            <w:pPr>
              <w:spacing w:after="0"/>
              <w:rPr>
                <w:sz w:val="16"/>
                <w:szCs w:val="16"/>
                <w:color w:val="auto"/>
              </w:rPr>
            </w:pPr>
          </w:p>
        </w:tc>
      </w:tr>
      <w:tr>
        <w:trPr>
          <w:trHeight w:val="196"/>
        </w:trPr>
        <w:tc>
          <w:tcPr>
            <w:tcW w:w="84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color w:val="auto"/>
                <w:w w:val="89"/>
              </w:rPr>
              <w:t>2017</w:t>
            </w: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color w:val="auto"/>
                <w:w w:val="89"/>
              </w:rPr>
              <w:t>2016</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Interest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77</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66</w:t>
            </w:r>
          </w:p>
        </w:tc>
      </w:tr>
      <w:tr>
        <w:trPr>
          <w:trHeight w:val="270"/>
        </w:trPr>
        <w:tc>
          <w:tcPr>
            <w:tcW w:w="846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52</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59</w:t>
            </w:r>
          </w:p>
        </w:tc>
      </w:tr>
      <w:tr>
        <w:trPr>
          <w:trHeight w:val="27"/>
        </w:trPr>
        <w:tc>
          <w:tcPr>
            <w:tcW w:w="8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121" w:right="239"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Investing and Financing Activities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2017:</w:t>
      </w:r>
    </w:p>
    <w:p>
      <w:pPr>
        <w:spacing w:after="0" w:line="7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acquired $216 million of property and equipment and intangible assets that were accrued but unpaid</w:t>
      </w:r>
    </w:p>
    <w:p>
      <w:pPr>
        <w:spacing w:after="0" w:line="7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Comcast contributed its investment in Snap to us at its fair value as of March 31, 2017, which was a noncash transaction (see Note 6 for additional information)</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Financial Data by Business Segment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We present our operations in four reportable business segments:</w:t>
      </w:r>
    </w:p>
    <w:p>
      <w:pPr>
        <w:spacing w:after="0" w:line="73" w:lineRule="exact"/>
        <w:rPr>
          <w:sz w:val="20"/>
          <w:szCs w:val="20"/>
          <w:color w:val="auto"/>
        </w:rPr>
      </w:pPr>
    </w:p>
    <w:p>
      <w:pPr>
        <w:ind w:left="660" w:hanging="328"/>
        <w:spacing w:after="0" w:line="282" w:lineRule="auto"/>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Cable Networks: </w:t>
      </w:r>
      <w:r>
        <w:rPr>
          <w:rFonts w:ascii="Arial" w:cs="Arial" w:eastAsia="Arial" w:hAnsi="Arial"/>
          <w:sz w:val="18"/>
          <w:szCs w:val="18"/>
          <w:color w:val="auto"/>
        </w:rPr>
        <w:t>Consists primarily of our national cable networks, our regional sports and news networks, our international cable networks, and</w:t>
      </w:r>
      <w:r>
        <w:rPr>
          <w:rFonts w:ascii="Arial" w:cs="Arial" w:eastAsia="Arial" w:hAnsi="Arial"/>
          <w:sz w:val="18"/>
          <w:szCs w:val="18"/>
          <w:b w:val="1"/>
          <w:bCs w:val="1"/>
          <w:color w:val="auto"/>
        </w:rPr>
        <w:t xml:space="preserve"> </w:t>
      </w:r>
      <w:r>
        <w:rPr>
          <w:rFonts w:ascii="Arial" w:cs="Arial" w:eastAsia="Arial" w:hAnsi="Arial"/>
          <w:sz w:val="18"/>
          <w:szCs w:val="18"/>
          <w:color w:val="auto"/>
        </w:rPr>
        <w:t>our cable television studio production operations.</w:t>
      </w:r>
    </w:p>
    <w:p>
      <w:pPr>
        <w:spacing w:after="0" w:line="13" w:lineRule="exact"/>
        <w:rPr>
          <w:rFonts w:ascii="Arial" w:cs="Arial" w:eastAsia="Arial" w:hAnsi="Arial"/>
          <w:sz w:val="18"/>
          <w:szCs w:val="18"/>
          <w:b w:val="1"/>
          <w:bCs w:val="1"/>
          <w:color w:val="auto"/>
        </w:rPr>
      </w:pPr>
    </w:p>
    <w:p>
      <w:pPr>
        <w:ind w:left="660" w:hanging="328"/>
        <w:spacing w:after="0" w:line="28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Broadcast Television: </w:t>
      </w:r>
      <w:r>
        <w:rPr>
          <w:rFonts w:ascii="Arial" w:cs="Arial" w:eastAsia="Arial" w:hAnsi="Arial"/>
          <w:sz w:val="18"/>
          <w:szCs w:val="18"/>
          <w:color w:val="auto"/>
        </w:rPr>
        <w:t>Consists primarily of the NBC and Telemundo broadcast networks, our NBC and Telemundo owned local broadcast</w:t>
      </w:r>
      <w:r>
        <w:rPr>
          <w:rFonts w:ascii="Arial" w:cs="Arial" w:eastAsia="Arial" w:hAnsi="Arial"/>
          <w:sz w:val="18"/>
          <w:szCs w:val="18"/>
          <w:b w:val="1"/>
          <w:bCs w:val="1"/>
          <w:color w:val="auto"/>
        </w:rPr>
        <w:t xml:space="preserve"> </w:t>
      </w:r>
      <w:r>
        <w:rPr>
          <w:rFonts w:ascii="Arial" w:cs="Arial" w:eastAsia="Arial" w:hAnsi="Arial"/>
          <w:sz w:val="18"/>
          <w:szCs w:val="18"/>
          <w:color w:val="auto"/>
        </w:rPr>
        <w:t>television stations, the NBC Universo national cable network, and our broadcast television studio production operations.</w:t>
      </w:r>
    </w:p>
    <w:p>
      <w:pPr>
        <w:spacing w:after="0" w:line="13" w:lineRule="exact"/>
        <w:rPr>
          <w:rFonts w:ascii="Arial" w:cs="Arial" w:eastAsia="Arial" w:hAnsi="Arial"/>
          <w:sz w:val="18"/>
          <w:szCs w:val="18"/>
          <w:color w:val="auto"/>
        </w:rPr>
      </w:pPr>
    </w:p>
    <w:p>
      <w:pPr>
        <w:ind w:left="660" w:hanging="328"/>
        <w:spacing w:after="0" w:line="306"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b w:val="1"/>
          <w:bCs w:val="1"/>
          <w:color w:val="auto"/>
        </w:rPr>
        <w:t xml:space="preserve">Filmed Entertainment: </w:t>
      </w:r>
      <w:r>
        <w:rPr>
          <w:rFonts w:ascii="Arial" w:cs="Arial" w:eastAsia="Arial" w:hAnsi="Arial"/>
          <w:sz w:val="17"/>
          <w:szCs w:val="17"/>
          <w:color w:val="auto"/>
        </w:rPr>
        <w:t>Consists primarily of the operations of Universal Pictures, which produces, acquires, markets and distributes filmed</w:t>
      </w:r>
      <w:r>
        <w:rPr>
          <w:rFonts w:ascii="Arial" w:cs="Arial" w:eastAsia="Arial" w:hAnsi="Arial"/>
          <w:sz w:val="17"/>
          <w:szCs w:val="17"/>
          <w:b w:val="1"/>
          <w:bCs w:val="1"/>
          <w:color w:val="auto"/>
        </w:rPr>
        <w:t xml:space="preserve"> </w:t>
      </w:r>
      <w:r>
        <w:rPr>
          <w:rFonts w:ascii="Arial" w:cs="Arial" w:eastAsia="Arial" w:hAnsi="Arial"/>
          <w:sz w:val="17"/>
          <w:szCs w:val="17"/>
          <w:color w:val="auto"/>
        </w:rPr>
        <w:t>entertainment worldwide; our films are also produced under the Illumination, Focus Features and DreamWorks Animation names.</w:t>
      </w:r>
    </w:p>
    <w:p>
      <w:pPr>
        <w:spacing w:after="0" w:line="1" w:lineRule="exact"/>
        <w:rPr>
          <w:rFonts w:ascii="Arial" w:cs="Arial" w:eastAsia="Arial" w:hAnsi="Arial"/>
          <w:sz w:val="17"/>
          <w:szCs w:val="17"/>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Theme Parks: </w:t>
      </w:r>
      <w:r>
        <w:rPr>
          <w:rFonts w:ascii="Arial" w:cs="Arial" w:eastAsia="Arial" w:hAnsi="Arial"/>
          <w:sz w:val="18"/>
          <w:szCs w:val="18"/>
          <w:color w:val="auto"/>
        </w:rPr>
        <w:t>Consists primarily of our Universal theme parks in Orlando, Florida; Hollywood, California; and Osaka, Japan.</w:t>
      </w:r>
    </w:p>
    <w:p>
      <w:pPr>
        <w:spacing w:after="0" w:line="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use Adjusted EBITDA (formerly operating income before depreciation and amortization) to evaluate the profitability of our operating segments and the components of net income attributable to NBCUniversal below Adjusted EBITDA are not separately evaluated by our management. Our financial data by business segment is presented in the tables below.</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center"/>
              <w:ind w:right="14"/>
              <w:spacing w:after="0"/>
              <w:rPr>
                <w:sz w:val="20"/>
                <w:szCs w:val="20"/>
                <w:color w:val="auto"/>
              </w:rPr>
            </w:pPr>
            <w:r>
              <w:rPr>
                <w:rFonts w:ascii="Arial" w:cs="Arial" w:eastAsia="Arial" w:hAnsi="Arial"/>
                <w:sz w:val="14"/>
                <w:szCs w:val="14"/>
                <w:color w:val="auto"/>
                <w:w w:val="93"/>
              </w:rPr>
              <w:t>Three Months Ended March 31, 2017</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56"/>
        </w:trPr>
        <w:tc>
          <w:tcPr>
            <w:tcW w:w="4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0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92"/>
              </w:rPr>
              <w:t>Depreciation and</w:t>
            </w:r>
          </w:p>
        </w:tc>
        <w:tc>
          <w:tcPr>
            <w:tcW w:w="200" w:type="dxa"/>
            <w:vAlign w:val="bottom"/>
          </w:tcPr>
          <w:p>
            <w:pPr>
              <w:spacing w:after="0"/>
              <w:rPr>
                <w:sz w:val="13"/>
                <w:szCs w:val="13"/>
                <w:color w:val="auto"/>
              </w:rPr>
            </w:pPr>
          </w:p>
        </w:tc>
        <w:tc>
          <w:tcPr>
            <w:tcW w:w="1080" w:type="dxa"/>
            <w:vAlign w:val="bottom"/>
          </w:tcPr>
          <w:p>
            <w:pPr>
              <w:jc w:val="center"/>
              <w:ind w:right="114"/>
              <w:spacing w:after="0" w:line="157" w:lineRule="exact"/>
              <w:rPr>
                <w:sz w:val="20"/>
                <w:szCs w:val="20"/>
                <w:color w:val="auto"/>
              </w:rPr>
            </w:pPr>
            <w:r>
              <w:rPr>
                <w:rFonts w:ascii="Arial" w:cs="Arial" w:eastAsia="Arial" w:hAnsi="Arial"/>
                <w:sz w:val="14"/>
                <w:szCs w:val="14"/>
                <w:color w:val="auto"/>
                <w:w w:val="91"/>
              </w:rPr>
              <w:t>Operating</w:t>
            </w:r>
          </w:p>
        </w:tc>
        <w:tc>
          <w:tcPr>
            <w:tcW w:w="200" w:type="dxa"/>
            <w:vAlign w:val="bottom"/>
          </w:tcPr>
          <w:p>
            <w:pPr>
              <w:spacing w:after="0"/>
              <w:rPr>
                <w:sz w:val="13"/>
                <w:szCs w:val="13"/>
                <w:color w:val="auto"/>
              </w:rPr>
            </w:pPr>
          </w:p>
        </w:tc>
        <w:tc>
          <w:tcPr>
            <w:tcW w:w="1020" w:type="dxa"/>
            <w:vAlign w:val="bottom"/>
          </w:tcPr>
          <w:p>
            <w:pPr>
              <w:jc w:val="center"/>
              <w:ind w:right="74"/>
              <w:spacing w:after="0" w:line="157" w:lineRule="exact"/>
              <w:rPr>
                <w:sz w:val="20"/>
                <w:szCs w:val="20"/>
                <w:color w:val="auto"/>
              </w:rPr>
            </w:pPr>
            <w:r>
              <w:rPr>
                <w:rFonts w:ascii="Arial" w:cs="Arial" w:eastAsia="Arial" w:hAnsi="Arial"/>
                <w:sz w:val="14"/>
                <w:szCs w:val="14"/>
                <w:color w:val="auto"/>
                <w:w w:val="96"/>
              </w:rPr>
              <w:t>Capital</w:t>
            </w:r>
          </w:p>
        </w:tc>
        <w:tc>
          <w:tcPr>
            <w:tcW w:w="160" w:type="dxa"/>
            <w:vAlign w:val="bottom"/>
          </w:tcPr>
          <w:p>
            <w:pPr>
              <w:spacing w:after="0"/>
              <w:rPr>
                <w:sz w:val="13"/>
                <w:szCs w:val="13"/>
                <w:color w:val="auto"/>
              </w:rPr>
            </w:pPr>
          </w:p>
        </w:tc>
        <w:tc>
          <w:tcPr>
            <w:tcW w:w="1140" w:type="dxa"/>
            <w:vAlign w:val="bottom"/>
          </w:tcPr>
          <w:p>
            <w:pPr>
              <w:jc w:val="center"/>
              <w:ind w:right="34"/>
              <w:spacing w:after="0" w:line="157" w:lineRule="exact"/>
              <w:rPr>
                <w:sz w:val="20"/>
                <w:szCs w:val="20"/>
                <w:color w:val="auto"/>
              </w:rPr>
            </w:pPr>
            <w:r>
              <w:rPr>
                <w:rFonts w:ascii="Arial" w:cs="Arial" w:eastAsia="Arial" w:hAnsi="Arial"/>
                <w:sz w:val="14"/>
                <w:szCs w:val="14"/>
                <w:color w:val="auto"/>
                <w:w w:val="91"/>
              </w:rPr>
              <w:t>Cash Paid for</w:t>
            </w:r>
          </w:p>
        </w:tc>
      </w:tr>
      <w:tr>
        <w:trPr>
          <w:trHeight w:val="188"/>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rPr>
              <w:t>Revenue</w:t>
            </w:r>
            <w:r>
              <w:rPr>
                <w:rFonts w:ascii="Arial" w:cs="Arial" w:eastAsia="Arial" w:hAnsi="Arial"/>
                <w:sz w:val="8"/>
                <w:szCs w:val="8"/>
                <w:color w:val="auto"/>
              </w:rPr>
              <w:t>(c)</w:t>
            </w: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Adjusted EBITDA</w:t>
            </w:r>
            <w:r>
              <w:rPr>
                <w:rFonts w:ascii="Arial" w:cs="Arial" w:eastAsia="Arial" w:hAnsi="Arial"/>
                <w:sz w:val="8"/>
                <w:szCs w:val="8"/>
                <w:color w:val="auto"/>
              </w:rPr>
              <w:t>(d)</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color w:val="auto"/>
                <w:w w:val="97"/>
              </w:rPr>
              <w:t>Amortization</w:t>
            </w: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color w:val="auto"/>
                <w:w w:val="94"/>
              </w:rPr>
              <w:t>Income (Loss)</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color w:val="auto"/>
                <w:w w:val="92"/>
              </w:rPr>
              <w:t>Expenditures</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color w:val="auto"/>
                <w:w w:val="91"/>
              </w:rPr>
              <w:t>Intangible Assets</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Cable Networks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2,641</w:t>
            </w: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1,116</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214</w:t>
            </w:r>
          </w:p>
        </w:tc>
        <w:tc>
          <w:tcPr>
            <w:tcW w:w="2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902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w:t>
            </w:r>
          </w:p>
        </w:tc>
      </w:tr>
      <w:tr>
        <w:trPr>
          <w:trHeight w:val="270"/>
        </w:trPr>
        <w:tc>
          <w:tcPr>
            <w:tcW w:w="4000" w:type="dxa"/>
            <w:vAlign w:val="bottom"/>
          </w:tcPr>
          <w:p>
            <w:pPr>
              <w:ind w:left="40"/>
              <w:spacing w:after="0"/>
              <w:rPr>
                <w:sz w:val="20"/>
                <w:szCs w:val="20"/>
                <w:color w:val="auto"/>
              </w:rPr>
            </w:pPr>
            <w:r>
              <w:rPr>
                <w:rFonts w:ascii="Arial" w:cs="Arial" w:eastAsia="Arial" w:hAnsi="Arial"/>
                <w:sz w:val="18"/>
                <w:szCs w:val="18"/>
                <w:color w:val="auto"/>
              </w:rPr>
              <w:t>Broadcast Television</w:t>
            </w:r>
          </w:p>
        </w:tc>
        <w:tc>
          <w:tcPr>
            <w:tcW w:w="2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2,208</w:t>
            </w:r>
          </w:p>
        </w:tc>
        <w:tc>
          <w:tcPr>
            <w:tcW w:w="44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3"/>
                <w:szCs w:val="23"/>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290</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w:t>
            </w:r>
          </w:p>
        </w:tc>
      </w:tr>
      <w:tr>
        <w:trPr>
          <w:trHeight w:val="270"/>
        </w:trPr>
        <w:tc>
          <w:tcPr>
            <w:tcW w:w="4000" w:type="dxa"/>
            <w:vAlign w:val="bottom"/>
          </w:tcPr>
          <w:p>
            <w:pPr>
              <w:ind w:left="40"/>
              <w:spacing w:after="0"/>
              <w:rPr>
                <w:sz w:val="20"/>
                <w:szCs w:val="20"/>
                <w:color w:val="auto"/>
              </w:rPr>
            </w:pPr>
            <w:r>
              <w:rPr>
                <w:rFonts w:ascii="Arial" w:cs="Arial" w:eastAsia="Arial" w:hAnsi="Arial"/>
                <w:sz w:val="18"/>
                <w:szCs w:val="18"/>
                <w:color w:val="auto"/>
              </w:rPr>
              <w:t>Filmed Entertainment</w:t>
            </w:r>
          </w:p>
        </w:tc>
        <w:tc>
          <w:tcPr>
            <w:tcW w:w="2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1,981</w:t>
            </w:r>
          </w:p>
        </w:tc>
        <w:tc>
          <w:tcPr>
            <w:tcW w:w="44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23"/>
                <w:szCs w:val="23"/>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347</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5</w:t>
            </w:r>
          </w:p>
        </w:tc>
      </w:tr>
      <w:tr>
        <w:trPr>
          <w:trHeight w:val="270"/>
        </w:trPr>
        <w:tc>
          <w:tcPr>
            <w:tcW w:w="4000" w:type="dxa"/>
            <w:vAlign w:val="bottom"/>
          </w:tcPr>
          <w:p>
            <w:pPr>
              <w:ind w:left="40"/>
              <w:spacing w:after="0"/>
              <w:rPr>
                <w:sz w:val="20"/>
                <w:szCs w:val="20"/>
                <w:color w:val="auto"/>
              </w:rPr>
            </w:pPr>
            <w:r>
              <w:rPr>
                <w:rFonts w:ascii="Arial" w:cs="Arial" w:eastAsia="Arial" w:hAnsi="Arial"/>
                <w:sz w:val="18"/>
                <w:szCs w:val="18"/>
                <w:color w:val="auto"/>
              </w:rPr>
              <w:t>Theme Parks</w:t>
            </w:r>
          </w:p>
        </w:tc>
        <w:tc>
          <w:tcPr>
            <w:tcW w:w="2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1,118</w:t>
            </w:r>
          </w:p>
        </w:tc>
        <w:tc>
          <w:tcPr>
            <w:tcW w:w="44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397</w:t>
            </w:r>
          </w:p>
        </w:tc>
        <w:tc>
          <w:tcPr>
            <w:tcW w:w="1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142</w:t>
            </w:r>
          </w:p>
        </w:tc>
        <w:tc>
          <w:tcPr>
            <w:tcW w:w="200" w:type="dxa"/>
            <w:vAlign w:val="bottom"/>
          </w:tcPr>
          <w:p>
            <w:pPr>
              <w:spacing w:after="0"/>
              <w:rPr>
                <w:sz w:val="23"/>
                <w:szCs w:val="23"/>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255</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229</w:t>
            </w:r>
          </w:p>
        </w:tc>
        <w:tc>
          <w:tcPr>
            <w:tcW w:w="1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13</w:t>
            </w:r>
          </w:p>
        </w:tc>
      </w:tr>
      <w:tr>
        <w:trPr>
          <w:trHeight w:val="310"/>
        </w:trPr>
        <w:tc>
          <w:tcPr>
            <w:tcW w:w="4000" w:type="dxa"/>
            <w:vAlign w:val="bottom"/>
          </w:tcPr>
          <w:p>
            <w:pPr>
              <w:ind w:left="4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25"/>
                <w:szCs w:val="25"/>
                <w:color w:val="auto"/>
                <w:vertAlign w:val="superscript"/>
              </w:rPr>
              <w:t>(a)</w:t>
            </w:r>
          </w:p>
        </w:tc>
        <w:tc>
          <w:tcPr>
            <w:tcW w:w="220" w:type="dxa"/>
            <w:vAlign w:val="bottom"/>
          </w:tcPr>
          <w:p>
            <w:pPr>
              <w:spacing w:after="0"/>
              <w:rPr>
                <w:sz w:val="24"/>
                <w:szCs w:val="24"/>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w:t>
            </w: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(284)</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24"/>
                <w:szCs w:val="24"/>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31</w:t>
            </w:r>
          </w:p>
        </w:tc>
      </w:tr>
      <w:tr>
        <w:trPr>
          <w:trHeight w:val="257"/>
        </w:trPr>
        <w:tc>
          <w:tcPr>
            <w:tcW w:w="4000" w:type="dxa"/>
            <w:vAlign w:val="bottom"/>
            <w:tcBorders>
              <w:bottom w:val="single" w:sz="8" w:color="auto"/>
            </w:tcBorders>
          </w:tcPr>
          <w:p>
            <w:pPr>
              <w:ind w:left="4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b w:val="1"/>
                <w:bCs w:val="1"/>
                <w:color w:val="auto"/>
              </w:rPr>
              <w:t>7,868</w:t>
            </w:r>
          </w:p>
        </w:tc>
        <w:tc>
          <w:tcPr>
            <w:tcW w:w="44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508</w:t>
            </w:r>
          </w:p>
        </w:tc>
        <w:tc>
          <w:tcPr>
            <w:tcW w:w="200" w:type="dxa"/>
            <w:vAlign w:val="bottom"/>
          </w:tcPr>
          <w:p>
            <w:pPr>
              <w:jc w:val="center"/>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ind w:right="14"/>
              <w:spacing w:after="0"/>
              <w:rPr>
                <w:sz w:val="20"/>
                <w:szCs w:val="20"/>
                <w:color w:val="auto"/>
              </w:rPr>
            </w:pPr>
            <w:r>
              <w:rPr>
                <w:rFonts w:ascii="Arial" w:cs="Arial" w:eastAsia="Arial" w:hAnsi="Arial"/>
                <w:sz w:val="18"/>
                <w:szCs w:val="18"/>
                <w:b w:val="1"/>
                <w:bCs w:val="1"/>
                <w:color w:val="auto"/>
              </w:rPr>
              <w:t>1,509</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285</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b w:val="1"/>
                <w:bCs w:val="1"/>
                <w:color w:val="auto"/>
              </w:rPr>
              <w:t>55</w:t>
            </w:r>
          </w:p>
        </w:tc>
      </w:tr>
      <w:tr>
        <w:trPr>
          <w:trHeight w:val="34"/>
        </w:trPr>
        <w:tc>
          <w:tcPr>
            <w:tcW w:w="4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615"/>
        </w:trPr>
        <w:tc>
          <w:tcPr>
            <w:tcW w:w="40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3"/>
          </w:tcPr>
          <w:p>
            <w:pPr>
              <w:jc w:val="center"/>
              <w:ind w:right="14"/>
              <w:spacing w:after="0"/>
              <w:rPr>
                <w:sz w:val="20"/>
                <w:szCs w:val="20"/>
                <w:color w:val="auto"/>
              </w:rPr>
            </w:pPr>
            <w:r>
              <w:rPr>
                <w:rFonts w:ascii="Arial" w:cs="Arial" w:eastAsia="Arial" w:hAnsi="Arial"/>
                <w:sz w:val="14"/>
                <w:szCs w:val="14"/>
                <w:color w:val="auto"/>
                <w:w w:val="93"/>
              </w:rPr>
              <w:t>Three Months Ended March 31, 2016</w:t>
            </w: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56"/>
        </w:trPr>
        <w:tc>
          <w:tcPr>
            <w:tcW w:w="4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0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92"/>
              </w:rPr>
              <w:t>Depreciation and</w:t>
            </w:r>
          </w:p>
        </w:tc>
        <w:tc>
          <w:tcPr>
            <w:tcW w:w="200" w:type="dxa"/>
            <w:vAlign w:val="bottom"/>
          </w:tcPr>
          <w:p>
            <w:pPr>
              <w:spacing w:after="0"/>
              <w:rPr>
                <w:sz w:val="13"/>
                <w:szCs w:val="13"/>
                <w:color w:val="auto"/>
              </w:rPr>
            </w:pPr>
          </w:p>
        </w:tc>
        <w:tc>
          <w:tcPr>
            <w:tcW w:w="1080" w:type="dxa"/>
            <w:vAlign w:val="bottom"/>
          </w:tcPr>
          <w:p>
            <w:pPr>
              <w:jc w:val="center"/>
              <w:ind w:right="114"/>
              <w:spacing w:after="0" w:line="157" w:lineRule="exact"/>
              <w:rPr>
                <w:sz w:val="20"/>
                <w:szCs w:val="20"/>
                <w:color w:val="auto"/>
              </w:rPr>
            </w:pPr>
            <w:r>
              <w:rPr>
                <w:rFonts w:ascii="Arial" w:cs="Arial" w:eastAsia="Arial" w:hAnsi="Arial"/>
                <w:sz w:val="14"/>
                <w:szCs w:val="14"/>
                <w:color w:val="auto"/>
                <w:w w:val="91"/>
              </w:rPr>
              <w:t>Operating</w:t>
            </w:r>
          </w:p>
        </w:tc>
        <w:tc>
          <w:tcPr>
            <w:tcW w:w="200" w:type="dxa"/>
            <w:vAlign w:val="bottom"/>
          </w:tcPr>
          <w:p>
            <w:pPr>
              <w:spacing w:after="0"/>
              <w:rPr>
                <w:sz w:val="13"/>
                <w:szCs w:val="13"/>
                <w:color w:val="auto"/>
              </w:rPr>
            </w:pPr>
          </w:p>
        </w:tc>
        <w:tc>
          <w:tcPr>
            <w:tcW w:w="1020" w:type="dxa"/>
            <w:vAlign w:val="bottom"/>
          </w:tcPr>
          <w:p>
            <w:pPr>
              <w:jc w:val="center"/>
              <w:ind w:right="74"/>
              <w:spacing w:after="0" w:line="157" w:lineRule="exact"/>
              <w:rPr>
                <w:sz w:val="20"/>
                <w:szCs w:val="20"/>
                <w:color w:val="auto"/>
              </w:rPr>
            </w:pPr>
            <w:r>
              <w:rPr>
                <w:rFonts w:ascii="Arial" w:cs="Arial" w:eastAsia="Arial" w:hAnsi="Arial"/>
                <w:sz w:val="14"/>
                <w:szCs w:val="14"/>
                <w:color w:val="auto"/>
                <w:w w:val="96"/>
              </w:rPr>
              <w:t>Capital</w:t>
            </w:r>
          </w:p>
        </w:tc>
        <w:tc>
          <w:tcPr>
            <w:tcW w:w="160" w:type="dxa"/>
            <w:vAlign w:val="bottom"/>
          </w:tcPr>
          <w:p>
            <w:pPr>
              <w:spacing w:after="0"/>
              <w:rPr>
                <w:sz w:val="13"/>
                <w:szCs w:val="13"/>
                <w:color w:val="auto"/>
              </w:rPr>
            </w:pPr>
          </w:p>
        </w:tc>
        <w:tc>
          <w:tcPr>
            <w:tcW w:w="1140" w:type="dxa"/>
            <w:vAlign w:val="bottom"/>
          </w:tcPr>
          <w:p>
            <w:pPr>
              <w:jc w:val="center"/>
              <w:ind w:right="34"/>
              <w:spacing w:after="0" w:line="157" w:lineRule="exact"/>
              <w:rPr>
                <w:sz w:val="20"/>
                <w:szCs w:val="20"/>
                <w:color w:val="auto"/>
              </w:rPr>
            </w:pPr>
            <w:r>
              <w:rPr>
                <w:rFonts w:ascii="Arial" w:cs="Arial" w:eastAsia="Arial" w:hAnsi="Arial"/>
                <w:sz w:val="14"/>
                <w:szCs w:val="14"/>
                <w:color w:val="auto"/>
                <w:w w:val="91"/>
              </w:rPr>
              <w:t>Cash Paid for</w:t>
            </w:r>
          </w:p>
        </w:tc>
      </w:tr>
      <w:tr>
        <w:trPr>
          <w:trHeight w:val="188"/>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rPr>
              <w:t>Revenue</w:t>
            </w:r>
            <w:r>
              <w:rPr>
                <w:rFonts w:ascii="Arial" w:cs="Arial" w:eastAsia="Arial" w:hAnsi="Arial"/>
                <w:sz w:val="8"/>
                <w:szCs w:val="8"/>
                <w:color w:val="auto"/>
              </w:rPr>
              <w:t>(c)</w:t>
            </w: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Adjusted EBITDA</w:t>
            </w:r>
            <w:r>
              <w:rPr>
                <w:rFonts w:ascii="Arial" w:cs="Arial" w:eastAsia="Arial" w:hAnsi="Arial"/>
                <w:sz w:val="8"/>
                <w:szCs w:val="8"/>
                <w:color w:val="auto"/>
              </w:rPr>
              <w:t>(d)</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color w:val="auto"/>
                <w:w w:val="97"/>
              </w:rPr>
              <w:t>Amortization</w:t>
            </w: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color w:val="auto"/>
                <w:w w:val="94"/>
              </w:rPr>
              <w:t>Income (Loss)</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color w:val="auto"/>
                <w:w w:val="92"/>
              </w:rPr>
              <w:t>Expenditures</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color w:val="auto"/>
                <w:w w:val="91"/>
              </w:rPr>
              <w:t>Intangible Assets</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Cable Networks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2,453</w:t>
            </w: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956</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190</w:t>
            </w:r>
          </w:p>
        </w:tc>
        <w:tc>
          <w:tcPr>
            <w:tcW w:w="2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766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w:t>
            </w:r>
          </w:p>
        </w:tc>
      </w:tr>
      <w:tr>
        <w:trPr>
          <w:trHeight w:val="270"/>
        </w:trPr>
        <w:tc>
          <w:tcPr>
            <w:tcW w:w="4000" w:type="dxa"/>
            <w:vAlign w:val="bottom"/>
          </w:tcPr>
          <w:p>
            <w:pPr>
              <w:ind w:left="40"/>
              <w:spacing w:after="0"/>
              <w:rPr>
                <w:sz w:val="20"/>
                <w:szCs w:val="20"/>
                <w:color w:val="auto"/>
              </w:rPr>
            </w:pPr>
            <w:r>
              <w:rPr>
                <w:rFonts w:ascii="Arial" w:cs="Arial" w:eastAsia="Arial" w:hAnsi="Arial"/>
                <w:sz w:val="18"/>
                <w:szCs w:val="18"/>
                <w:color w:val="auto"/>
              </w:rPr>
              <w:t>Broadcast Television</w:t>
            </w:r>
          </w:p>
        </w:tc>
        <w:tc>
          <w:tcPr>
            <w:tcW w:w="2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2,084</w:t>
            </w:r>
          </w:p>
        </w:tc>
        <w:tc>
          <w:tcPr>
            <w:tcW w:w="44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3"/>
                <w:szCs w:val="23"/>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252</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w:t>
            </w:r>
          </w:p>
        </w:tc>
      </w:tr>
      <w:tr>
        <w:trPr>
          <w:trHeight w:val="270"/>
        </w:trPr>
        <w:tc>
          <w:tcPr>
            <w:tcW w:w="4000" w:type="dxa"/>
            <w:vAlign w:val="bottom"/>
          </w:tcPr>
          <w:p>
            <w:pPr>
              <w:ind w:left="40"/>
              <w:spacing w:after="0"/>
              <w:rPr>
                <w:sz w:val="20"/>
                <w:szCs w:val="20"/>
                <w:color w:val="auto"/>
              </w:rPr>
            </w:pPr>
            <w:r>
              <w:rPr>
                <w:rFonts w:ascii="Arial" w:cs="Arial" w:eastAsia="Arial" w:hAnsi="Arial"/>
                <w:sz w:val="18"/>
                <w:szCs w:val="18"/>
                <w:color w:val="auto"/>
              </w:rPr>
              <w:t>Filmed Entertainment</w:t>
            </w:r>
          </w:p>
        </w:tc>
        <w:tc>
          <w:tcPr>
            <w:tcW w:w="2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1,383</w:t>
            </w:r>
          </w:p>
        </w:tc>
        <w:tc>
          <w:tcPr>
            <w:tcW w:w="44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23"/>
                <w:szCs w:val="23"/>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159</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w:t>
            </w:r>
          </w:p>
        </w:tc>
      </w:tr>
      <w:tr>
        <w:trPr>
          <w:trHeight w:val="270"/>
        </w:trPr>
        <w:tc>
          <w:tcPr>
            <w:tcW w:w="4000" w:type="dxa"/>
            <w:vAlign w:val="bottom"/>
          </w:tcPr>
          <w:p>
            <w:pPr>
              <w:ind w:left="40"/>
              <w:spacing w:after="0"/>
              <w:rPr>
                <w:sz w:val="20"/>
                <w:szCs w:val="20"/>
                <w:color w:val="auto"/>
              </w:rPr>
            </w:pPr>
            <w:r>
              <w:rPr>
                <w:rFonts w:ascii="Arial" w:cs="Arial" w:eastAsia="Arial" w:hAnsi="Arial"/>
                <w:sz w:val="18"/>
                <w:szCs w:val="18"/>
                <w:color w:val="auto"/>
              </w:rPr>
              <w:t>Theme Parks</w:t>
            </w:r>
          </w:p>
        </w:tc>
        <w:tc>
          <w:tcPr>
            <w:tcW w:w="2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1,026</w:t>
            </w:r>
          </w:p>
        </w:tc>
        <w:tc>
          <w:tcPr>
            <w:tcW w:w="44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w:t>
            </w:r>
          </w:p>
        </w:tc>
        <w:tc>
          <w:tcPr>
            <w:tcW w:w="200" w:type="dxa"/>
            <w:vAlign w:val="bottom"/>
          </w:tcPr>
          <w:p>
            <w:pPr>
              <w:spacing w:after="0"/>
              <w:rPr>
                <w:sz w:val="23"/>
                <w:szCs w:val="23"/>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277</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9</w:t>
            </w:r>
          </w:p>
        </w:tc>
      </w:tr>
      <w:tr>
        <w:trPr>
          <w:trHeight w:val="310"/>
        </w:trPr>
        <w:tc>
          <w:tcPr>
            <w:tcW w:w="4000" w:type="dxa"/>
            <w:vAlign w:val="bottom"/>
          </w:tcPr>
          <w:p>
            <w:pPr>
              <w:ind w:left="4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25"/>
                <w:szCs w:val="25"/>
                <w:color w:val="auto"/>
                <w:vertAlign w:val="superscript"/>
              </w:rPr>
              <w:t>(a)</w:t>
            </w:r>
          </w:p>
        </w:tc>
        <w:tc>
          <w:tcPr>
            <w:tcW w:w="220" w:type="dxa"/>
            <w:vAlign w:val="bottom"/>
          </w:tcPr>
          <w:p>
            <w:pPr>
              <w:spacing w:after="0"/>
              <w:rPr>
                <w:sz w:val="24"/>
                <w:szCs w:val="24"/>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w:t>
            </w: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(246)</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w:t>
            </w:r>
          </w:p>
        </w:tc>
        <w:tc>
          <w:tcPr>
            <w:tcW w:w="160" w:type="dxa"/>
            <w:vAlign w:val="bottom"/>
          </w:tcPr>
          <w:p>
            <w:pPr>
              <w:spacing w:after="0"/>
              <w:rPr>
                <w:sz w:val="24"/>
                <w:szCs w:val="24"/>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36</w:t>
            </w:r>
          </w:p>
        </w:tc>
      </w:tr>
      <w:tr>
        <w:trPr>
          <w:trHeight w:val="257"/>
        </w:trPr>
        <w:tc>
          <w:tcPr>
            <w:tcW w:w="4000" w:type="dxa"/>
            <w:vAlign w:val="bottom"/>
            <w:tcBorders>
              <w:bottom w:val="single" w:sz="8" w:color="auto"/>
            </w:tcBorders>
          </w:tcPr>
          <w:p>
            <w:pPr>
              <w:ind w:left="4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b w:val="1"/>
                <w:bCs w:val="1"/>
                <w:color w:val="auto"/>
              </w:rPr>
              <w:t>6,861</w:t>
            </w:r>
          </w:p>
        </w:tc>
        <w:tc>
          <w:tcPr>
            <w:tcW w:w="44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1,622</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414</w:t>
            </w:r>
          </w:p>
        </w:tc>
        <w:tc>
          <w:tcPr>
            <w:tcW w:w="200" w:type="dxa"/>
            <w:vAlign w:val="bottom"/>
          </w:tcPr>
          <w:p>
            <w:pPr>
              <w:jc w:val="center"/>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ind w:right="14"/>
              <w:spacing w:after="0"/>
              <w:rPr>
                <w:sz w:val="20"/>
                <w:szCs w:val="20"/>
                <w:color w:val="auto"/>
              </w:rPr>
            </w:pPr>
            <w:r>
              <w:rPr>
                <w:rFonts w:ascii="Arial" w:cs="Arial" w:eastAsia="Arial" w:hAnsi="Arial"/>
                <w:sz w:val="18"/>
                <w:szCs w:val="18"/>
                <w:b w:val="1"/>
                <w:bCs w:val="1"/>
                <w:color w:val="auto"/>
              </w:rPr>
              <w:t>1,208</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295</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b w:val="1"/>
                <w:bCs w:val="1"/>
                <w:color w:val="auto"/>
              </w:rPr>
              <w:t>52</w:t>
            </w:r>
          </w:p>
        </w:tc>
      </w:tr>
      <w:tr>
        <w:trPr>
          <w:trHeight w:val="34"/>
        </w:trPr>
        <w:tc>
          <w:tcPr>
            <w:tcW w:w="4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49"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Headquarters and Other activities include costs associated with overhead, allocations, personnel costs and headquarter initiatives.</w:t>
      </w:r>
    </w:p>
    <w:p>
      <w:pPr>
        <w:spacing w:after="0" w:line="68" w:lineRule="exact"/>
        <w:rPr>
          <w:rFonts w:ascii="Arial" w:cs="Arial" w:eastAsia="Arial" w:hAnsi="Arial"/>
          <w:sz w:val="14"/>
          <w:szCs w:val="14"/>
          <w:color w:val="auto"/>
        </w:rPr>
      </w:pPr>
    </w:p>
    <w:p>
      <w:pPr>
        <w:ind w:left="340" w:right="20" w:hanging="332"/>
        <w:spacing w:after="0" w:line="273" w:lineRule="auto"/>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Included in Eliminations are transactions that our segments enter into with one another, which consist primarily of the licensing of film and television content from our Filmed Entertainment and Broadcast Television segments to our Cable Networks segment.</w:t>
      </w:r>
    </w:p>
    <w:p>
      <w:pPr>
        <w:spacing w:after="0" w:line="25" w:lineRule="exact"/>
        <w:rPr>
          <w:rFonts w:ascii="Arial" w:cs="Arial" w:eastAsia="Arial" w:hAnsi="Arial"/>
          <w:sz w:val="14"/>
          <w:szCs w:val="14"/>
          <w:color w:val="auto"/>
        </w:rPr>
      </w:pPr>
    </w:p>
    <w:p>
      <w:pPr>
        <w:ind w:left="340" w:hanging="332"/>
        <w:spacing w:after="0"/>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No single customer accounted for a significant amount of revenue in any period.</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1"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89" w:lineRule="exact"/>
        <w:rPr>
          <w:sz w:val="20"/>
          <w:szCs w:val="20"/>
          <w:color w:val="auto"/>
        </w:rPr>
      </w:pPr>
    </w:p>
    <w:p>
      <w:pPr>
        <w:jc w:val="both"/>
        <w:ind w:left="340" w:hanging="332"/>
        <w:spacing w:after="0" w:line="265" w:lineRule="auto"/>
        <w:tabs>
          <w:tab w:leader="none" w:pos="340" w:val="left"/>
        </w:tabs>
        <w:numPr>
          <w:ilvl w:val="0"/>
          <w:numId w:val="17"/>
        </w:numPr>
        <w:rPr>
          <w:rFonts w:ascii="Arial" w:cs="Arial" w:eastAsia="Arial" w:hAnsi="Arial"/>
          <w:sz w:val="13"/>
          <w:szCs w:val="13"/>
          <w:color w:val="auto"/>
        </w:rPr>
      </w:pPr>
      <w:r>
        <w:rPr>
          <w:rFonts w:ascii="Arial" w:cs="Arial" w:eastAsia="Arial" w:hAnsi="Arial"/>
          <w:sz w:val="13"/>
          <w:szCs w:val="13"/>
          <w:color w:val="auto"/>
        </w:rPr>
        <w:t>We use Adjusted EBITDA as the measure of profit or loss for our operating segments. Adjusted EBITDA is defined as net income attributable to NBCUniversal before net (income) loss attributable to noncontrolling interests, income tax expense, other income (expense) items, net, and depreciation and amortization, and excluding impairment charges related to fixed and intangible assets and gains or losses on the sale of long-lived assets, if any. Other income (expense) items, net include interest expense, investment income (loss), equity in net income (losses) of investees, and other income (expense), net (as stated in our condensed consolidated statement of income). This measure eliminates the significant level of noncash amortization expense that results from intangible assets recognized in connection with business combinations. Additionally, it is unaffected by our capital and tax structures and by our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that of other companies in our industries, although our measure may not be directly comparable to similar measures used by other companies. This measure should not be considered a substitute for operating income (loss), net income (loss), net income (loss) attributable to NBCUniversal, net cash provided by operating activities, or other measures of performance or liquidity we have reported in accordance with GAAP. Our reconciliation of the aggregate amount of Adjusted EBITDA for our reportable segments to consolidated income before income taxes is presented in the table below.</w:t>
      </w:r>
    </w:p>
    <w:p>
      <w:pPr>
        <w:spacing w:after="0" w:line="18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20" w:type="dxa"/>
            <w:vAlign w:val="bottom"/>
            <w:gridSpan w:val="3"/>
          </w:tcPr>
          <w:p>
            <w:pPr>
              <w:jc w:val="right"/>
              <w:ind w:right="688"/>
              <w:spacing w:after="0"/>
              <w:rPr>
                <w:sz w:val="20"/>
                <w:szCs w:val="20"/>
                <w:color w:val="auto"/>
              </w:rPr>
            </w:pPr>
            <w:r>
              <w:rPr>
                <w:rFonts w:ascii="Arial" w:cs="Arial" w:eastAsia="Arial" w:hAnsi="Arial"/>
                <w:sz w:val="14"/>
                <w:szCs w:val="14"/>
                <w:color w:val="auto"/>
              </w:rPr>
              <w:t>Three Months Ended</w:t>
            </w:r>
          </w:p>
        </w:tc>
      </w:tr>
      <w:tr>
        <w:trPr>
          <w:trHeight w:val="188"/>
        </w:trPr>
        <w:tc>
          <w:tcPr>
            <w:tcW w:w="77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color w:val="auto"/>
              </w:rPr>
              <w:t>March 31</w:t>
            </w:r>
          </w:p>
        </w:tc>
        <w:tc>
          <w:tcPr>
            <w:tcW w:w="960" w:type="dxa"/>
            <w:vAlign w:val="bottom"/>
            <w:tcBorders>
              <w:bottom w:val="single" w:sz="8" w:color="auto"/>
            </w:tcBorders>
          </w:tcPr>
          <w:p>
            <w:pPr>
              <w:spacing w:after="0"/>
              <w:rPr>
                <w:sz w:val="16"/>
                <w:szCs w:val="16"/>
                <w:color w:val="auto"/>
              </w:rPr>
            </w:pPr>
          </w:p>
        </w:tc>
      </w:tr>
      <w:tr>
        <w:trPr>
          <w:trHeight w:val="196"/>
        </w:trPr>
        <w:tc>
          <w:tcPr>
            <w:tcW w:w="77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2017</w:t>
            </w: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2016</w:t>
            </w:r>
          </w:p>
        </w:tc>
      </w:tr>
      <w:tr>
        <w:trPr>
          <w:trHeight w:val="204"/>
        </w:trPr>
        <w:tc>
          <w:tcPr>
            <w:tcW w:w="7780" w:type="dxa"/>
            <w:vAlign w:val="bottom"/>
          </w:tcPr>
          <w:p>
            <w:pPr>
              <w:ind w:left="20"/>
              <w:spacing w:after="0"/>
              <w:rPr>
                <w:sz w:val="20"/>
                <w:szCs w:val="20"/>
                <w:color w:val="auto"/>
              </w:rPr>
            </w:pPr>
            <w:r>
              <w:rPr>
                <w:rFonts w:ascii="Arial" w:cs="Arial" w:eastAsia="Arial" w:hAnsi="Arial"/>
                <w:sz w:val="14"/>
                <w:szCs w:val="14"/>
                <w:color w:val="auto"/>
              </w:rPr>
              <w:t>Adjusted EBITDA</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2,017</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1,622</w:t>
            </w:r>
          </w:p>
        </w:tc>
      </w:tr>
      <w:tr>
        <w:trPr>
          <w:trHeight w:val="203"/>
        </w:trPr>
        <w:tc>
          <w:tcPr>
            <w:tcW w:w="7780" w:type="dxa"/>
            <w:vAlign w:val="bottom"/>
          </w:tcPr>
          <w:p>
            <w:pPr>
              <w:ind w:left="20"/>
              <w:spacing w:after="0"/>
              <w:rPr>
                <w:sz w:val="20"/>
                <w:szCs w:val="20"/>
                <w:color w:val="auto"/>
              </w:rPr>
            </w:pPr>
            <w:r>
              <w:rPr>
                <w:rFonts w:ascii="Arial" w:cs="Arial" w:eastAsia="Arial" w:hAnsi="Arial"/>
                <w:sz w:val="14"/>
                <w:szCs w:val="14"/>
                <w:color w:val="auto"/>
              </w:rPr>
              <w:t>Depreciation</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(231)</w:t>
            </w:r>
          </w:p>
        </w:tc>
        <w:tc>
          <w:tcPr>
            <w:tcW w:w="4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(192)</w:t>
            </w:r>
          </w:p>
        </w:tc>
      </w:tr>
      <w:tr>
        <w:trPr>
          <w:trHeight w:val="203"/>
        </w:trPr>
        <w:tc>
          <w:tcPr>
            <w:tcW w:w="7780" w:type="dxa"/>
            <w:vAlign w:val="bottom"/>
          </w:tcPr>
          <w:p>
            <w:pPr>
              <w:ind w:left="20"/>
              <w:spacing w:after="0"/>
              <w:rPr>
                <w:sz w:val="20"/>
                <w:szCs w:val="20"/>
                <w:color w:val="auto"/>
              </w:rPr>
            </w:pPr>
            <w:r>
              <w:rPr>
                <w:rFonts w:ascii="Arial" w:cs="Arial" w:eastAsia="Arial" w:hAnsi="Arial"/>
                <w:sz w:val="14"/>
                <w:szCs w:val="14"/>
                <w:color w:val="auto"/>
              </w:rPr>
              <w:t>Amortization</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(277)</w:t>
            </w:r>
          </w:p>
        </w:tc>
        <w:tc>
          <w:tcPr>
            <w:tcW w:w="4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(222)</w:t>
            </w:r>
          </w:p>
        </w:tc>
      </w:tr>
      <w:tr>
        <w:trPr>
          <w:trHeight w:val="209"/>
        </w:trPr>
        <w:tc>
          <w:tcPr>
            <w:tcW w:w="77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income (expense) items, net</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w:t>
            </w: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r>
      <w:tr>
        <w:trPr>
          <w:trHeight w:val="223"/>
        </w:trPr>
        <w:tc>
          <w:tcPr>
            <w:tcW w:w="77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 before income taxes</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1,365</w:t>
            </w: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1,180</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1"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This EMPLOYMENT AGREEMENT (the “Agreement”) is entered into effective the 1st day of April, 2017, between COMCAST CORPORATION, a Pennsylvania corporation (together with its subsidiaries, the “Company”), and NEIL SMIT (“Employee”).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Employee desires to have Employee’s employment relationship with the Company be governed by the terms and conditions of this Agreement, which include material benefits favorable to Employee. In return for such material benefits, Employee is agreeing to the terms and conditions contained in this Agreement, which include material obligations on Employee.</w:t>
      </w:r>
    </w:p>
    <w:p>
      <w:pPr>
        <w:spacing w:after="0" w:line="177"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Intending to be legally bound, the Company and Employee agree as follows:</w:t>
      </w:r>
    </w:p>
    <w:p>
      <w:pPr>
        <w:spacing w:after="0" w:line="225" w:lineRule="exact"/>
        <w:rPr>
          <w:sz w:val="20"/>
          <w:szCs w:val="20"/>
          <w:color w:val="auto"/>
        </w:rPr>
      </w:pPr>
    </w:p>
    <w:p>
      <w:pPr>
        <w:ind w:left="980" w:hanging="324"/>
        <w:spacing w:after="0"/>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Position and Duties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60" w:firstLine="1305"/>
        <w:spacing w:after="0" w:line="286" w:lineRule="auto"/>
        <w:tabs>
          <w:tab w:leader="none" w:pos="1676" w:val="left"/>
        </w:tabs>
        <w:numPr>
          <w:ilvl w:val="2"/>
          <w:numId w:val="18"/>
        </w:numPr>
        <w:rPr>
          <w:rFonts w:ascii="Arial" w:cs="Arial" w:eastAsia="Arial" w:hAnsi="Arial"/>
          <w:sz w:val="17"/>
          <w:szCs w:val="17"/>
          <w:color w:val="auto"/>
        </w:rPr>
      </w:pPr>
      <w:r>
        <w:rPr>
          <w:rFonts w:ascii="Arial" w:cs="Arial" w:eastAsia="Arial" w:hAnsi="Arial"/>
          <w:sz w:val="17"/>
          <w:szCs w:val="17"/>
          <w:color w:val="auto"/>
        </w:rPr>
        <w:t>Employee shall serve and the Company shall employ Employee in the position of non-executive Vice Chairman. Employee shall report directly to the Company’s Chief Executive Officer (currently Brian L. Roberts), in Philadelphia, Pennsylvania. The duties of Employee from time to time hereunder will be those assigned by the Company commensurate with Employee’s education, skills and experience.</w:t>
      </w:r>
    </w:p>
    <w:p>
      <w:pPr>
        <w:spacing w:after="0" w:line="165" w:lineRule="exact"/>
        <w:rPr>
          <w:rFonts w:ascii="Arial" w:cs="Arial" w:eastAsia="Arial" w:hAnsi="Arial"/>
          <w:sz w:val="17"/>
          <w:szCs w:val="17"/>
          <w:color w:val="auto"/>
        </w:rPr>
      </w:pPr>
    </w:p>
    <w:p>
      <w:pPr>
        <w:ind w:firstLine="1305"/>
        <w:spacing w:after="0" w:line="257" w:lineRule="auto"/>
        <w:tabs>
          <w:tab w:leader="none" w:pos="1686" w:val="left"/>
        </w:tabs>
        <w:numPr>
          <w:ilvl w:val="2"/>
          <w:numId w:val="18"/>
        </w:numPr>
        <w:rPr>
          <w:rFonts w:ascii="Arial" w:cs="Arial" w:eastAsia="Arial" w:hAnsi="Arial"/>
          <w:sz w:val="18"/>
          <w:szCs w:val="18"/>
          <w:color w:val="auto"/>
        </w:rPr>
      </w:pPr>
      <w:r>
        <w:rPr>
          <w:rFonts w:ascii="Arial" w:cs="Arial" w:eastAsia="Arial" w:hAnsi="Arial"/>
          <w:sz w:val="18"/>
          <w:szCs w:val="18"/>
          <w:color w:val="auto"/>
        </w:rPr>
        <w:t>Employee shall work part-time and during working hours devote Employee’s reasonable best efforts to the business of the Company in a manner that will further the interests of the Company. Without the prior written consent of the Company, Employee shall not work in self-employment nor, directly or indirectly, work for or otherwise provide services to or on behalf of any person or entity, other than the Company. Notwithstanding the foregoing, Employee may engage in non-compensatory civic and charitable activities with the consent of the Company, which consent shall not be unreasonably withheld or delayed.</w:t>
      </w:r>
    </w:p>
    <w:p>
      <w:pPr>
        <w:spacing w:after="0" w:line="188" w:lineRule="exact"/>
        <w:rPr>
          <w:rFonts w:ascii="Arial" w:cs="Arial" w:eastAsia="Arial" w:hAnsi="Arial"/>
          <w:sz w:val="18"/>
          <w:szCs w:val="18"/>
          <w:color w:val="auto"/>
        </w:rPr>
      </w:pPr>
    </w:p>
    <w:p>
      <w:pPr>
        <w:ind w:left="840" w:hanging="427"/>
        <w:spacing w:after="0"/>
        <w:tabs>
          <w:tab w:leader="none" w:pos="8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Employee shall comply with all policies of the Company applicable to Employee, including the Employee Handbook and the Code of Conduct.</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1"/>
          <w:numId w:val="19"/>
        </w:numPr>
        <w:rPr>
          <w:rFonts w:ascii="Arial" w:cs="Arial" w:eastAsia="Arial" w:hAnsi="Arial"/>
          <w:sz w:val="16"/>
          <w:szCs w:val="16"/>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The term of this Agreement (the “Term”) shall be from the date first-above written (the “Commencement Date”) through the first to occur</w:t>
      </w:r>
    </w:p>
    <w:p>
      <w:pPr>
        <w:spacing w:after="0" w:line="46" w:lineRule="exact"/>
        <w:rPr>
          <w:rFonts w:ascii="Arial" w:cs="Arial" w:eastAsia="Arial" w:hAnsi="Arial"/>
          <w:sz w:val="16"/>
          <w:szCs w:val="16"/>
          <w:color w:val="auto"/>
        </w:rPr>
      </w:pPr>
    </w:p>
    <w:p>
      <w:pPr>
        <w:ind w:right="220"/>
        <w:spacing w:after="0" w:line="302" w:lineRule="auto"/>
        <w:rPr>
          <w:rFonts w:ascii="Arial" w:cs="Arial" w:eastAsia="Arial" w:hAnsi="Arial"/>
          <w:sz w:val="16"/>
          <w:szCs w:val="16"/>
          <w:color w:val="auto"/>
        </w:rPr>
      </w:pPr>
      <w:r>
        <w:rPr>
          <w:rFonts w:ascii="Arial" w:cs="Arial" w:eastAsia="Arial" w:hAnsi="Arial"/>
          <w:sz w:val="16"/>
          <w:szCs w:val="16"/>
          <w:color w:val="auto"/>
        </w:rPr>
        <w:t>of: (a) the date Employee’s employment is terminated in accordance with Paragraph 6; or (b) December 31, 2021 (the date specified in subparagraph (b) above is referred to as the “Regular End Date”). Notwithstanding the end of the Term, the Company’s obligations to make any payments expressly set forth herein to be made after the Term, and the parties’ rights and obligations contained in Paragraphs 8, 9 and 10, shall be enforceable after the end of the Term.</w:t>
      </w:r>
    </w:p>
    <w:p>
      <w:pPr>
        <w:spacing w:after="0" w:line="155" w:lineRule="exact"/>
        <w:rPr>
          <w:rFonts w:ascii="Arial" w:cs="Arial" w:eastAsia="Arial" w:hAnsi="Arial"/>
          <w:sz w:val="16"/>
          <w:szCs w:val="16"/>
          <w:color w:val="auto"/>
        </w:rPr>
      </w:pPr>
    </w:p>
    <w:p>
      <w:pPr>
        <w:ind w:left="980" w:hanging="324"/>
        <w:spacing w:after="0"/>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200" w:firstLine="1305"/>
        <w:spacing w:after="0" w:line="302" w:lineRule="auto"/>
        <w:tabs>
          <w:tab w:leader="none" w:pos="1676" w:val="left"/>
        </w:tabs>
        <w:numPr>
          <w:ilvl w:val="2"/>
          <w:numId w:val="19"/>
        </w:numPr>
        <w:rPr>
          <w:rFonts w:ascii="Arial" w:cs="Arial" w:eastAsia="Arial" w:hAnsi="Arial"/>
          <w:sz w:val="16"/>
          <w:szCs w:val="16"/>
          <w:color w:val="auto"/>
        </w:rPr>
      </w:pPr>
      <w:r>
        <w:rPr>
          <w:rFonts w:ascii="Arial" w:cs="Arial" w:eastAsia="Arial" w:hAnsi="Arial"/>
          <w:sz w:val="16"/>
          <w:szCs w:val="16"/>
          <w:u w:val="single" w:color="auto"/>
          <w:color w:val="auto"/>
        </w:rPr>
        <w:t>Cash Compensation - 2017</w:t>
      </w:r>
      <w:r>
        <w:rPr>
          <w:rFonts w:ascii="Arial" w:cs="Arial" w:eastAsia="Arial" w:hAnsi="Arial"/>
          <w:sz w:val="16"/>
          <w:szCs w:val="16"/>
          <w:color w:val="auto"/>
        </w:rPr>
        <w:t>. Employee’s cash compensation for 2017 shall be comprised of base salary (“Base Salary”) at the annual rate of $1,930,838, and participation in the Company’s Cash Bonus Plan with a target bonus potential of 300% of eligible earnings (</w:t>
      </w:r>
      <w:r>
        <w:rPr>
          <w:rFonts w:ascii="Arial" w:cs="Arial" w:eastAsia="Arial" w:hAnsi="Arial"/>
          <w:sz w:val="16"/>
          <w:szCs w:val="16"/>
          <w:u w:val="single" w:color="auto"/>
          <w:color w:val="auto"/>
        </w:rPr>
        <w:t>i.e.</w:t>
      </w:r>
      <w:r>
        <w:rPr>
          <w:rFonts w:ascii="Arial" w:cs="Arial" w:eastAsia="Arial" w:hAnsi="Arial"/>
          <w:sz w:val="16"/>
          <w:szCs w:val="16"/>
          <w:color w:val="auto"/>
        </w:rPr>
        <w:t>, the amount of Base Salary actually paid and/or deferred). Employee’s participation in such Plan will be pursuant to the terms and conditions thereof. The performance goals applicable to such cash bonus will be consistent with those applicable to other employees, taking into account Employee’s position and duties.</w:t>
      </w:r>
    </w:p>
    <w:p>
      <w:pPr>
        <w:spacing w:after="0" w:line="154" w:lineRule="exact"/>
        <w:rPr>
          <w:rFonts w:ascii="Arial" w:cs="Arial" w:eastAsia="Arial" w:hAnsi="Arial"/>
          <w:sz w:val="16"/>
          <w:szCs w:val="16"/>
          <w:color w:val="auto"/>
        </w:rPr>
      </w:pPr>
    </w:p>
    <w:p>
      <w:pPr>
        <w:ind w:left="1700" w:hanging="395"/>
        <w:spacing w:after="0"/>
        <w:tabs>
          <w:tab w:leader="none" w:pos="1700" w:val="left"/>
        </w:tabs>
        <w:numPr>
          <w:ilvl w:val="2"/>
          <w:numId w:val="19"/>
        </w:numPr>
        <w:rPr>
          <w:rFonts w:ascii="Arial" w:cs="Arial" w:eastAsia="Arial" w:hAnsi="Arial"/>
          <w:sz w:val="16"/>
          <w:szCs w:val="16"/>
          <w:color w:val="auto"/>
        </w:rPr>
      </w:pPr>
      <w:r>
        <w:rPr>
          <w:rFonts w:ascii="Arial" w:cs="Arial" w:eastAsia="Arial" w:hAnsi="Arial"/>
          <w:sz w:val="16"/>
          <w:szCs w:val="16"/>
          <w:u w:val="single" w:color="auto"/>
          <w:color w:val="auto"/>
        </w:rPr>
        <w:t>Cash Compensation - 2018 and 2019</w:t>
      </w:r>
      <w:r>
        <w:rPr>
          <w:rFonts w:ascii="Arial" w:cs="Arial" w:eastAsia="Arial" w:hAnsi="Arial"/>
          <w:sz w:val="16"/>
          <w:szCs w:val="16"/>
          <w:color w:val="auto"/>
        </w:rPr>
        <w:t>. Employee’s cash compensation for each of 2018 and 2019 shall be a Base Salary of $3,861,676.</w:t>
      </w:r>
    </w:p>
    <w:p>
      <w:pPr>
        <w:spacing w:after="0" w:line="248" w:lineRule="exact"/>
        <w:rPr>
          <w:rFonts w:ascii="Arial" w:cs="Arial" w:eastAsia="Arial" w:hAnsi="Arial"/>
          <w:sz w:val="16"/>
          <w:szCs w:val="16"/>
          <w:color w:val="auto"/>
        </w:rPr>
      </w:pPr>
    </w:p>
    <w:p>
      <w:pPr>
        <w:ind w:left="1680" w:hanging="375"/>
        <w:spacing w:after="0"/>
        <w:tabs>
          <w:tab w:leader="none" w:pos="1680" w:val="left"/>
        </w:tabs>
        <w:numPr>
          <w:ilvl w:val="2"/>
          <w:numId w:val="19"/>
        </w:numPr>
        <w:rPr>
          <w:rFonts w:ascii="Arial" w:cs="Arial" w:eastAsia="Arial" w:hAnsi="Arial"/>
          <w:sz w:val="16"/>
          <w:szCs w:val="16"/>
          <w:color w:val="auto"/>
        </w:rPr>
      </w:pPr>
      <w:r>
        <w:rPr>
          <w:rFonts w:ascii="Arial" w:cs="Arial" w:eastAsia="Arial" w:hAnsi="Arial"/>
          <w:sz w:val="16"/>
          <w:szCs w:val="16"/>
          <w:u w:val="single" w:color="auto"/>
          <w:color w:val="auto"/>
        </w:rPr>
        <w:t>Cash Compensation - 2020 and 2021</w:t>
      </w:r>
      <w:r>
        <w:rPr>
          <w:rFonts w:ascii="Arial" w:cs="Arial" w:eastAsia="Arial" w:hAnsi="Arial"/>
          <w:sz w:val="16"/>
          <w:szCs w:val="16"/>
          <w:color w:val="auto"/>
        </w:rPr>
        <w:t>. Employee’s cash compensation for each of 2020 and 2021 shall be a Base Salary of $250,000.</w:t>
      </w:r>
    </w:p>
    <w:p>
      <w:pPr>
        <w:spacing w:after="0" w:line="248" w:lineRule="exact"/>
        <w:rPr>
          <w:rFonts w:ascii="Arial" w:cs="Arial" w:eastAsia="Arial" w:hAnsi="Arial"/>
          <w:sz w:val="16"/>
          <w:szCs w:val="16"/>
          <w:color w:val="auto"/>
        </w:rPr>
      </w:pPr>
    </w:p>
    <w:p>
      <w:pPr>
        <w:ind w:left="1700" w:hanging="395"/>
        <w:spacing w:after="0"/>
        <w:tabs>
          <w:tab w:leader="none" w:pos="1700" w:val="left"/>
        </w:tabs>
        <w:numPr>
          <w:ilvl w:val="2"/>
          <w:numId w:val="19"/>
        </w:numPr>
        <w:rPr>
          <w:rFonts w:ascii="Arial" w:cs="Arial" w:eastAsia="Arial" w:hAnsi="Arial"/>
          <w:sz w:val="16"/>
          <w:szCs w:val="16"/>
          <w:color w:val="auto"/>
        </w:rPr>
      </w:pPr>
      <w:r>
        <w:rPr>
          <w:rFonts w:ascii="Arial" w:cs="Arial" w:eastAsia="Arial" w:hAnsi="Arial"/>
          <w:sz w:val="16"/>
          <w:szCs w:val="16"/>
          <w:color w:val="auto"/>
        </w:rPr>
        <w:t>Base Salary, less normal deductions, shall be paid to Employee in accordance with the Company’s payroll practices in effect from time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to time.</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54" w:name="page55"/>
    <w:bookmarkEnd w:id="54"/>
    <w:p>
      <w:pPr>
        <w:ind w:right="140" w:firstLine="1305"/>
        <w:spacing w:after="0" w:line="279" w:lineRule="auto"/>
        <w:tabs>
          <w:tab w:leader="none" w:pos="1676" w:val="left"/>
        </w:tabs>
        <w:numPr>
          <w:ilvl w:val="4"/>
          <w:numId w:val="20"/>
        </w:numPr>
        <w:rPr>
          <w:rFonts w:ascii="Arial" w:cs="Arial" w:eastAsia="Arial" w:hAnsi="Arial"/>
          <w:sz w:val="17"/>
          <w:szCs w:val="17"/>
          <w:color w:val="auto"/>
        </w:rPr>
      </w:pPr>
      <w:r>
        <w:rPr>
          <w:rFonts w:ascii="Arial" w:cs="Arial" w:eastAsia="Arial" w:hAnsi="Arial"/>
          <w:sz w:val="17"/>
          <w:szCs w:val="17"/>
          <w:u w:val="single" w:color="auto"/>
          <w:color w:val="auto"/>
        </w:rPr>
        <w:t>Restricted Stock and Stock Option Grants</w:t>
      </w:r>
      <w:r>
        <w:rPr>
          <w:rFonts w:ascii="Arial" w:cs="Arial" w:eastAsia="Arial" w:hAnsi="Arial"/>
          <w:sz w:val="17"/>
          <w:szCs w:val="17"/>
          <w:color w:val="auto"/>
        </w:rPr>
        <w:t>. Employee will not be entitled to participate in any annual (or other) broad-based grant programs under the Company’s Restricted Stock Plan and/or Stock Option Plan (or any successor equity-based compensation plan or plans) following 2017. All of Employee’s then outstanding and unvested RSUs and NQSOs under such Plans shall accelerate and vest in full on December 31, 2017. All of Employee’s then outstanding stock option grants under such Plans shall remain exercisable for their then remaining terms.</w:t>
      </w:r>
    </w:p>
    <w:p>
      <w:pPr>
        <w:spacing w:after="0" w:line="171" w:lineRule="exact"/>
        <w:rPr>
          <w:rFonts w:ascii="Arial" w:cs="Arial" w:eastAsia="Arial" w:hAnsi="Arial"/>
          <w:sz w:val="17"/>
          <w:szCs w:val="17"/>
          <w:color w:val="auto"/>
        </w:rPr>
      </w:pPr>
    </w:p>
    <w:p>
      <w:pPr>
        <w:ind w:firstLine="1305"/>
        <w:spacing w:after="0" w:line="288" w:lineRule="auto"/>
        <w:tabs>
          <w:tab w:leader="none" w:pos="1656" w:val="left"/>
        </w:tabs>
        <w:numPr>
          <w:ilvl w:val="4"/>
          <w:numId w:val="20"/>
        </w:numPr>
        <w:rPr>
          <w:rFonts w:ascii="Arial" w:cs="Arial" w:eastAsia="Arial" w:hAnsi="Arial"/>
          <w:sz w:val="16"/>
          <w:szCs w:val="16"/>
          <w:color w:val="auto"/>
        </w:rPr>
      </w:pPr>
      <w:r>
        <w:rPr>
          <w:rFonts w:ascii="Arial" w:cs="Arial" w:eastAsia="Arial" w:hAnsi="Arial"/>
          <w:sz w:val="16"/>
          <w:szCs w:val="16"/>
          <w:u w:val="single" w:color="auto"/>
          <w:color w:val="auto"/>
        </w:rPr>
        <w:t>Deferred Compensation</w:t>
      </w:r>
      <w:r>
        <w:rPr>
          <w:rFonts w:ascii="Arial" w:cs="Arial" w:eastAsia="Arial" w:hAnsi="Arial"/>
          <w:sz w:val="16"/>
          <w:szCs w:val="16"/>
          <w:color w:val="auto"/>
        </w:rPr>
        <w:t>. Employee shall be entitled to participate in the Company’s deferred compensation plans and programs on the same terms as other employees, provided that: (i) Employee shall have the right to make re-deferral elections through December 31, 2026; (ii) Employee shall not receive the remaining uncredited credits for 2018 and 2019 provided for under the Company’s 2005 Deferred Compensation Plan under subparagraph 3(d)</w:t>
      </w:r>
    </w:p>
    <w:p>
      <w:pPr>
        <w:ind w:firstLine="8"/>
        <w:spacing w:after="0" w:line="261" w:lineRule="auto"/>
        <w:tabs>
          <w:tab w:leader="none" w:pos="26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of the Prior Agreement (as such term is defined in Paragraph 20); and (iii) Employee shall be entitled to the employee crediting rate through December 31, 2021 (and the non-employee crediting rate thereafter).</w:t>
      </w:r>
    </w:p>
    <w:p>
      <w:pPr>
        <w:spacing w:after="0" w:line="183" w:lineRule="exact"/>
        <w:rPr>
          <w:rFonts w:ascii="Arial" w:cs="Arial" w:eastAsia="Arial" w:hAnsi="Arial"/>
          <w:sz w:val="18"/>
          <w:szCs w:val="18"/>
          <w:color w:val="auto"/>
        </w:rPr>
      </w:pPr>
    </w:p>
    <w:p>
      <w:pPr>
        <w:ind w:right="40" w:firstLine="656"/>
        <w:spacing w:after="0" w:line="271" w:lineRule="auto"/>
        <w:tabs>
          <w:tab w:leader="none" w:pos="963" w:val="left"/>
        </w:tabs>
        <w:numPr>
          <w:ilvl w:val="3"/>
          <w:numId w:val="21"/>
        </w:numPr>
        <w:rPr>
          <w:rFonts w:ascii="Arial" w:cs="Arial" w:eastAsia="Arial" w:hAnsi="Arial"/>
          <w:sz w:val="17"/>
          <w:szCs w:val="17"/>
          <w:color w:val="auto"/>
        </w:rPr>
      </w:pPr>
      <w:r>
        <w:rPr>
          <w:rFonts w:ascii="Arial" w:cs="Arial" w:eastAsia="Arial" w:hAnsi="Arial"/>
          <w:sz w:val="17"/>
          <w:szCs w:val="17"/>
          <w:u w:val="single" w:color="auto"/>
          <w:color w:val="auto"/>
        </w:rPr>
        <w:t>Benefit Plans and Programs</w:t>
      </w:r>
      <w:r>
        <w:rPr>
          <w:rFonts w:ascii="Arial" w:cs="Arial" w:eastAsia="Arial" w:hAnsi="Arial"/>
          <w:sz w:val="17"/>
          <w:szCs w:val="17"/>
          <w:color w:val="auto"/>
        </w:rPr>
        <w:t>. Employee shall be entitled to: (a) participate in the Company’s health and welfare and other employee benefit plans and programs (including group insurance programs and vacation benefits) on terms (including cost) as are consistent with those made available to other employees, taking into account Employee’s position and duties, in accordance with the terms of such plans and programs; and (b) applicable directors and officers liability insurance and indemnification and advancement of expenses provisions relating to claims made by third parties against Employee in Employee’s role (or former role) as a director, officer or employee) (collectively, “Benefit Plans”). Nothing in this Agreement shall limit the Company’s right to modify or discontinue any Benefit Plans at any time, provided no such action may adversely affect any vested rights of Employee thereunder. The provisions of this Paragraph 4 shall not apply to compensation and benefit plans and programs specifically addressed in this Agreement, in which case the applicable terms of this Agreement shall control.</w:t>
      </w:r>
    </w:p>
    <w:p>
      <w:pPr>
        <w:spacing w:after="0" w:line="178" w:lineRule="exact"/>
        <w:rPr>
          <w:rFonts w:ascii="Arial" w:cs="Arial" w:eastAsia="Arial" w:hAnsi="Arial"/>
          <w:sz w:val="17"/>
          <w:szCs w:val="17"/>
          <w:color w:val="auto"/>
        </w:rPr>
      </w:pPr>
    </w:p>
    <w:p>
      <w:pPr>
        <w:ind w:right="140" w:firstLine="656"/>
        <w:spacing w:after="0" w:line="264" w:lineRule="auto"/>
        <w:tabs>
          <w:tab w:leader="none" w:pos="963" w:val="left"/>
        </w:tabs>
        <w:numPr>
          <w:ilvl w:val="3"/>
          <w:numId w:val="21"/>
        </w:numPr>
        <w:rPr>
          <w:rFonts w:ascii="Arial" w:cs="Arial" w:eastAsia="Arial" w:hAnsi="Arial"/>
          <w:sz w:val="18"/>
          <w:szCs w:val="18"/>
          <w:color w:val="auto"/>
        </w:rPr>
      </w:pPr>
      <w:r>
        <w:rPr>
          <w:rFonts w:ascii="Arial" w:cs="Arial" w:eastAsia="Arial" w:hAnsi="Arial"/>
          <w:sz w:val="18"/>
          <w:szCs w:val="18"/>
          <w:u w:val="single" w:color="auto"/>
          <w:color w:val="auto"/>
        </w:rPr>
        <w:t>Business Expenses</w:t>
      </w:r>
      <w:r>
        <w:rPr>
          <w:rFonts w:ascii="Arial" w:cs="Arial" w:eastAsia="Arial" w:hAnsi="Arial"/>
          <w:sz w:val="18"/>
          <w:szCs w:val="18"/>
          <w:color w:val="auto"/>
        </w:rPr>
        <w:t>. The Company shall pay or reimburse Employee for reasonable travel, lodging, meals, entertainment and other expenses incurred by Employee in connection with the performance of Employee’s duties hereunder, upon presentation of receipts therefor submitted to the Company on a timely basis and in accordance with the Company’s policies and practices in effect from time to time.</w:t>
      </w:r>
    </w:p>
    <w:p>
      <w:pPr>
        <w:spacing w:after="0" w:line="181" w:lineRule="exact"/>
        <w:rPr>
          <w:rFonts w:ascii="Arial" w:cs="Arial" w:eastAsia="Arial" w:hAnsi="Arial"/>
          <w:sz w:val="18"/>
          <w:szCs w:val="18"/>
          <w:color w:val="auto"/>
        </w:rPr>
      </w:pPr>
    </w:p>
    <w:p>
      <w:pPr>
        <w:ind w:right="60" w:firstLine="656"/>
        <w:spacing w:after="0" w:line="312" w:lineRule="auto"/>
        <w:tabs>
          <w:tab w:leader="none" w:pos="963" w:val="left"/>
        </w:tabs>
        <w:numPr>
          <w:ilvl w:val="3"/>
          <w:numId w:val="21"/>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Employee’s employment, and the Company's obligations under this Agreement (excluding any obligations the Company may have under Paragraph 7, any other obligations expressly set forth herein as surviving termination of employment, and any obligations with respect to any vested rights of Employee under any compensation or benefit plans or programs), shall or may be terminated, only in the circumstances set forth below.</w:t>
      </w:r>
    </w:p>
    <w:p>
      <w:pPr>
        <w:spacing w:after="0" w:line="146" w:lineRule="exact"/>
        <w:rPr>
          <w:rFonts w:ascii="Arial" w:cs="Arial" w:eastAsia="Arial" w:hAnsi="Arial"/>
          <w:sz w:val="16"/>
          <w:szCs w:val="16"/>
          <w:color w:val="auto"/>
        </w:rPr>
      </w:pPr>
    </w:p>
    <w:p>
      <w:pPr>
        <w:ind w:left="1680" w:hanging="375"/>
        <w:spacing w:after="0"/>
        <w:tabs>
          <w:tab w:leader="none" w:pos="1680" w:val="left"/>
        </w:tabs>
        <w:numPr>
          <w:ilvl w:val="4"/>
          <w:numId w:val="21"/>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Employee's employment shall terminate automatically in the event of Employee’s death.</w:t>
      </w:r>
    </w:p>
    <w:p>
      <w:pPr>
        <w:spacing w:after="0" w:line="225" w:lineRule="exact"/>
        <w:rPr>
          <w:rFonts w:ascii="Arial" w:cs="Arial" w:eastAsia="Arial" w:hAnsi="Arial"/>
          <w:sz w:val="18"/>
          <w:szCs w:val="18"/>
          <w:color w:val="auto"/>
        </w:rPr>
      </w:pPr>
    </w:p>
    <w:p>
      <w:pPr>
        <w:ind w:left="760" w:hanging="392"/>
        <w:spacing w:after="0"/>
        <w:tabs>
          <w:tab w:leader="none" w:pos="760" w:val="left"/>
        </w:tabs>
        <w:numPr>
          <w:ilvl w:val="2"/>
          <w:numId w:val="21"/>
        </w:numPr>
        <w:rPr>
          <w:rFonts w:ascii="Arial" w:cs="Arial" w:eastAsia="Arial" w:hAnsi="Arial"/>
          <w:sz w:val="18"/>
          <w:szCs w:val="18"/>
          <w:color w:val="auto"/>
        </w:rPr>
      </w:pPr>
      <w:r>
        <w:rPr>
          <w:rFonts w:ascii="Arial" w:cs="Arial" w:eastAsia="Arial" w:hAnsi="Arial"/>
          <w:sz w:val="18"/>
          <w:szCs w:val="18"/>
          <w:u w:val="single" w:color="auto"/>
          <w:color w:val="auto"/>
        </w:rPr>
        <w:t>Termination With Cause by the Company or Resignation Without Good Reason by Employee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00" w:firstLine="188"/>
        <w:spacing w:after="0" w:line="255" w:lineRule="auto"/>
        <w:tabs>
          <w:tab w:leader="none" w:pos="527"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Company may terminate Employee’s employment (a “Termination With Cause”) upon written notice following its determination that Employee has committed any of the following acts: conviction of a felony or a crime involving moral turpitude; fraud; embezzlement or other misappropriation of funds; material misrepresentation with respect to the Company; substantial and/or repeated failure to perform duties; gross negligence or willful misconduct in the performance of duties; material violation of the Employee Handbook, the Code of Conduct or any other written Company policy; or material breach of this Agreement (which, as to the last two items, if capable of being cured (as reasonably determined by the Company), shall remain uncured following ten (10) business days after written notice thereof).</w:t>
      </w:r>
    </w:p>
    <w:p>
      <w:pPr>
        <w:spacing w:after="0" w:line="193" w:lineRule="exact"/>
        <w:rPr>
          <w:rFonts w:ascii="Arial" w:cs="Arial" w:eastAsia="Arial" w:hAnsi="Arial"/>
          <w:sz w:val="18"/>
          <w:szCs w:val="18"/>
          <w:color w:val="auto"/>
        </w:rPr>
      </w:pPr>
    </w:p>
    <w:p>
      <w:pPr>
        <w:ind w:right="280" w:firstLine="1485"/>
        <w:spacing w:after="0" w:line="308" w:lineRule="auto"/>
        <w:tabs>
          <w:tab w:leader="none" w:pos="1876" w:val="left"/>
        </w:tabs>
        <w:numPr>
          <w:ilvl w:val="5"/>
          <w:numId w:val="21"/>
        </w:numPr>
        <w:rPr>
          <w:rFonts w:ascii="Arial" w:cs="Arial" w:eastAsia="Arial" w:hAnsi="Arial"/>
          <w:sz w:val="17"/>
          <w:szCs w:val="17"/>
          <w:color w:val="auto"/>
        </w:rPr>
      </w:pPr>
      <w:r>
        <w:rPr>
          <w:rFonts w:ascii="Arial" w:cs="Arial" w:eastAsia="Arial" w:hAnsi="Arial"/>
          <w:sz w:val="17"/>
          <w:szCs w:val="17"/>
          <w:color w:val="auto"/>
        </w:rPr>
        <w:t>Employee may terminate Employee’s employment (a “Resignation Without Good Reason”) at any time for any reason (or for no reason) upon twenty (20) business days prior written notice without Good Reason (as such term is defined in subparagraph (d)(ii) below).</w:t>
      </w:r>
    </w:p>
    <w:p>
      <w:pPr>
        <w:spacing w:after="0" w:line="146" w:lineRule="exact"/>
        <w:rPr>
          <w:rFonts w:ascii="Arial" w:cs="Arial" w:eastAsia="Arial" w:hAnsi="Arial"/>
          <w:sz w:val="17"/>
          <w:szCs w:val="17"/>
          <w:color w:val="auto"/>
        </w:rPr>
      </w:pPr>
    </w:p>
    <w:p>
      <w:pPr>
        <w:ind w:right="40" w:firstLine="1305"/>
        <w:spacing w:after="0" w:line="257" w:lineRule="auto"/>
        <w:tabs>
          <w:tab w:leader="none" w:pos="1676" w:val="left"/>
        </w:tabs>
        <w:numPr>
          <w:ilvl w:val="4"/>
          <w:numId w:val="22"/>
        </w:numPr>
        <w:rPr>
          <w:rFonts w:ascii="Arial" w:cs="Arial" w:eastAsia="Arial" w:hAnsi="Arial"/>
          <w:sz w:val="18"/>
          <w:szCs w:val="18"/>
          <w:color w:val="auto"/>
        </w:rPr>
      </w:pPr>
      <w:r>
        <w:rPr>
          <w:rFonts w:ascii="Arial" w:cs="Arial" w:eastAsia="Arial" w:hAnsi="Arial"/>
          <w:sz w:val="18"/>
          <w:szCs w:val="18"/>
          <w:u w:val="single" w:color="auto"/>
          <w:color w:val="auto"/>
        </w:rPr>
        <w:t>Resignation With Good Reason by Employee</w:t>
      </w:r>
      <w:r>
        <w:rPr>
          <w:rFonts w:ascii="Arial" w:cs="Arial" w:eastAsia="Arial" w:hAnsi="Arial"/>
          <w:sz w:val="18"/>
          <w:szCs w:val="18"/>
          <w:color w:val="auto"/>
        </w:rPr>
        <w:t>. Employee may terminate Employee’s employment (a “Resignation With Good Reason”) as a result of any of the following acts of the Company upon ten (10) business days prior written notice, provided Employee has provided Company such written notice within sixty (60) days of the occurrence thereof: a substantial demotion in Employee’s position; or material breach of this Agreement (which, as to either such item, if capable of being cured (as reasonably determined by the Company), shall remain uncured following ten (10) business days after written notice thereof) (“Good Reason”).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800" w:right="239" w:bottom="1440" w:gutter="0" w:footer="0" w:header="0"/>
        </w:sectPr>
      </w:pPr>
    </w:p>
    <w:bookmarkStart w:id="55" w:name="page56"/>
    <w:bookmarkEnd w:id="55"/>
    <w:p>
      <w:pPr>
        <w:ind w:left="-20" w:right="140" w:firstLine="656"/>
        <w:spacing w:after="0" w:line="277" w:lineRule="auto"/>
        <w:tabs>
          <w:tab w:leader="none" w:pos="943" w:val="left"/>
        </w:tabs>
        <w:numPr>
          <w:ilvl w:val="2"/>
          <w:numId w:val="23"/>
        </w:numPr>
        <w:rPr>
          <w:rFonts w:ascii="Arial" w:cs="Arial" w:eastAsia="Arial" w:hAnsi="Arial"/>
          <w:sz w:val="18"/>
          <w:szCs w:val="18"/>
          <w:color w:val="auto"/>
        </w:rPr>
      </w:pPr>
      <w:r>
        <w:rPr>
          <w:rFonts w:ascii="Arial" w:cs="Arial" w:eastAsia="Arial" w:hAnsi="Arial"/>
          <w:sz w:val="18"/>
          <w:szCs w:val="18"/>
          <w:u w:val="single" w:color="auto"/>
          <w:color w:val="auto"/>
        </w:rPr>
        <w:t>Payments and Other Entitlements As a Result of Termination</w:t>
      </w:r>
      <w:r>
        <w:rPr>
          <w:rFonts w:ascii="Arial" w:cs="Arial" w:eastAsia="Arial" w:hAnsi="Arial"/>
          <w:sz w:val="18"/>
          <w:szCs w:val="18"/>
          <w:color w:val="auto"/>
        </w:rPr>
        <w:t>. Employee’s sole entitlements as a result of a termination under Paragraph 6 shall be as set forth below.</w:t>
      </w:r>
    </w:p>
    <w:p>
      <w:pPr>
        <w:spacing w:after="0" w:line="170" w:lineRule="exact"/>
        <w:rPr>
          <w:rFonts w:ascii="Arial" w:cs="Arial" w:eastAsia="Arial" w:hAnsi="Arial"/>
          <w:sz w:val="18"/>
          <w:szCs w:val="18"/>
          <w:color w:val="auto"/>
        </w:rPr>
      </w:pPr>
    </w:p>
    <w:p>
      <w:pPr>
        <w:ind w:left="-20" w:right="40" w:firstLine="188"/>
        <w:spacing w:after="0" w:line="290" w:lineRule="auto"/>
        <w:tabs>
          <w:tab w:leader="none" w:pos="540"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Death</w:t>
      </w:r>
      <w:r>
        <w:rPr>
          <w:rFonts w:ascii="Arial" w:cs="Arial" w:eastAsia="Arial" w:hAnsi="Arial"/>
          <w:sz w:val="16"/>
          <w:szCs w:val="16"/>
          <w:color w:val="auto"/>
        </w:rPr>
        <w:t>. Following termination due to death, Employee’s estate shall be entitled to payment of Employee’s then-current Base Salary through the date of termination and for a period of three (3) months thereafter (payable in accordance with the Company’s regular payroll practices), amounts accrued or payable under any Benefit Plans (payable at such times as provided therein), any accrued but unused vacation time, any amounts payable for any unreimbursed business expenses, any amount that otherwise would have been payable in the current year on account of a prior year’s Cash Bonus Plan grant, an amount on account of any current year Cash Bonus Plan grant (pro-rated through the date of termination, and assuming achievement of performance goals at 100%) (in the case of each of the last two amounts, payable at such time as otherwise applicable absent such death), and any vested rights or benefits under any applicable provisions of any other compensation or benefit program or plan or grants thereunder. Except as otherwise provided herein, any amounts payable to Employee’s estate pursuant to this subparagraph (a) shall be paid no later than the 45th day following the date of termination.</w:t>
      </w:r>
    </w:p>
    <w:p>
      <w:pPr>
        <w:spacing w:after="0" w:line="166" w:lineRule="exact"/>
        <w:rPr>
          <w:rFonts w:ascii="Arial" w:cs="Arial" w:eastAsia="Arial" w:hAnsi="Arial"/>
          <w:sz w:val="16"/>
          <w:szCs w:val="16"/>
          <w:color w:val="auto"/>
        </w:rPr>
      </w:pPr>
    </w:p>
    <w:p>
      <w:pPr>
        <w:ind w:left="-20" w:right="40" w:firstLine="233"/>
        <w:spacing w:after="0" w:line="257" w:lineRule="auto"/>
        <w:tabs>
          <w:tab w:leader="none" w:pos="595"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Termination With Cause by the Company or Resignation Without Good Reason by Employee</w:t>
      </w:r>
      <w:r>
        <w:rPr>
          <w:rFonts w:ascii="Arial" w:cs="Arial" w:eastAsia="Arial" w:hAnsi="Arial"/>
          <w:sz w:val="18"/>
          <w:szCs w:val="18"/>
          <w:color w:val="auto"/>
        </w:rPr>
        <w:t>. If Employee’s employment terminates as a result of a Termination With Cause or Resignation Without Good Reason, Employee shall be entitled to payment of Employee’s then-current Base Salary through the date of termination (payable in accordance with the Company’s regular payroll practices), amounts accrued or payable under any Benefit Plans (payable at such times as provided therein), any accrued but unused vacation time, any amounts payable for any unreimbursed business expenses, and any amount that otherwise would have been payable in the current year on account of a prior year’s Cash Bonus Plan grant (payable at such time as otherwise applicable absent such termination). Except as otherwise provided herein, any amounts payable to Employee pursuant to this subparagraph (b) shall be paid no later than the 45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following the date of termination.</w:t>
      </w:r>
    </w:p>
    <w:p>
      <w:pPr>
        <w:spacing w:after="0" w:line="90" w:lineRule="exact"/>
        <w:rPr>
          <w:rFonts w:ascii="Arial" w:cs="Arial" w:eastAsia="Arial" w:hAnsi="Arial"/>
          <w:sz w:val="18"/>
          <w:szCs w:val="18"/>
          <w:color w:val="auto"/>
        </w:rPr>
      </w:pPr>
    </w:p>
    <w:p>
      <w:pPr>
        <w:ind w:left="-20" w:right="40" w:firstLine="1305"/>
        <w:spacing w:after="0" w:line="269" w:lineRule="auto"/>
        <w:tabs>
          <w:tab w:leader="none" w:pos="1656" w:val="left"/>
        </w:tabs>
        <w:numPr>
          <w:ilvl w:val="3"/>
          <w:numId w:val="24"/>
        </w:numPr>
        <w:rPr>
          <w:rFonts w:ascii="Arial" w:cs="Arial" w:eastAsia="Arial" w:hAnsi="Arial"/>
          <w:sz w:val="17"/>
          <w:szCs w:val="17"/>
          <w:color w:val="auto"/>
        </w:rPr>
      </w:pPr>
      <w:r>
        <w:rPr>
          <w:rFonts w:ascii="Arial" w:cs="Arial" w:eastAsia="Arial" w:hAnsi="Arial"/>
          <w:sz w:val="17"/>
          <w:szCs w:val="17"/>
          <w:u w:val="single" w:color="auto"/>
          <w:color w:val="auto"/>
        </w:rPr>
        <w:t>Resignation With Good Reason by Employee</w:t>
      </w:r>
      <w:r>
        <w:rPr>
          <w:rFonts w:ascii="Arial" w:cs="Arial" w:eastAsia="Arial" w:hAnsi="Arial"/>
          <w:sz w:val="17"/>
          <w:szCs w:val="17"/>
          <w:color w:val="auto"/>
        </w:rPr>
        <w:t>. If Employee’s employment is terminated as a result of a Resignation With Good Reason, and subject to Paragraph 13 and to Employee’s entering into an agreement containing a release by Employee of the Company with respect to all matters relating to Employee’s employment and the termination thereof (other than rights under this Agreement which by their express terms continue following termination of employment and any vested rights under any compensation or benefit plan or program or grants thereunder) within thirty (30) days following the date of termination, in a form and containing terms as the Company customarily requires of terminated employees receiving salary continuation payments: (i) Employee shall continue to be entitled to the same Base Salary, Cash Bonus Plan, Benefit Plans, Restricted Stock Plan, Stock Option Plan and Deferred Compensation Plan rights and participations as are set forth herein as if Employee’s employment had continued through the Regular End Date (but no greater such rights and participations), until such time (if any) as such deemed continued employment would have terminated because of Death (in which event Employee’s estate shall then have the rights and participations set forth herein in subparagraph 7(a)) (the “Deemed Employee Period”); and (ii) during the Deemed Employee Period (and the time period subsequent thereto set forth in subparagraph 8(a)), Employee shall continue to be subject to the provisions of subparagraph 8(a).</w:t>
      </w:r>
    </w:p>
    <w:p>
      <w:pPr>
        <w:spacing w:after="0" w:line="183" w:lineRule="exact"/>
        <w:rPr>
          <w:sz w:val="20"/>
          <w:szCs w:val="20"/>
          <w:color w:val="auto"/>
        </w:rPr>
      </w:pPr>
    </w:p>
    <w:p>
      <w:pPr>
        <w:ind w:left="-20" w:right="100" w:firstLine="188"/>
        <w:spacing w:after="0" w:line="257"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Non-Solicitation; Non-Competition; Confidentiality</w:t>
      </w:r>
      <w:r>
        <w:rPr>
          <w:rFonts w:ascii="Arial" w:cs="Arial" w:eastAsia="Arial" w:hAnsi="Arial"/>
          <w:sz w:val="18"/>
          <w:szCs w:val="18"/>
          <w:color w:val="auto"/>
        </w:rPr>
        <w:t>. Employee acknowledges and agrees that: Employee’s skills, experience, knowledge and reputation are of special, unique and extraordinary value to the Company; Employee is and will continue to be privy to confidential and proprietary information, processes and know-how of the Company, the confidentiality of which has significant value to the Company and its future success; and the restrictions on Employee’s activities as set forth below are necessary to protect the value of the goodwill and other tangible and intangible assets of the Company. Based upon the foregoing, Employee agrees as follows:</w:t>
      </w:r>
    </w:p>
    <w:p>
      <w:pPr>
        <w:spacing w:after="0" w:line="188" w:lineRule="exact"/>
        <w:rPr>
          <w:rFonts w:ascii="Arial" w:cs="Arial" w:eastAsia="Arial" w:hAnsi="Arial"/>
          <w:sz w:val="18"/>
          <w:szCs w:val="18"/>
          <w:color w:val="auto"/>
        </w:rPr>
      </w:pPr>
    </w:p>
    <w:p>
      <w:pPr>
        <w:ind w:left="-20" w:firstLine="1305"/>
        <w:spacing w:after="0" w:line="297" w:lineRule="auto"/>
        <w:tabs>
          <w:tab w:leader="none" w:pos="1653" w:val="left"/>
        </w:tabs>
        <w:numPr>
          <w:ilvl w:val="1"/>
          <w:numId w:val="25"/>
        </w:numPr>
        <w:rPr>
          <w:rFonts w:ascii="Arial" w:cs="Arial" w:eastAsia="Arial" w:hAnsi="Arial"/>
          <w:sz w:val="16"/>
          <w:szCs w:val="16"/>
          <w:color w:val="auto"/>
        </w:rPr>
      </w:pPr>
      <w:r>
        <w:rPr>
          <w:rFonts w:ascii="Arial" w:cs="Arial" w:eastAsia="Arial" w:hAnsi="Arial"/>
          <w:sz w:val="16"/>
          <w:szCs w:val="16"/>
          <w:color w:val="auto"/>
        </w:rPr>
        <w:t>While employed by the Company (whether during the Term or thereafter), and for a period of one year after termination of Employee’s employment for any reason (whether during the Term or thereafter), Employee shall not, directly or indirectly: (i) hire any employee of the Company (other than as a result of a general solicitation); (ii) solicit, induce, encourage or attempt to influence any employee, customer, consultant, independent contractor, service provider or supplier of the Company to cease to do business or terminate the employment or other relationship with the Company; or (iii) assist any other person or entity in doing or performing any of the acts that Employee is prohibited from doing under subparagraphs (i) or (ii) above.</w:t>
      </w:r>
    </w:p>
    <w:p>
      <w:pPr>
        <w:spacing w:after="0" w:line="158" w:lineRule="exact"/>
        <w:rPr>
          <w:rFonts w:ascii="Arial" w:cs="Arial" w:eastAsia="Arial" w:hAnsi="Arial"/>
          <w:sz w:val="16"/>
          <w:szCs w:val="16"/>
          <w:color w:val="auto"/>
        </w:rPr>
      </w:pPr>
    </w:p>
    <w:p>
      <w:pPr>
        <w:ind w:left="-20" w:right="40" w:firstLine="1305"/>
        <w:spacing w:after="0" w:line="255" w:lineRule="auto"/>
        <w:tabs>
          <w:tab w:leader="none" w:pos="1666" w:val="left"/>
        </w:tabs>
        <w:numPr>
          <w:ilvl w:val="1"/>
          <w:numId w:val="25"/>
        </w:numPr>
        <w:rPr>
          <w:rFonts w:ascii="Arial" w:cs="Arial" w:eastAsia="Arial" w:hAnsi="Arial"/>
          <w:sz w:val="18"/>
          <w:szCs w:val="18"/>
          <w:color w:val="auto"/>
        </w:rPr>
      </w:pPr>
      <w:r>
        <w:rPr>
          <w:rFonts w:ascii="Arial" w:cs="Arial" w:eastAsia="Arial" w:hAnsi="Arial"/>
          <w:sz w:val="18"/>
          <w:szCs w:val="18"/>
          <w:color w:val="auto"/>
        </w:rPr>
        <w:t>(i) WHILE EMPLOYED BY THE COMPANY (WHETHER DURING THE TERM OR THEREAFTER); AND FOR A PERIOD OF ONE YEAR AFTER A RESIGNATION WITHOUT GOOD REASON OR A TERMINATION WITH CAUSE, IN EITHER CASE OCCURRING PRIOR TO THE REGULAR END DATE, EMPLOYEE SHALL NOT, DIRECTLY OR INDIRECTLY, ENGAGE IN ANY ACTIVITIES ON BEHALF OF, OR BE FINANCIALLY INTERESTED IN (AS AN AGENT, CONSULTANT, DIRECTOR, EMPLOYEE, INDEPENDENT CONTRACTOR, OFFICER, OWNER, PARTNER, MEMBER, PRINCIPAL, SERVICE PROVIDER OR OTHERWISE), A COMPETITIVE BUSINESS. A COMPETITIVE BUSINESS MEANS A BUSINESS (WHETHER CONDUCTED BY AN INDIVIDUAL OR</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60" w:top="584" w:right="239" w:bottom="1440" w:gutter="0" w:footer="0" w:header="0"/>
        </w:sectPr>
      </w:pPr>
    </w:p>
    <w:bookmarkStart w:id="56" w:name="page57"/>
    <w:bookmarkEnd w:id="56"/>
    <w:p>
      <w:pPr>
        <w:jc w:val="both"/>
        <w:ind w:right="200"/>
        <w:spacing w:after="0" w:line="286" w:lineRule="auto"/>
        <w:rPr>
          <w:sz w:val="20"/>
          <w:szCs w:val="20"/>
          <w:color w:val="auto"/>
        </w:rPr>
      </w:pPr>
      <w:r>
        <w:rPr>
          <w:rFonts w:ascii="Arial" w:cs="Arial" w:eastAsia="Arial" w:hAnsi="Arial"/>
          <w:sz w:val="17"/>
          <w:szCs w:val="17"/>
          <w:color w:val="auto"/>
        </w:rPr>
        <w:t>ENTITY, INCLUDING EMPLOYEE IN SELF-EMPLOYMENT) THAT IS ENGAGED IN COMPETITION, DIRECTLY OR INDIRECTLY THROUGH ANY ENTITY CONTROLLING, CONTROLLED BY OR UNDER COMMON CONTROL WITH SUCH BUSINESS, WITH ANY OF THE BUSINESS ACTIVITIES (A) CARRIED ON BY THE COMPANY, OR (B) BEING PLANNED BY THE COMPANY WITH EMPLOYEE’S PARTICIPATION.</w:t>
      </w:r>
    </w:p>
    <w:p>
      <w:pPr>
        <w:spacing w:after="0" w:line="166" w:lineRule="exact"/>
        <w:rPr>
          <w:sz w:val="20"/>
          <w:szCs w:val="20"/>
          <w:color w:val="auto"/>
        </w:rPr>
      </w:pPr>
    </w:p>
    <w:p>
      <w:pPr>
        <w:ind w:right="200" w:firstLine="593"/>
        <w:spacing w:after="0" w:line="264" w:lineRule="auto"/>
        <w:tabs>
          <w:tab w:leader="none" w:pos="982"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THIS RESTRICTION SHALL APPLY IN ANY GEOGRAPHIC AREA IN THE WORLD IN WHICH THE COMPANY CARRIES OUT BUSINESS ACTIVITIES. EMPLOYEE AGREES THAT NOT SPECIFYING A MORE LIMITED GEOGRAPHIC AREA IS REASONABLE IN LIGHT OF THE BROAD GEOGRAPHIC SCOPE OF THE ACTIVITIES CARRIED OUT BY THE COMPANY IN THE WORLD.</w:t>
      </w:r>
    </w:p>
    <w:p>
      <w:pPr>
        <w:spacing w:after="0" w:line="181" w:lineRule="exact"/>
        <w:rPr>
          <w:rFonts w:ascii="Arial" w:cs="Arial" w:eastAsia="Arial" w:hAnsi="Arial"/>
          <w:sz w:val="18"/>
          <w:szCs w:val="18"/>
          <w:color w:val="auto"/>
        </w:rPr>
      </w:pPr>
    </w:p>
    <w:p>
      <w:pPr>
        <w:jc w:val="both"/>
        <w:ind w:firstLine="1016"/>
        <w:spacing w:after="0" w:line="264" w:lineRule="auto"/>
        <w:tabs>
          <w:tab w:leader="none" w:pos="1458" w:val="left"/>
        </w:tabs>
        <w:numPr>
          <w:ilvl w:val="2"/>
          <w:numId w:val="26"/>
        </w:numPr>
        <w:rPr>
          <w:rFonts w:ascii="Arial" w:cs="Arial" w:eastAsia="Arial" w:hAnsi="Arial"/>
          <w:sz w:val="18"/>
          <w:szCs w:val="18"/>
          <w:color w:val="auto"/>
        </w:rPr>
      </w:pPr>
      <w:r>
        <w:rPr>
          <w:rFonts w:ascii="Arial" w:cs="Arial" w:eastAsia="Arial" w:hAnsi="Arial"/>
          <w:sz w:val="18"/>
          <w:szCs w:val="18"/>
          <w:color w:val="auto"/>
        </w:rPr>
        <w:t>For purposes of clarification of their intent, the parties agree that subparagraph (i) above restricts Employee from working on the account, or otherwise for the benefit, of a Competitive Business as a result of Employee’s working as an employee, consultant or in any other capacity for an entity that provides consulting, advisory, lobbying or similar services to other businesses.</w:t>
      </w:r>
    </w:p>
    <w:p>
      <w:pPr>
        <w:spacing w:after="0" w:line="181" w:lineRule="exact"/>
        <w:rPr>
          <w:rFonts w:ascii="Arial" w:cs="Arial" w:eastAsia="Arial" w:hAnsi="Arial"/>
          <w:sz w:val="18"/>
          <w:szCs w:val="18"/>
          <w:color w:val="auto"/>
        </w:rPr>
      </w:pPr>
    </w:p>
    <w:p>
      <w:pPr>
        <w:ind w:right="200" w:firstLine="1485"/>
        <w:spacing w:after="0" w:line="264" w:lineRule="auto"/>
        <w:tabs>
          <w:tab w:leader="none" w:pos="1916" w:val="left"/>
        </w:tabs>
        <w:numPr>
          <w:ilvl w:val="4"/>
          <w:numId w:val="26"/>
        </w:numPr>
        <w:rPr>
          <w:rFonts w:ascii="Arial" w:cs="Arial" w:eastAsia="Arial" w:hAnsi="Arial"/>
          <w:sz w:val="18"/>
          <w:szCs w:val="18"/>
          <w:color w:val="auto"/>
        </w:rPr>
      </w:pPr>
      <w:r>
        <w:rPr>
          <w:rFonts w:ascii="Arial" w:cs="Arial" w:eastAsia="Arial" w:hAnsi="Arial"/>
          <w:sz w:val="18"/>
          <w:szCs w:val="18"/>
          <w:color w:val="auto"/>
        </w:rPr>
        <w:t>Nothing herein shall prevent Employee from owning for investment up to one percent (1%) of any class of equity security of an entity whose securities are traded on a national securities exchange or market. Further, nothing herein shall prevent Employee from engaging in the practice of law.</w:t>
      </w:r>
    </w:p>
    <w:p>
      <w:pPr>
        <w:spacing w:after="0" w:line="181" w:lineRule="exact"/>
        <w:rPr>
          <w:rFonts w:ascii="Arial" w:cs="Arial" w:eastAsia="Arial" w:hAnsi="Arial"/>
          <w:sz w:val="18"/>
          <w:szCs w:val="18"/>
          <w:color w:val="auto"/>
        </w:rPr>
      </w:pPr>
    </w:p>
    <w:p>
      <w:pPr>
        <w:ind w:right="120" w:firstLine="413"/>
        <w:spacing w:after="0" w:line="255" w:lineRule="auto"/>
        <w:tabs>
          <w:tab w:leader="none" w:pos="785"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Nothing contained in this Agreement (including, without limitation, subparagraph 8(d) and Paragraph 9) or otherwise limits Employee’s ability to communicate directly with and provide information, including documents, not otherwise protected from disclosure by any applicable law or privilege, to the Securities and Exchange Commission (the “SEC”), the Occupational Safety and Health Administration (“OSHA”) or any other federal, state or local governmental agency or commission regarding possible legal violations, without disclosure to the Company. The Company may not retaliate against Employee for any of these activities, and nothing in this Agreement requires Employee to waive any monetary award or other payment that Employee might become entitled to from the SEC or OSHA.</w:t>
      </w:r>
    </w:p>
    <w:p>
      <w:pPr>
        <w:spacing w:after="0" w:line="193" w:lineRule="exact"/>
        <w:rPr>
          <w:rFonts w:ascii="Arial" w:cs="Arial" w:eastAsia="Arial" w:hAnsi="Arial"/>
          <w:sz w:val="18"/>
          <w:szCs w:val="18"/>
          <w:color w:val="auto"/>
        </w:rPr>
      </w:pPr>
    </w:p>
    <w:p>
      <w:pPr>
        <w:ind w:firstLine="1305"/>
        <w:spacing w:after="0" w:line="284" w:lineRule="auto"/>
        <w:tabs>
          <w:tab w:leader="none" w:pos="1686" w:val="left"/>
        </w:tabs>
        <w:numPr>
          <w:ilvl w:val="3"/>
          <w:numId w:val="27"/>
        </w:numPr>
        <w:rPr>
          <w:rFonts w:ascii="Arial" w:cs="Arial" w:eastAsia="Arial" w:hAnsi="Arial"/>
          <w:sz w:val="16"/>
          <w:szCs w:val="16"/>
          <w:color w:val="auto"/>
        </w:rPr>
      </w:pPr>
      <w:r>
        <w:rPr>
          <w:rFonts w:ascii="Arial" w:cs="Arial" w:eastAsia="Arial" w:hAnsi="Arial"/>
          <w:sz w:val="16"/>
          <w:szCs w:val="16"/>
          <w:color w:val="auto"/>
        </w:rPr>
        <w:t>Except as provided in subparagraph 8(c), during the Term and at all times thereafter, Employee shall not, directly or indirectly, use for Employee’s personal benefit, or disclose to or use for the direct or indirect benefit of anyone other than the Company (except as may be required within the scope of Employee’s duties hereunder), any secret or confidential information, knowledge or data of the Company or any of its employees, officers, directors or agents (“Confidential Information”). Confidential Information includes, but is not limited to: the terms and conditions of this Agreement; sales, marketing and other business methods; policies, plans, procedures, strategies and techniques; research and development projects and results; software and firmware; trade secrets, know-how, processes and other intellectual property; information on or relating to past, present or prospective employees or suppliers; and information on or relating to past, present or prospective customers, including customer lists. Notwithstanding the foregoing, Confidential Information does not include information that: (i) is generally available to the public; or (ii) is available to Employee on a nonconfidential basis from a source other than the Company, provided such source is not bound by a confidentiality agreement with the Company or otherwise prohibited from transmitting such information to Employee by a contractual, legal or fiduciary obligation. Employee agrees that Confidential Information is the exclusive property of the Company, and agrees that, immediately upon Employee’s termination of employment for any reason (including after the Term), Employee shall deliver to the Company all correspondence, documents, books, records, lists and other materials containing Confidential Information that are within Employee’s possession or control, regardless of the medium in which such materials are maintained, and Employee shall retain no copies thereof in any medium. Except as provided in subparagraph 8(c), without limiting the generality of the foregoing, Employee agrees neither to prepare, participate in or assist in the preparation of any article, book, speech or other writing or communication relating to the past, present or future business, operations, personnel or prospects of the Company, nor to encourage or assist others to do any of the foregoing, without the prior written consent of the Company (which may be withheld in the Company’s sole discretion). Nothing herein shall prevent Employee from: (A) complying with a valid subpoena or other legal requirement for disclosure of Confidential Information, provided that, except as provided in subparagraph 8(c), Employee shall use good faith efforts to notify the Company promptly and in advance of disclosure if Employee believes Employee is under a legal requirement to disclose Confidential Information otherwise protected from disclosure under this subparagraph; or (B) disclosing the terms and conditions of this Agreement to Employee’s spouse or tax, accounting, financial or legal advisors, or as necessary to enforce this Agreement. Notwithstanding the foregoing, pursuant to the Defend Trade Secrets Act of 2016 (18 U.S.C. § 1833(b)), Employee shall not be held criminally or civilly liable under any federal or state trade secret law for the disclosure of a trade secret that (i) is made (x) in confidence to a federal, state, or local government official, either directly or indirectly, or to an attorney, and (y) solely for the purpose of reporting or investigating a suspected violation of law; or (ii) is made in a complaint or other document filed in a lawsuit or other proceeding, if such filing is made under seal. In addition and without limiting the preceding sentence, if Employee files a lawsuit for retaliation by the Company for reporting a suspected violation of law, Employee may disclose the trade secret to his or her attorney and use the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4" w:right="239" w:bottom="1440" w:gutter="0" w:footer="0" w:header="0"/>
        </w:sectPr>
      </w:pPr>
    </w:p>
    <w:bookmarkStart w:id="57" w:name="page58"/>
    <w:bookmarkEnd w:id="57"/>
    <w:p>
      <w:pPr>
        <w:ind w:right="100"/>
        <w:spacing w:after="0" w:line="277" w:lineRule="auto"/>
        <w:rPr>
          <w:sz w:val="20"/>
          <w:szCs w:val="20"/>
          <w:color w:val="auto"/>
        </w:rPr>
      </w:pPr>
      <w:r>
        <w:rPr>
          <w:rFonts w:ascii="Arial" w:cs="Arial" w:eastAsia="Arial" w:hAnsi="Arial"/>
          <w:sz w:val="18"/>
          <w:szCs w:val="18"/>
          <w:color w:val="auto"/>
        </w:rPr>
        <w:t>trade secret information in the court proceeding, if Employee (i) files any document containing the trade secret under seal, and (ii) does not disclose the trade secret, except pursuant to court order.</w:t>
      </w:r>
    </w:p>
    <w:p>
      <w:pPr>
        <w:spacing w:after="0" w:line="170" w:lineRule="exact"/>
        <w:rPr>
          <w:sz w:val="20"/>
          <w:szCs w:val="20"/>
          <w:color w:val="auto"/>
        </w:rPr>
      </w:pPr>
    </w:p>
    <w:p>
      <w:pPr>
        <w:ind w:right="40" w:firstLine="1305"/>
        <w:spacing w:after="0" w:line="270" w:lineRule="auto"/>
        <w:tabs>
          <w:tab w:leader="none" w:pos="1676" w:val="left"/>
        </w:tabs>
        <w:numPr>
          <w:ilvl w:val="3"/>
          <w:numId w:val="28"/>
        </w:numPr>
        <w:rPr>
          <w:rFonts w:ascii="Arial" w:cs="Arial" w:eastAsia="Arial" w:hAnsi="Arial"/>
          <w:sz w:val="17"/>
          <w:szCs w:val="17"/>
          <w:color w:val="auto"/>
        </w:rPr>
      </w:pPr>
      <w:r>
        <w:rPr>
          <w:rFonts w:ascii="Arial" w:cs="Arial" w:eastAsia="Arial" w:hAnsi="Arial"/>
          <w:sz w:val="17"/>
          <w:szCs w:val="17"/>
          <w:color w:val="auto"/>
        </w:rPr>
        <w:t>Employee acknowledges that the restrictions contained in this Paragraph 8, in light of the nature of the businesses in which the Company is engaged and Employee’s position with the Company, are reasonable and necessary to protect the legitimate interests of the Company, and that any violation of these restrictions would result in irreparable injury to the Company. Employee therefore agrees that: (i) in the event of Employee’s violation of any of these restrictions, the Company shall have the right to suspend or terminate any unaccrued payment obligations to Employee hereunder and/or Employee’s unaccrued rights under any compensation or benefit plans or programs hereunder or thereunder (including in each case any arising following termination of employment); and (ii) in the event of Employee’s violation or threatened violation of any of these restrictions, the Company shall be entitled to seek from any court of competent jurisdiction: (A) preliminary and permanent injunctive relief against Employee; (B) damages from Employee (including the Company’s reasonable legal fees and other costs and expenses); and (C) an equitable accounting of all compensation, commissions, earnings, profits and other benefits to Employee arising from such violation; all of which rights shall be cumulative and in addition to any other rights and remedies to which the Company may be entitled as set forth herein or as a matter of law.</w:t>
      </w:r>
    </w:p>
    <w:p>
      <w:pPr>
        <w:spacing w:after="0" w:line="177" w:lineRule="exact"/>
        <w:rPr>
          <w:rFonts w:ascii="Arial" w:cs="Arial" w:eastAsia="Arial" w:hAnsi="Arial"/>
          <w:sz w:val="17"/>
          <w:szCs w:val="17"/>
          <w:color w:val="auto"/>
        </w:rPr>
      </w:pPr>
    </w:p>
    <w:p>
      <w:pPr>
        <w:ind w:firstLine="1305"/>
        <w:spacing w:after="0" w:line="257" w:lineRule="auto"/>
        <w:tabs>
          <w:tab w:leader="none" w:pos="1656" w:val="left"/>
        </w:tabs>
        <w:numPr>
          <w:ilvl w:val="3"/>
          <w:numId w:val="28"/>
        </w:numPr>
        <w:rPr>
          <w:rFonts w:ascii="Arial" w:cs="Arial" w:eastAsia="Arial" w:hAnsi="Arial"/>
          <w:sz w:val="18"/>
          <w:szCs w:val="18"/>
          <w:color w:val="auto"/>
        </w:rPr>
      </w:pPr>
      <w:r>
        <w:rPr>
          <w:rFonts w:ascii="Arial" w:cs="Arial" w:eastAsia="Arial" w:hAnsi="Arial"/>
          <w:sz w:val="18"/>
          <w:szCs w:val="18"/>
          <w:color w:val="auto"/>
        </w:rPr>
        <w:t>Employee agrees that if any part of the restrictions contained in this Paragraph 8, or the application thereof, is construed to be invalid or unenforceable, the remainder of such restrictions or the application thereof shall not be affected and the remaining restrictions shall have full force and effect without regard to the invalid or unenforceable portions. If any restriction is held to be unenforceable because of the area covered, the duration thereof or the scope thereof, Employee agrees that the court making such determination shall have the power to reduce the area and/or the duration, and/or limit the scope thereof, and the restriction shall then be enforceable in its reduced form.</w:t>
      </w:r>
    </w:p>
    <w:p>
      <w:pPr>
        <w:spacing w:after="0" w:line="188" w:lineRule="exact"/>
        <w:rPr>
          <w:rFonts w:ascii="Arial" w:cs="Arial" w:eastAsia="Arial" w:hAnsi="Arial"/>
          <w:sz w:val="18"/>
          <w:szCs w:val="18"/>
          <w:color w:val="auto"/>
        </w:rPr>
      </w:pPr>
    </w:p>
    <w:p>
      <w:pPr>
        <w:ind w:right="420" w:firstLine="368"/>
        <w:spacing w:after="0" w:line="277" w:lineRule="auto"/>
        <w:tabs>
          <w:tab w:leader="none" w:pos="750" w:val="left"/>
        </w:tabs>
        <w:numPr>
          <w:ilvl w:val="1"/>
          <w:numId w:val="29"/>
        </w:numPr>
        <w:rPr>
          <w:rFonts w:ascii="Arial" w:cs="Arial" w:eastAsia="Arial" w:hAnsi="Arial"/>
          <w:sz w:val="18"/>
          <w:szCs w:val="18"/>
          <w:color w:val="auto"/>
        </w:rPr>
      </w:pPr>
      <w:r>
        <w:rPr>
          <w:rFonts w:ascii="Arial" w:cs="Arial" w:eastAsia="Arial" w:hAnsi="Arial"/>
          <w:sz w:val="18"/>
          <w:szCs w:val="18"/>
          <w:color w:val="auto"/>
        </w:rPr>
        <w:t>If Employee violates any such restrictions, the period of such violation (from the commencement of any such violation until such time as such violation shall be cured by Employee) shall not count toward or be included in any applicable restrictive period.</w:t>
      </w:r>
    </w:p>
    <w:p>
      <w:pPr>
        <w:spacing w:after="0" w:line="170" w:lineRule="exact"/>
        <w:rPr>
          <w:rFonts w:ascii="Arial" w:cs="Arial" w:eastAsia="Arial" w:hAnsi="Arial"/>
          <w:sz w:val="18"/>
          <w:szCs w:val="18"/>
          <w:color w:val="auto"/>
        </w:rPr>
      </w:pPr>
    </w:p>
    <w:p>
      <w:pPr>
        <w:ind w:right="40" w:firstLine="368"/>
        <w:spacing w:after="0" w:line="264" w:lineRule="auto"/>
        <w:tabs>
          <w:tab w:leader="none" w:pos="750" w:val="left"/>
        </w:tabs>
        <w:numPr>
          <w:ilvl w:val="1"/>
          <w:numId w:val="29"/>
        </w:numPr>
        <w:rPr>
          <w:rFonts w:ascii="Arial" w:cs="Arial" w:eastAsia="Arial" w:hAnsi="Arial"/>
          <w:sz w:val="18"/>
          <w:szCs w:val="18"/>
          <w:color w:val="auto"/>
        </w:rPr>
      </w:pPr>
      <w:r>
        <w:rPr>
          <w:rFonts w:ascii="Arial" w:cs="Arial" w:eastAsia="Arial" w:hAnsi="Arial"/>
          <w:sz w:val="18"/>
          <w:szCs w:val="18"/>
          <w:color w:val="auto"/>
        </w:rPr>
        <w:t>Employee agrees that prior to accepting employment with any other person or entity at any time during the one-year period following termination of employment referred to in subparagraph (b)(i) or (c)(i) above, Employee will provide the prospective employer with written notice of the provisions of this Paragraph 8, with a copy of such notice provided simultaneously to the Company.</w:t>
      </w:r>
    </w:p>
    <w:p>
      <w:pPr>
        <w:spacing w:after="0" w:line="181" w:lineRule="exact"/>
        <w:rPr>
          <w:rFonts w:ascii="Arial" w:cs="Arial" w:eastAsia="Arial" w:hAnsi="Arial"/>
          <w:sz w:val="18"/>
          <w:szCs w:val="18"/>
          <w:color w:val="auto"/>
        </w:rPr>
      </w:pPr>
    </w:p>
    <w:p>
      <w:pPr>
        <w:ind w:right="100" w:firstLine="188"/>
        <w:spacing w:after="0" w:line="255" w:lineRule="auto"/>
        <w:tabs>
          <w:tab w:leader="none" w:pos="495"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Non-Disparaging Statements</w:t>
      </w:r>
      <w:r>
        <w:rPr>
          <w:rFonts w:ascii="Arial" w:cs="Arial" w:eastAsia="Arial" w:hAnsi="Arial"/>
          <w:sz w:val="18"/>
          <w:szCs w:val="18"/>
          <w:color w:val="auto"/>
        </w:rPr>
        <w:t>. Except as provided in subparagraph 8(c), during the period of Employee’s employment (whether during the Term or thereafter), and for a period of three (3) years thereafter, neither party shall, directly or indirectly, engage in any communication with any person or entity, including: (a) any actual or potential employer of Employee; (b) any actual or potential employee, customer, consultant, independent contractor, investor, lender, service provider or supplier of the Company; or (c) any media outlet; which constitutes a disparaging statement - orally, written or otherwise - against the other party or, in the case of the Company, any of its employees, officers or directors. The foregoing shall not be deemed to restrict either party’s obligation to testify truthfully in any proceeding.</w:t>
      </w:r>
    </w:p>
    <w:p>
      <w:pPr>
        <w:spacing w:after="0" w:line="193" w:lineRule="exact"/>
        <w:rPr>
          <w:rFonts w:ascii="Arial" w:cs="Arial" w:eastAsia="Arial" w:hAnsi="Arial"/>
          <w:sz w:val="18"/>
          <w:szCs w:val="18"/>
          <w:color w:val="auto"/>
        </w:rPr>
      </w:pPr>
    </w:p>
    <w:p>
      <w:pPr>
        <w:ind w:left="1060" w:hanging="404"/>
        <w:spacing w:after="0"/>
        <w:tabs>
          <w:tab w:leader="none" w:pos="1060" w:val="left"/>
        </w:tabs>
        <w:numPr>
          <w:ilvl w:val="2"/>
          <w:numId w:val="30"/>
        </w:numPr>
        <w:rPr>
          <w:rFonts w:ascii="Arial" w:cs="Arial" w:eastAsia="Arial" w:hAnsi="Arial"/>
          <w:sz w:val="18"/>
          <w:szCs w:val="18"/>
          <w:color w:val="auto"/>
        </w:rPr>
      </w:pPr>
      <w:r>
        <w:rPr>
          <w:rFonts w:ascii="Arial" w:cs="Arial" w:eastAsia="Arial" w:hAnsi="Arial"/>
          <w:sz w:val="18"/>
          <w:szCs w:val="18"/>
          <w:u w:val="single" w:color="auto"/>
          <w:color w:val="auto"/>
        </w:rPr>
        <w:t>Company Property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1305"/>
        <w:spacing w:after="0" w:line="269" w:lineRule="auto"/>
        <w:tabs>
          <w:tab w:leader="none" w:pos="1673" w:val="left"/>
        </w:tabs>
        <w:numPr>
          <w:ilvl w:val="3"/>
          <w:numId w:val="30"/>
        </w:numPr>
        <w:rPr>
          <w:rFonts w:ascii="Arial" w:cs="Arial" w:eastAsia="Arial" w:hAnsi="Arial"/>
          <w:sz w:val="17"/>
          <w:szCs w:val="17"/>
          <w:color w:val="auto"/>
        </w:rPr>
      </w:pPr>
      <w:r>
        <w:rPr>
          <w:rFonts w:ascii="Arial" w:cs="Arial" w:eastAsia="Arial" w:hAnsi="Arial"/>
          <w:sz w:val="17"/>
          <w:szCs w:val="17"/>
          <w:color w:val="auto"/>
        </w:rPr>
        <w:t>To the extent any Company Intellectual Property (as defined in subparagraph (e) below) is not already owned by the Company as a matter of law or by prior written assignment by Employee to the Company, Employee hereby assigns to the Company, and agrees to assign to the Company in the future (to the extent required), all right, title and interest that Employee now has or acquires in the future in and to any and all Company Intellectual Property. Employee shall further cooperate with the Company in obtaining, protecting and enforcing its interests in Company Intellectual Property. Such cooperation shall be at the Company’s expense, and shall include, at the Company’s election, without limitation, signing all documents reasonably requested by the Company for patent, copyright and other Intellectual Property (as defined in subparagraph (e) below) applications and registrations, and individual assignments thereof, and providing other reasonably requested assistance. Employee’s obligation to assist the Company in obtaining, protecting and enforcing Company Intellectual Property rights shall continue following Employee’s employment with the Company, but the Company shall be obliged to compensate Employee at a then prevailing reasonable consulting rate for any time spent and any out-of-pocket expenses incurred at the Company’s request for providing such assistance. Such compensation shall be paid irrespective of, and is not contingent upon, the substance of any testimony Employee may give or provide while assisting the Company.</w:t>
      </w:r>
    </w:p>
    <w:p>
      <w:pPr>
        <w:spacing w:after="0" w:line="182" w:lineRule="exact"/>
        <w:rPr>
          <w:rFonts w:ascii="Arial" w:cs="Arial" w:eastAsia="Arial" w:hAnsi="Arial"/>
          <w:sz w:val="17"/>
          <w:szCs w:val="17"/>
          <w:color w:val="auto"/>
        </w:rPr>
      </w:pPr>
    </w:p>
    <w:p>
      <w:pPr>
        <w:jc w:val="both"/>
        <w:ind w:right="680" w:firstLine="1305"/>
        <w:spacing w:after="0" w:line="264" w:lineRule="auto"/>
        <w:tabs>
          <w:tab w:leader="none" w:pos="1731" w:val="left"/>
        </w:tabs>
        <w:numPr>
          <w:ilvl w:val="3"/>
          <w:numId w:val="30"/>
        </w:numPr>
        <w:rPr>
          <w:rFonts w:ascii="Arial" w:cs="Arial" w:eastAsia="Arial" w:hAnsi="Arial"/>
          <w:sz w:val="18"/>
          <w:szCs w:val="18"/>
          <w:color w:val="auto"/>
        </w:rPr>
      </w:pPr>
      <w:r>
        <w:rPr>
          <w:rFonts w:ascii="Arial" w:cs="Arial" w:eastAsia="Arial" w:hAnsi="Arial"/>
          <w:sz w:val="18"/>
          <w:szCs w:val="18"/>
          <w:color w:val="auto"/>
        </w:rPr>
        <w:t>Employee shall use reasonable efforts to promptly disclose to the Company, or any person(s) designated by the Company, all Intellectual Property that is created, conceived or reduced to practice by Employee, either alone or jointly with others, during the term of Employee’s employment with the Company, whether or not patentable or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4" w:right="239" w:bottom="1440" w:gutter="0" w:footer="0" w:header="0"/>
        </w:sectPr>
      </w:pPr>
    </w:p>
    <w:bookmarkStart w:id="58" w:name="page59"/>
    <w:bookmarkEnd w:id="58"/>
    <w:p>
      <w:pPr>
        <w:spacing w:after="0" w:line="272" w:lineRule="auto"/>
        <w:rPr>
          <w:sz w:val="20"/>
          <w:szCs w:val="20"/>
          <w:color w:val="auto"/>
        </w:rPr>
      </w:pPr>
      <w:r>
        <w:rPr>
          <w:rFonts w:ascii="Arial" w:cs="Arial" w:eastAsia="Arial" w:hAnsi="Arial"/>
          <w:sz w:val="17"/>
          <w:szCs w:val="17"/>
          <w:color w:val="auto"/>
        </w:rPr>
        <w:t>copyrightable or believed by Employee to be patentable or copyrightable, including without limitation any Intellectual Property (to be held in confidence by the Company) that qualifies fully as a nonassignable invention under Section 2870 of the California Labor Code (“Nonassignable IP”). If Employee contends that any such Intellectual Property qualifies as Nonassignable IP, Employee will promptly so notify the Company, and Employee agrees to cooperate fully with a review and verification process by the Company. In addition, Employee will promptly disclose to the Company (to be held in confidence) all patent applications filed by Employee or on Employee’s behalf within six months after termination of employment, and to cooperate fully with a review and determination by the Company as to whether such patent applications constitute or include Company Intellectual Property. Employee has reviewed the notification on Schedule 1 and agrees that Employee’s execution hereof acknowledges receipt of such notification.</w:t>
      </w:r>
    </w:p>
    <w:p>
      <w:pPr>
        <w:spacing w:after="0" w:line="178" w:lineRule="exact"/>
        <w:rPr>
          <w:sz w:val="20"/>
          <w:szCs w:val="20"/>
          <w:color w:val="auto"/>
        </w:rPr>
      </w:pPr>
    </w:p>
    <w:p>
      <w:pPr>
        <w:ind w:right="60" w:firstLine="1305"/>
        <w:spacing w:after="0" w:line="255" w:lineRule="auto"/>
        <w:tabs>
          <w:tab w:leader="none" w:pos="1676" w:val="left"/>
        </w:tabs>
        <w:numPr>
          <w:ilvl w:val="5"/>
          <w:numId w:val="31"/>
        </w:numPr>
        <w:rPr>
          <w:rFonts w:ascii="Arial" w:cs="Arial" w:eastAsia="Arial" w:hAnsi="Arial"/>
          <w:sz w:val="18"/>
          <w:szCs w:val="18"/>
          <w:color w:val="auto"/>
        </w:rPr>
      </w:pPr>
      <w:r>
        <w:rPr>
          <w:rFonts w:ascii="Arial" w:cs="Arial" w:eastAsia="Arial" w:hAnsi="Arial"/>
          <w:sz w:val="18"/>
          <w:szCs w:val="18"/>
          <w:color w:val="auto"/>
        </w:rPr>
        <w:t>In the event that the Company is unable for any reason whatsoever to secure Employee’s signature on any lawful and necessary document to apply for, execute or otherwise further prosecute or register any patent or copyright application or any other Company Intellectual Property application or registration, Employee hereby irrevocably designates and appoints the Company and its duly authorized officers and agents as Employee’s agents and attorneys-in-fact to act for and on Employee’s behalf and instead of Employee to execute and file such lawful and necessary documents and to do all other lawfully permitted acts to further prosecute, issue and/or register patents, copyrights and any other Company Intellectual Property rights with the same legal force and effect as if executed by Employee.</w:t>
      </w:r>
    </w:p>
    <w:p>
      <w:pPr>
        <w:spacing w:after="0" w:line="193" w:lineRule="exact"/>
        <w:rPr>
          <w:rFonts w:ascii="Arial" w:cs="Arial" w:eastAsia="Arial" w:hAnsi="Arial"/>
          <w:sz w:val="18"/>
          <w:szCs w:val="18"/>
          <w:color w:val="auto"/>
        </w:rPr>
      </w:pPr>
    </w:p>
    <w:p>
      <w:pPr>
        <w:ind w:right="20" w:firstLine="1305"/>
        <w:spacing w:after="0" w:line="259" w:lineRule="auto"/>
        <w:tabs>
          <w:tab w:leader="none" w:pos="1728" w:val="left"/>
        </w:tabs>
        <w:numPr>
          <w:ilvl w:val="5"/>
          <w:numId w:val="31"/>
        </w:numPr>
        <w:rPr>
          <w:rFonts w:ascii="Arial" w:cs="Arial" w:eastAsia="Arial" w:hAnsi="Arial"/>
          <w:sz w:val="18"/>
          <w:szCs w:val="18"/>
          <w:color w:val="auto"/>
        </w:rPr>
      </w:pPr>
      <w:r>
        <w:rPr>
          <w:rFonts w:ascii="Arial" w:cs="Arial" w:eastAsia="Arial" w:hAnsi="Arial"/>
          <w:sz w:val="18"/>
          <w:szCs w:val="18"/>
          <w:color w:val="auto"/>
        </w:rPr>
        <w:t>To the extent any materials, including written, graphic or computer programmed materials, authored, prepared, contributed to or written by Employee, in whole or in part, during the term of employment by the Company and relating in whole or in part to the business, products, services, research or development of the Company qualify as “work made for hire,” as such term is defined and used in the copyright laws of the United States, then such materials shall be done by Employee as “work made for hire” under such law.</w:t>
      </w:r>
    </w:p>
    <w:p>
      <w:pPr>
        <w:spacing w:after="0" w:line="186" w:lineRule="exact"/>
        <w:rPr>
          <w:rFonts w:ascii="Arial" w:cs="Arial" w:eastAsia="Arial" w:hAnsi="Arial"/>
          <w:sz w:val="18"/>
          <w:szCs w:val="18"/>
          <w:color w:val="auto"/>
        </w:rPr>
      </w:pPr>
    </w:p>
    <w:p>
      <w:pPr>
        <w:ind w:right="40" w:firstLine="1305"/>
        <w:spacing w:after="0" w:line="285" w:lineRule="auto"/>
        <w:tabs>
          <w:tab w:leader="none" w:pos="1721" w:val="left"/>
        </w:tabs>
        <w:numPr>
          <w:ilvl w:val="5"/>
          <w:numId w:val="31"/>
        </w:numPr>
        <w:rPr>
          <w:rFonts w:ascii="Arial" w:cs="Arial" w:eastAsia="Arial" w:hAnsi="Arial"/>
          <w:sz w:val="16"/>
          <w:szCs w:val="16"/>
          <w:color w:val="auto"/>
        </w:rPr>
      </w:pPr>
      <w:r>
        <w:rPr>
          <w:rFonts w:ascii="Arial" w:cs="Arial" w:eastAsia="Arial" w:hAnsi="Arial"/>
          <w:sz w:val="16"/>
          <w:szCs w:val="16"/>
          <w:color w:val="auto"/>
        </w:rPr>
        <w:t>“Intellectual Property” means any and all ideas, inventions, formulae, knowhow, trade secrets, devices, designs, models, methods, techniques, processes, specifications, tooling, computer programs, software code, works of authorship, copyrighted and copyrightable works, mask works, trademarks and service marks, Internet domain names, technical and product information, patents and patent applications, and any other intellectual property rights or applications, throughout the world. “Company Intellectual Property” means any Intellectual Property created, fixed, conceived or reduced to practice, in whole or in part, by Employee, either alone or jointly with others, whether or not such Intellectual Property is patentable or copyrightable, either:</w:t>
      </w:r>
    </w:p>
    <w:p>
      <w:pPr>
        <w:spacing w:after="0" w:line="2" w:lineRule="exact"/>
        <w:rPr>
          <w:rFonts w:ascii="Arial" w:cs="Arial" w:eastAsia="Arial" w:hAnsi="Arial"/>
          <w:sz w:val="16"/>
          <w:szCs w:val="16"/>
          <w:color w:val="auto"/>
        </w:rPr>
      </w:pPr>
    </w:p>
    <w:p>
      <w:pPr>
        <w:jc w:val="both"/>
        <w:ind w:right="120" w:firstLine="8"/>
        <w:spacing w:after="0" w:line="255" w:lineRule="auto"/>
        <w:tabs>
          <w:tab w:leader="none" w:pos="21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that relates to the Company’s current or planned businesses or is created, etc. in the performance of the Employee’s duties; (ii) that is created, etc. during working hours; or (iii) that is created, etc. using the Company’s information, facilities, equipment or other assets. “Company Intellectual Property” does not include Nonassignable IP.</w:t>
      </w:r>
    </w:p>
    <w:p>
      <w:pPr>
        <w:spacing w:after="0" w:line="190" w:lineRule="exact"/>
        <w:rPr>
          <w:rFonts w:ascii="Arial" w:cs="Arial" w:eastAsia="Arial" w:hAnsi="Arial"/>
          <w:sz w:val="18"/>
          <w:szCs w:val="18"/>
          <w:color w:val="auto"/>
        </w:rPr>
      </w:pPr>
    </w:p>
    <w:p>
      <w:pPr>
        <w:ind w:left="920" w:hanging="264"/>
        <w:spacing w:after="0"/>
        <w:tabs>
          <w:tab w:leader="none" w:pos="920" w:val="left"/>
        </w:tabs>
        <w:numPr>
          <w:ilvl w:val="3"/>
          <w:numId w:val="32"/>
        </w:numPr>
        <w:rPr>
          <w:rFonts w:ascii="Arial" w:cs="Arial" w:eastAsia="Arial" w:hAnsi="Arial"/>
          <w:sz w:val="18"/>
          <w:szCs w:val="18"/>
          <w:color w:val="auto"/>
        </w:rPr>
      </w:pPr>
      <w:r>
        <w:rPr>
          <w:rFonts w:ascii="Arial" w:cs="Arial" w:eastAsia="Arial" w:hAnsi="Arial"/>
          <w:sz w:val="18"/>
          <w:szCs w:val="18"/>
          <w:u w:val="single" w:color="auto"/>
          <w:color w:val="auto"/>
        </w:rPr>
        <w:t>Representations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540" w:hanging="235"/>
        <w:spacing w:after="0"/>
        <w:tabs>
          <w:tab w:leader="none" w:pos="1540" w:val="left"/>
        </w:tabs>
        <w:numPr>
          <w:ilvl w:val="5"/>
          <w:numId w:val="32"/>
        </w:numPr>
        <w:rPr>
          <w:rFonts w:ascii="Arial" w:cs="Arial" w:eastAsia="Arial" w:hAnsi="Arial"/>
          <w:sz w:val="18"/>
          <w:szCs w:val="18"/>
          <w:color w:val="auto"/>
        </w:rPr>
      </w:pPr>
      <w:r>
        <w:rPr>
          <w:rFonts w:ascii="Arial" w:cs="Arial" w:eastAsia="Arial" w:hAnsi="Arial"/>
          <w:sz w:val="18"/>
          <w:szCs w:val="18"/>
          <w:color w:val="auto"/>
        </w:rPr>
        <w:t>Employee represents that:</w:t>
      </w:r>
    </w:p>
    <w:p>
      <w:pPr>
        <w:spacing w:after="0" w:line="225" w:lineRule="exact"/>
        <w:rPr>
          <w:rFonts w:ascii="Arial" w:cs="Arial" w:eastAsia="Arial" w:hAnsi="Arial"/>
          <w:sz w:val="18"/>
          <w:szCs w:val="18"/>
          <w:color w:val="auto"/>
        </w:rPr>
      </w:pPr>
    </w:p>
    <w:p>
      <w:pPr>
        <w:ind w:left="980" w:hanging="342"/>
        <w:spacing w:after="0"/>
        <w:tabs>
          <w:tab w:leader="none" w:pos="980" w:val="left"/>
        </w:tabs>
        <w:numPr>
          <w:ilvl w:val="2"/>
          <w:numId w:val="32"/>
        </w:numPr>
        <w:rPr>
          <w:rFonts w:ascii="Arial" w:cs="Arial" w:eastAsia="Arial" w:hAnsi="Arial"/>
          <w:sz w:val="16"/>
          <w:szCs w:val="16"/>
          <w:color w:val="auto"/>
        </w:rPr>
      </w:pPr>
      <w:r>
        <w:rPr>
          <w:rFonts w:ascii="Arial" w:cs="Arial" w:eastAsia="Arial" w:hAnsi="Arial"/>
          <w:sz w:val="16"/>
          <w:szCs w:val="16"/>
          <w:color w:val="auto"/>
        </w:rPr>
        <w:t>Employee has had the opportunity to retain and consult with legal counsel and tax advisors of Employee’s choice regarding the terms of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210" w:lineRule="exact"/>
        <w:rPr>
          <w:rFonts w:ascii="Arial" w:cs="Arial" w:eastAsia="Arial" w:hAnsi="Arial"/>
          <w:sz w:val="16"/>
          <w:szCs w:val="16"/>
          <w:color w:val="auto"/>
        </w:rPr>
      </w:pPr>
    </w:p>
    <w:p>
      <w:pPr>
        <w:ind w:left="580" w:hanging="392"/>
        <w:spacing w:after="0"/>
        <w:tabs>
          <w:tab w:leader="none" w:pos="580" w:val="left"/>
        </w:tabs>
        <w:numPr>
          <w:ilvl w:val="1"/>
          <w:numId w:val="32"/>
        </w:numPr>
        <w:rPr>
          <w:rFonts w:ascii="Arial" w:cs="Arial" w:eastAsia="Arial" w:hAnsi="Arial"/>
          <w:sz w:val="16"/>
          <w:szCs w:val="16"/>
          <w:color w:val="auto"/>
        </w:rPr>
      </w:pPr>
      <w:r>
        <w:rPr>
          <w:rFonts w:ascii="Arial" w:cs="Arial" w:eastAsia="Arial" w:hAnsi="Arial"/>
          <w:sz w:val="16"/>
          <w:szCs w:val="16"/>
          <w:color w:val="auto"/>
        </w:rPr>
        <w:t>Subject to bankruptcy and insolvency laws and general equitable principles, this Agreement is enforceable against Employee in accordance with its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terms.</w:t>
      </w:r>
    </w:p>
    <w:p>
      <w:pPr>
        <w:spacing w:after="0" w:line="210" w:lineRule="exact"/>
        <w:rPr>
          <w:rFonts w:ascii="Arial" w:cs="Arial" w:eastAsia="Arial" w:hAnsi="Arial"/>
          <w:sz w:val="16"/>
          <w:szCs w:val="16"/>
          <w:color w:val="auto"/>
        </w:rPr>
      </w:pPr>
    </w:p>
    <w:p>
      <w:pPr>
        <w:ind w:right="100" w:firstLine="836"/>
        <w:spacing w:after="0" w:line="342" w:lineRule="auto"/>
        <w:tabs>
          <w:tab w:leader="none" w:pos="1320" w:val="left"/>
        </w:tabs>
        <w:numPr>
          <w:ilvl w:val="4"/>
          <w:numId w:val="32"/>
        </w:numPr>
        <w:rPr>
          <w:rFonts w:ascii="Arial" w:cs="Arial" w:eastAsia="Arial" w:hAnsi="Arial"/>
          <w:sz w:val="16"/>
          <w:szCs w:val="16"/>
          <w:color w:val="auto"/>
        </w:rPr>
      </w:pPr>
      <w:r>
        <w:rPr>
          <w:rFonts w:ascii="Arial" w:cs="Arial" w:eastAsia="Arial" w:hAnsi="Arial"/>
          <w:sz w:val="16"/>
          <w:szCs w:val="16"/>
          <w:color w:val="auto"/>
        </w:rPr>
        <w:t>This Agreement, and the performance of Employee’s obligations hereunder, do not conflict with, violate or give rise to any rights of other persons or entities under, any agreement, benefit plan or program, order, decree or judgment to which Employee is a party or by which Employee is bound.</w:t>
      </w:r>
    </w:p>
    <w:p>
      <w:pPr>
        <w:spacing w:after="0" w:line="124" w:lineRule="exact"/>
        <w:rPr>
          <w:sz w:val="20"/>
          <w:szCs w:val="20"/>
          <w:color w:val="auto"/>
        </w:rPr>
      </w:pPr>
    </w:p>
    <w:p>
      <w:pPr>
        <w:ind w:left="1100" w:hanging="264"/>
        <w:spacing w:after="0"/>
        <w:tabs>
          <w:tab w:leader="none" w:pos="1100" w:val="left"/>
        </w:tabs>
        <w:numPr>
          <w:ilvl w:val="2"/>
          <w:numId w:val="33"/>
        </w:numPr>
        <w:rPr>
          <w:rFonts w:ascii="Arial" w:cs="Arial" w:eastAsia="Arial" w:hAnsi="Arial"/>
          <w:sz w:val="18"/>
          <w:szCs w:val="18"/>
          <w:color w:val="auto"/>
        </w:rPr>
      </w:pPr>
      <w:r>
        <w:rPr>
          <w:rFonts w:ascii="Arial" w:cs="Arial" w:eastAsia="Arial" w:hAnsi="Arial"/>
          <w:sz w:val="18"/>
          <w:szCs w:val="18"/>
          <w:color w:val="auto"/>
        </w:rPr>
        <w:t>The Company represents that:</w:t>
      </w:r>
    </w:p>
    <w:p>
      <w:pPr>
        <w:spacing w:after="0" w:line="225" w:lineRule="exact"/>
        <w:rPr>
          <w:rFonts w:ascii="Arial" w:cs="Arial" w:eastAsia="Arial" w:hAnsi="Arial"/>
          <w:sz w:val="18"/>
          <w:szCs w:val="18"/>
          <w:color w:val="auto"/>
        </w:rPr>
      </w:pPr>
    </w:p>
    <w:p>
      <w:pPr>
        <w:ind w:right="120" w:firstLine="188"/>
        <w:spacing w:after="0" w:line="277" w:lineRule="auto"/>
        <w:tabs>
          <w:tab w:leader="none" w:pos="5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Subject to bankruptcy and insolvency laws and general equitable principles, this Agreement is enforceable against the Company in accordance with its terms.</w:t>
      </w:r>
    </w:p>
    <w:p>
      <w:pPr>
        <w:spacing w:after="0" w:line="170" w:lineRule="exact"/>
        <w:rPr>
          <w:rFonts w:ascii="Arial" w:cs="Arial" w:eastAsia="Arial" w:hAnsi="Arial"/>
          <w:sz w:val="18"/>
          <w:szCs w:val="18"/>
          <w:color w:val="auto"/>
        </w:rPr>
      </w:pPr>
    </w:p>
    <w:p>
      <w:pPr>
        <w:ind w:right="200" w:firstLine="593"/>
        <w:spacing w:after="0" w:line="277" w:lineRule="auto"/>
        <w:tabs>
          <w:tab w:leader="none" w:pos="982"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This Agreement, and the performance of the Company’s obligations hereunder, do not conflict with, violate or give rise to any rights to other persons or entities under, any agreement, order, decree or judgment to which the Company is a party or by which it is bound.</w:t>
      </w: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584" w:right="319" w:bottom="1440" w:gutter="0" w:footer="0" w:header="0"/>
        </w:sectPr>
      </w:pPr>
    </w:p>
    <w:bookmarkStart w:id="59" w:name="page60"/>
    <w:bookmarkEnd w:id="59"/>
    <w:p>
      <w:pPr>
        <w:jc w:val="both"/>
        <w:ind w:right="640" w:firstLine="188"/>
        <w:spacing w:after="0" w:line="264" w:lineRule="auto"/>
        <w:tabs>
          <w:tab w:leader="none" w:pos="585"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Withholding; Deductions</w:t>
      </w:r>
      <w:r>
        <w:rPr>
          <w:rFonts w:ascii="Arial" w:cs="Arial" w:eastAsia="Arial" w:hAnsi="Arial"/>
          <w:sz w:val="18"/>
          <w:szCs w:val="18"/>
          <w:color w:val="auto"/>
        </w:rPr>
        <w:t>. All compensation under this Agreement is subject to applicable tax withholding requirements and other deductions required by law. Employee agrees that the Company is entitled to deduct from monies payable and reimbursable to Employee hereunder all sums that Employee owes the Company at any time.</w:t>
      </w:r>
    </w:p>
    <w:p>
      <w:pPr>
        <w:spacing w:after="0" w:line="181" w:lineRule="exact"/>
        <w:rPr>
          <w:rFonts w:ascii="Arial" w:cs="Arial" w:eastAsia="Arial" w:hAnsi="Arial"/>
          <w:sz w:val="18"/>
          <w:szCs w:val="18"/>
          <w:color w:val="auto"/>
        </w:rPr>
      </w:pPr>
    </w:p>
    <w:p>
      <w:pPr>
        <w:ind w:left="600" w:hanging="412"/>
        <w:spacing w:after="0"/>
        <w:tabs>
          <w:tab w:leader="none" w:pos="60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368"/>
        <w:spacing w:after="0" w:line="272" w:lineRule="auto"/>
        <w:tabs>
          <w:tab w:leader="none" w:pos="740" w:val="left"/>
        </w:tabs>
        <w:numPr>
          <w:ilvl w:val="1"/>
          <w:numId w:val="35"/>
        </w:numPr>
        <w:rPr>
          <w:rFonts w:ascii="Arial" w:cs="Arial" w:eastAsia="Arial" w:hAnsi="Arial"/>
          <w:sz w:val="17"/>
          <w:szCs w:val="17"/>
          <w:color w:val="auto"/>
        </w:rPr>
      </w:pPr>
      <w:r>
        <w:rPr>
          <w:rFonts w:ascii="Arial" w:cs="Arial" w:eastAsia="Arial" w:hAnsi="Arial"/>
          <w:sz w:val="17"/>
          <w:szCs w:val="17"/>
          <w:color w:val="auto"/>
        </w:rPr>
        <w:t>Notwithstanding any other provision of this Agreement to the contrary or otherwise, to the extent any expense, reimbursement or in-kind benefit provided to Employee constitutes a “deferral of compensation” within the meaning of section 409A of the Internal Revenue Code of 1986, as amended (the “Code”), and its implementing regulations and guidance (collectively, “Section 409A”): (i) the amount of expenses eligible for reimbursement or in-kind benefits provided to Employee during any calendar year will not affect the amount of expenses eligible for reimbursement or in-kind benefits provided to Employee in any other calendar year; (ii) the reimbursements for expenses for which Employee is entitled to be reimbursed shall be made on or before the last day of the calendar year following the calendar year in which the applicable expense is incurred; and (iii) the right to payment or reimbursement or in-kind benefits hereunder may not be liquidated or exchanged for any other benefit.</w:t>
      </w:r>
    </w:p>
    <w:p>
      <w:pPr>
        <w:spacing w:after="0" w:line="177" w:lineRule="exact"/>
        <w:rPr>
          <w:rFonts w:ascii="Arial" w:cs="Arial" w:eastAsia="Arial" w:hAnsi="Arial"/>
          <w:sz w:val="17"/>
          <w:szCs w:val="17"/>
          <w:color w:val="auto"/>
        </w:rPr>
      </w:pPr>
    </w:p>
    <w:p>
      <w:pPr>
        <w:ind w:left="760" w:hanging="392"/>
        <w:spacing w:after="0"/>
        <w:tabs>
          <w:tab w:leader="none" w:pos="760" w:val="left"/>
        </w:tabs>
        <w:numPr>
          <w:ilvl w:val="1"/>
          <w:numId w:val="35"/>
        </w:numPr>
        <w:rPr>
          <w:rFonts w:ascii="Arial" w:cs="Arial" w:eastAsia="Arial" w:hAnsi="Arial"/>
          <w:sz w:val="16"/>
          <w:szCs w:val="16"/>
          <w:color w:val="auto"/>
        </w:rPr>
      </w:pPr>
      <w:r>
        <w:rPr>
          <w:rFonts w:ascii="Arial" w:cs="Arial" w:eastAsia="Arial" w:hAnsi="Arial"/>
          <w:sz w:val="16"/>
          <w:szCs w:val="16"/>
          <w:color w:val="auto"/>
        </w:rPr>
        <w:t>For purposes of Section 409A, each payment in a series of payments provided to Employee pursuant to this Agreement will be deemed a separate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payment.</w:t>
      </w:r>
    </w:p>
    <w:p>
      <w:pPr>
        <w:spacing w:after="0" w:line="210" w:lineRule="exact"/>
        <w:rPr>
          <w:rFonts w:ascii="Arial" w:cs="Arial" w:eastAsia="Arial" w:hAnsi="Arial"/>
          <w:sz w:val="16"/>
          <w:szCs w:val="16"/>
          <w:color w:val="auto"/>
        </w:rPr>
      </w:pPr>
    </w:p>
    <w:p>
      <w:pPr>
        <w:ind w:right="20" w:firstLine="368"/>
        <w:spacing w:after="0" w:line="269" w:lineRule="auto"/>
        <w:tabs>
          <w:tab w:leader="none" w:pos="740" w:val="left"/>
        </w:tabs>
        <w:numPr>
          <w:ilvl w:val="1"/>
          <w:numId w:val="35"/>
        </w:numPr>
        <w:rPr>
          <w:rFonts w:ascii="Arial" w:cs="Arial" w:eastAsia="Arial" w:hAnsi="Arial"/>
          <w:sz w:val="17"/>
          <w:szCs w:val="17"/>
          <w:color w:val="auto"/>
        </w:rPr>
      </w:pPr>
      <w:r>
        <w:rPr>
          <w:rFonts w:ascii="Arial" w:cs="Arial" w:eastAsia="Arial" w:hAnsi="Arial"/>
          <w:sz w:val="17"/>
          <w:szCs w:val="17"/>
          <w:color w:val="auto"/>
        </w:rPr>
        <w:t>Notwithstanding any other provision of this Agreement to the contrary or otherwise, any payment or benefit described in Paragraph 7 that represents a “deferral of compensation” within the meaning of Section 409A shall only be paid or provided to Employee upon his “separation from service” within the meaning of Treas.Reg.§1.409A-1(h) (or any successor regulation). To the extent compliance with the requirements of Treas.Reg.§1.409A-3(i)(2) (or any successor provision) is necessary to avoid the application of an additional tax under Section 409A to payments due to Employee upon or following his “separation from service,” then notwithstanding any other provision of this Agreement (or any otherwise applicable plan, policy, agreement or arrangement), any such payments that are otherwise due within six months following Employee’s “separation from service” will be deferred (without interest) and paid to Employee in a lump sum immediately following that six month period. In the event Employee dies during that six month period, the amounts deferred on account of Treas.Reg.§1.409A-3(i)(2) (or any successor provision) shall be paid to the personal representatives of the Employee’s estate within sixty (60) days following Employee’s death. This provision shall not be construed as preventing payments to Employee pursuant to Paragraph 7 in the first six months following Employee’s “separation from service” equal to an amount up to two (2) times the lesser of: (i) Employee’s annualized compensation for the year prior to the “separation from service;” and (ii) the maximum amount that may be taken into account under a qualified plan pursuant to section 401(a)(17) of the Code.</w:t>
      </w:r>
    </w:p>
    <w:p>
      <w:pPr>
        <w:spacing w:after="0" w:line="179" w:lineRule="exact"/>
        <w:rPr>
          <w:rFonts w:ascii="Arial" w:cs="Arial" w:eastAsia="Arial" w:hAnsi="Arial"/>
          <w:sz w:val="17"/>
          <w:szCs w:val="17"/>
          <w:color w:val="auto"/>
        </w:rPr>
      </w:pPr>
    </w:p>
    <w:p>
      <w:pPr>
        <w:ind w:right="20" w:firstLine="368"/>
        <w:spacing w:after="0" w:line="259" w:lineRule="auto"/>
        <w:tabs>
          <w:tab w:leader="none" w:pos="750" w:val="left"/>
        </w:tabs>
        <w:numPr>
          <w:ilvl w:val="1"/>
          <w:numId w:val="35"/>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to the contrary or otherwise, all benefits or payments provided by the Company to Employee that would be deemed to constitute “nonqualified deferred compensation” within the meaning of Section 409A are intended to comply with Section 409A. Notwithstanding any other provision in this Agreement to the contrary or otherwise, distributions may only be made under this Agreement upon an event and in a manner permitted by Section 409A or an applicable exemption.</w:t>
      </w:r>
    </w:p>
    <w:p>
      <w:pPr>
        <w:spacing w:after="0" w:line="186" w:lineRule="exact"/>
        <w:rPr>
          <w:rFonts w:ascii="Arial" w:cs="Arial" w:eastAsia="Arial" w:hAnsi="Arial"/>
          <w:sz w:val="18"/>
          <w:szCs w:val="18"/>
          <w:color w:val="auto"/>
        </w:rPr>
      </w:pPr>
    </w:p>
    <w:p>
      <w:pPr>
        <w:ind w:left="1060" w:hanging="404"/>
        <w:spacing w:after="0"/>
        <w:tabs>
          <w:tab w:leader="none" w:pos="1060" w:val="left"/>
        </w:tabs>
        <w:numPr>
          <w:ilvl w:val="2"/>
          <w:numId w:val="35"/>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20" w:firstLine="836"/>
        <w:spacing w:after="0" w:line="259" w:lineRule="auto"/>
        <w:tabs>
          <w:tab w:leader="none" w:pos="1208" w:val="left"/>
        </w:tabs>
        <w:numPr>
          <w:ilvl w:val="3"/>
          <w:numId w:val="35"/>
        </w:numPr>
        <w:rPr>
          <w:rFonts w:ascii="Arial" w:cs="Arial" w:eastAsia="Arial" w:hAnsi="Arial"/>
          <w:sz w:val="18"/>
          <w:szCs w:val="18"/>
          <w:color w:val="auto"/>
        </w:rPr>
      </w:pPr>
      <w:r>
        <w:rPr>
          <w:rFonts w:ascii="Arial" w:cs="Arial" w:eastAsia="Arial" w:hAnsi="Arial"/>
          <w:sz w:val="18"/>
          <w:szCs w:val="18"/>
          <w:color w:val="auto"/>
        </w:rPr>
        <w:t>If Comcast Corporation merges into, or transfers all or substantially all of its assets to, or as part of a reorganization, restructuring or other transaction becomes a subsidiary of, another entity, such other entity shall be deemed to be the successor to Comcast Corporation hereunder, and the term “Company” as used herein shall mean such other entity (together with its subsidiaries) as is appropriate, and this Agreement shall continue in full force and effect.</w:t>
      </w:r>
    </w:p>
    <w:p>
      <w:pPr>
        <w:spacing w:after="0" w:line="186" w:lineRule="exact"/>
        <w:rPr>
          <w:rFonts w:ascii="Arial" w:cs="Arial" w:eastAsia="Arial" w:hAnsi="Arial"/>
          <w:sz w:val="18"/>
          <w:szCs w:val="18"/>
          <w:color w:val="auto"/>
        </w:rPr>
      </w:pPr>
    </w:p>
    <w:p>
      <w:pPr>
        <w:ind w:right="80" w:firstLine="836"/>
        <w:spacing w:after="0" w:line="276" w:lineRule="auto"/>
        <w:tabs>
          <w:tab w:leader="none" w:pos="1218" w:val="left"/>
        </w:tabs>
        <w:numPr>
          <w:ilvl w:val="3"/>
          <w:numId w:val="35"/>
        </w:numPr>
        <w:rPr>
          <w:rFonts w:ascii="Arial" w:cs="Arial" w:eastAsia="Arial" w:hAnsi="Arial"/>
          <w:sz w:val="17"/>
          <w:szCs w:val="17"/>
          <w:color w:val="auto"/>
        </w:rPr>
      </w:pPr>
      <w:r>
        <w:rPr>
          <w:rFonts w:ascii="Arial" w:cs="Arial" w:eastAsia="Arial" w:hAnsi="Arial"/>
          <w:sz w:val="17"/>
          <w:szCs w:val="17"/>
          <w:color w:val="auto"/>
        </w:rPr>
        <w:t>If Comcast Corporation transfers part of its assets to another entity owned directly or indirectly by the shareholders of Comcast Corporation (or any substantial portion of them), or transfers stock or other interests in a subsidiary of Comcast Corporation directly or indirectly to the shareholders of Comcast Corporation (or any substantial portion of them), and Employee works for the portion of the Company or subsidiary so transferred, then the successor or continuing employer entity shall be deemed the successor to the Company hereunder, the term “Company” as used herein shall mean such entity (together with its subsidiaries) as is appropriate, and this Agreement shall continue in full force and effect.</w:t>
      </w:r>
    </w:p>
    <w:p>
      <w:pPr>
        <w:spacing w:after="0" w:line="168" w:lineRule="exact"/>
        <w:rPr>
          <w:rFonts w:ascii="Arial" w:cs="Arial" w:eastAsia="Arial" w:hAnsi="Arial"/>
          <w:sz w:val="17"/>
          <w:szCs w:val="17"/>
          <w:color w:val="auto"/>
        </w:rPr>
      </w:pPr>
    </w:p>
    <w:p>
      <w:pPr>
        <w:ind w:right="160" w:firstLine="656"/>
        <w:spacing w:after="0" w:line="261" w:lineRule="auto"/>
        <w:tabs>
          <w:tab w:leader="none" w:pos="1053" w:val="left"/>
        </w:tabs>
        <w:numPr>
          <w:ilvl w:val="2"/>
          <w:numId w:val="35"/>
        </w:numPr>
        <w:rPr>
          <w:rFonts w:ascii="Arial" w:cs="Arial" w:eastAsia="Arial" w:hAnsi="Arial"/>
          <w:sz w:val="18"/>
          <w:szCs w:val="18"/>
          <w:color w:val="auto"/>
        </w:rPr>
      </w:pPr>
      <w:r>
        <w:rPr>
          <w:rFonts w:ascii="Arial" w:cs="Arial" w:eastAsia="Arial" w:hAnsi="Arial"/>
          <w:sz w:val="18"/>
          <w:szCs w:val="18"/>
          <w:b w:val="1"/>
          <w:bCs w:val="1"/>
          <w:u w:val="single" w:color="auto"/>
          <w:color w:val="auto"/>
        </w:rPr>
        <w:t>WAIVER OF RIGHT TO TRIAL BY JURY</w:t>
      </w:r>
      <w:r>
        <w:rPr>
          <w:rFonts w:ascii="Arial" w:cs="Arial" w:eastAsia="Arial" w:hAnsi="Arial"/>
          <w:sz w:val="18"/>
          <w:szCs w:val="18"/>
          <w:b w:val="1"/>
          <w:bCs w:val="1"/>
          <w:color w:val="auto"/>
        </w:rPr>
        <w:t>. TO THE EXTENT PERMITTED BY APPLICABLE LAW, THE COMPANY AND EMPLOYEE HEREBY KNOWINGLY, VOLUNTARILY AND INTENTIONALLY WAIVE ANY RIGHT EITHER THEY OR THEIR HEIRS, EXECUTORS, ADMINISTRATORS, PERSONAL REPRESENTATIVES, SUCCESSORS OR ASSIGNS MAY HAVE TO A TRIAL BY JURY IN ANY LITIGATION BASED ON OR RELATING TO THIS AGREEMENT. BY WAIVING THE RIGHT TO A JURY TRIAL, NEITHER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4" w:right="239" w:bottom="1440" w:gutter="0" w:footer="0" w:header="0"/>
        </w:sectPr>
      </w:pPr>
    </w:p>
    <w:bookmarkStart w:id="60" w:name="page61"/>
    <w:bookmarkEnd w:id="60"/>
    <w:p>
      <w:pPr>
        <w:ind w:right="300"/>
        <w:spacing w:after="0" w:line="282" w:lineRule="auto"/>
        <w:rPr>
          <w:sz w:val="20"/>
          <w:szCs w:val="20"/>
          <w:color w:val="auto"/>
        </w:rPr>
      </w:pPr>
      <w:r>
        <w:rPr>
          <w:rFonts w:ascii="Arial" w:cs="Arial" w:eastAsia="Arial" w:hAnsi="Arial"/>
          <w:sz w:val="18"/>
          <w:szCs w:val="18"/>
          <w:b w:val="1"/>
          <w:bCs w:val="1"/>
          <w:color w:val="auto"/>
        </w:rPr>
        <w:t>PARTY IS WAIVING A RIGHT TO SUE THE OTHER; RATHER, THE PARTIES ARE SIMPLY WAIVING THE RIGHT TO HAVE A JURY DECIDE THE CASE.</w:t>
      </w:r>
    </w:p>
    <w:p>
      <w:pPr>
        <w:spacing w:after="0" w:line="162" w:lineRule="exact"/>
        <w:rPr>
          <w:sz w:val="20"/>
          <w:szCs w:val="20"/>
          <w:color w:val="auto"/>
        </w:rPr>
      </w:pPr>
    </w:p>
    <w:p>
      <w:pPr>
        <w:ind w:firstLine="656"/>
        <w:spacing w:after="0" w:line="256" w:lineRule="auto"/>
        <w:tabs>
          <w:tab w:leader="none" w:pos="1053" w:val="left"/>
        </w:tabs>
        <w:numPr>
          <w:ilvl w:val="1"/>
          <w:numId w:val="36"/>
        </w:numPr>
        <w:rPr>
          <w:rFonts w:ascii="Arial" w:cs="Arial" w:eastAsia="Arial" w:hAnsi="Arial"/>
          <w:sz w:val="18"/>
          <w:szCs w:val="18"/>
          <w:color w:val="auto"/>
        </w:rPr>
      </w:pPr>
      <w:r>
        <w:rPr>
          <w:rFonts w:ascii="Arial" w:cs="Arial" w:eastAsia="Arial" w:hAnsi="Arial"/>
          <w:sz w:val="18"/>
          <w:szCs w:val="18"/>
          <w:b w:val="1"/>
          <w:bCs w:val="1"/>
          <w:u w:val="single" w:color="auto"/>
          <w:color w:val="auto"/>
        </w:rPr>
        <w:t>LIMITATION ON DAMAGES</w:t>
      </w:r>
      <w:r>
        <w:rPr>
          <w:rFonts w:ascii="Arial" w:cs="Arial" w:eastAsia="Arial" w:hAnsi="Arial"/>
          <w:sz w:val="18"/>
          <w:szCs w:val="18"/>
          <w:b w:val="1"/>
          <w:bCs w:val="1"/>
          <w:color w:val="auto"/>
        </w:rPr>
        <w:t>. EMPLOYEE AGREES THAT, UNLESS PROHIBITED BY APPLICABLE LAW, AND EXCEPT AS EXPRESSLY AVAILABLE IN AN APPLICABLE FEDERAL, STATE OR LOCAL STATUTE OR ORDINANCE, EMPLOYEE’S REMEDY FOR BREACH OF THIS AGREEMENT OR ANY OTHER CLAIM OR CAUSE OF ACTION ARISING OUT OF EMPLOYEE’S EMPLOYMENT SHALL BE LIMITED TO ACTUAL ECONOMIC DAMAGES, AND EMPLOYEE SHALL NOT BE PERMITTED TO MAKE ANY CLAIM FOR OR RECOVER PUNITIVE, EXEMPLARY, COMPENSATORY (OTHER THAN BASED ON ACTUAL ECONOMIC LOSS), EMOTIONAL DISTRESS, OR SPECIAL DAMAGES.</w:t>
      </w:r>
    </w:p>
    <w:p>
      <w:pPr>
        <w:spacing w:after="0" w:line="191" w:lineRule="exact"/>
        <w:rPr>
          <w:rFonts w:ascii="Arial" w:cs="Arial" w:eastAsia="Arial" w:hAnsi="Arial"/>
          <w:sz w:val="18"/>
          <w:szCs w:val="18"/>
          <w:color w:val="auto"/>
        </w:rPr>
      </w:pPr>
    </w:p>
    <w:p>
      <w:pPr>
        <w:ind w:right="20" w:firstLine="188"/>
        <w:spacing w:after="0" w:line="271" w:lineRule="auto"/>
        <w:tabs>
          <w:tab w:leader="none" w:pos="585"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Jurisdiction; Costs</w:t>
      </w:r>
      <w:r>
        <w:rPr>
          <w:rFonts w:ascii="Arial" w:cs="Arial" w:eastAsia="Arial" w:hAnsi="Arial"/>
          <w:sz w:val="17"/>
          <w:szCs w:val="17"/>
          <w:color w:val="auto"/>
        </w:rPr>
        <w:t>. Litigation concerning this Agreement, if initiated by or on behalf of Employee, shall be brought only in a state court in Philadelphia County, Pennsylvania or federal court in the Eastern District of Pennsylvania, or, if initiated by the Company, in either such jurisdiction or (if different) in a jurisdiction in which Employee then resides or works. Employee consents to jurisdiction in any such jurisdiction, regardless of the location of Employee’s residence or place of business. Employee and the Company irrevocably waive any objection, including any objection to the laying of venue or based on the grounds of forum non conveniens, which Employee or the Company may now or hereafter have, to the bringing of any action or proceeding in any such jurisdiction. Employee and the Company acknowledge and agree that any service of legal process by mail constitutes proper legal service of process under applicable law in any such action or proceeding. In any such litigation, the prevailing party shall be entitled to reimbursement from the other party for all costs of defending or maintaining such action, including reasonable attorneys’ fees.</w:t>
      </w:r>
    </w:p>
    <w:p>
      <w:pPr>
        <w:spacing w:after="0" w:line="178" w:lineRule="exact"/>
        <w:rPr>
          <w:rFonts w:ascii="Arial" w:cs="Arial" w:eastAsia="Arial" w:hAnsi="Arial"/>
          <w:sz w:val="17"/>
          <w:szCs w:val="17"/>
          <w:color w:val="auto"/>
        </w:rPr>
      </w:pPr>
    </w:p>
    <w:p>
      <w:pPr>
        <w:ind w:right="280" w:firstLine="188"/>
        <w:spacing w:after="0" w:line="277" w:lineRule="auto"/>
        <w:tabs>
          <w:tab w:leader="none" w:pos="585"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interpreted and enforced in accordance with the substantive law of the Commonwealth of Pennsylvania, without regard to any choice-of-law doctrines.</w:t>
      </w:r>
    </w:p>
    <w:p>
      <w:pPr>
        <w:spacing w:after="0" w:line="170" w:lineRule="exact"/>
        <w:rPr>
          <w:rFonts w:ascii="Arial" w:cs="Arial" w:eastAsia="Arial" w:hAnsi="Arial"/>
          <w:sz w:val="18"/>
          <w:szCs w:val="18"/>
          <w:color w:val="auto"/>
        </w:rPr>
      </w:pPr>
    </w:p>
    <w:p>
      <w:pPr>
        <w:ind w:right="100" w:firstLine="656"/>
        <w:spacing w:after="0" w:line="308" w:lineRule="auto"/>
        <w:tabs>
          <w:tab w:leader="none" w:pos="1053" w:val="left"/>
        </w:tabs>
        <w:numPr>
          <w:ilvl w:val="1"/>
          <w:numId w:val="37"/>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All notices required or permitted to be given under this Agreement shall be in writing and shall be given: (a) by electronic mail or (b) by registered or certified first class mail (postage prepaid, return receipt requested) to the respective parties at the following addresses: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Philadelphia, PA 19103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corporate_legal@comcast.com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Employee: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Employee’s residence address and personal e-mail address as most recently indicated in the Company’s records.</w:t>
      </w:r>
    </w:p>
    <w:p>
      <w:pPr>
        <w:spacing w:after="0" w:line="225" w:lineRule="exact"/>
        <w:rPr>
          <w:sz w:val="20"/>
          <w:szCs w:val="20"/>
          <w:color w:val="auto"/>
        </w:rPr>
      </w:pPr>
    </w:p>
    <w:p>
      <w:pPr>
        <w:ind w:right="100" w:firstLine="656"/>
        <w:spacing w:after="0" w:line="257" w:lineRule="auto"/>
        <w:tabs>
          <w:tab w:leader="none" w:pos="1053"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Schedule 1 hereto) constitutes the entire agreement of the parties with respect to the subject matter hereof, and supersedes and replaces in its entirety the Employment Agreement dated as of December 22, 2014 between the parties (the “Prior Agreement”), provided that any accrued rights and obligations of the parties thereunder as of the date hereof shall be unaffected by the execution of this Agreement. In the event of any conflict between the terms of this Agreement and the terms of any plans or policies of the Company (including the Employee Handbook), the terms of this Agreement shall control.</w:t>
      </w:r>
    </w:p>
    <w:p>
      <w:pPr>
        <w:spacing w:after="0" w:line="188" w:lineRule="exact"/>
        <w:rPr>
          <w:rFonts w:ascii="Arial" w:cs="Arial" w:eastAsia="Arial" w:hAnsi="Arial"/>
          <w:sz w:val="18"/>
          <w:szCs w:val="18"/>
          <w:color w:val="auto"/>
        </w:rPr>
      </w:pPr>
    </w:p>
    <w:p>
      <w:pPr>
        <w:ind w:right="80" w:firstLine="656"/>
        <w:spacing w:after="0" w:line="264" w:lineRule="auto"/>
        <w:tabs>
          <w:tab w:leader="none" w:pos="1053"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Invalidity or Unenforceability</w:t>
      </w:r>
      <w:r>
        <w:rPr>
          <w:rFonts w:ascii="Arial" w:cs="Arial" w:eastAsia="Arial" w:hAnsi="Arial"/>
          <w:sz w:val="18"/>
          <w:szCs w:val="18"/>
          <w:color w:val="auto"/>
        </w:rPr>
        <w:t>. If any term or provision of this Agreement is held to be invalid or unenforceable for any reason, such invalidity or unenforceability shall not affect any other term or provision hereof and this Agreement shall continue in full force and effect as if such invalid or unenforceable term or provision (to the extent of the invalidity or unenforceability) had not been contained herein.</w:t>
      </w:r>
    </w:p>
    <w:p>
      <w:pPr>
        <w:spacing w:after="0" w:line="181" w:lineRule="exact"/>
        <w:rPr>
          <w:rFonts w:ascii="Arial" w:cs="Arial" w:eastAsia="Arial" w:hAnsi="Arial"/>
          <w:sz w:val="18"/>
          <w:szCs w:val="18"/>
          <w:color w:val="auto"/>
        </w:rPr>
      </w:pPr>
    </w:p>
    <w:p>
      <w:pPr>
        <w:ind w:right="80" w:firstLine="656"/>
        <w:spacing w:after="0" w:line="259" w:lineRule="auto"/>
        <w:tabs>
          <w:tab w:leader="none" w:pos="1053"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Amendments and Waivers</w:t>
      </w:r>
      <w:r>
        <w:rPr>
          <w:rFonts w:ascii="Arial" w:cs="Arial" w:eastAsia="Arial" w:hAnsi="Arial"/>
          <w:sz w:val="18"/>
          <w:szCs w:val="18"/>
          <w:color w:val="auto"/>
        </w:rPr>
        <w:t>. No amendment or waiver of this Agreement or any provision hereof shall be binding upon the party against whom enforcement of such amendment or waiver is sought unless it is made in writing and signed by or on behalf of such party. The waiver by either party of a breach of any provision of this Agreement by the other party shall not operate or be construed as a waiver or a continuing waiver by that party of the same or any subsequent breach of any provision of this Agreement by the other party.</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580" w:right="259" w:bottom="1440" w:gutter="0" w:footer="0" w:header="0"/>
        </w:sectPr>
      </w:pPr>
    </w:p>
    <w:bookmarkStart w:id="61" w:name="page62"/>
    <w:bookmarkEnd w:id="61"/>
    <w:p>
      <w:pPr>
        <w:ind w:left="-20" w:firstLine="188"/>
        <w:spacing w:after="0" w:line="264" w:lineRule="auto"/>
        <w:tabs>
          <w:tab w:leader="none" w:pos="565"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Binding Effect; No Assignment</w:t>
      </w:r>
      <w:r>
        <w:rPr>
          <w:rFonts w:ascii="Arial" w:cs="Arial" w:eastAsia="Arial" w:hAnsi="Arial"/>
          <w:sz w:val="18"/>
          <w:szCs w:val="18"/>
          <w:color w:val="auto"/>
        </w:rPr>
        <w:t>. This Agreement shall be binding on and inure to the benefit of the parties hereto and their respective heirs, executors, administrators, successors and assigns, except that (other than to effect the provisions of Paragraph 14) it may not be assigned by either party without the other party’s written consent.</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IN WITNESS WHEREOF, the parties hereto have executed and delivered this Agreement as of the date first-above written.</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Arthur R. Block</w:t>
      </w:r>
    </w:p>
    <w:p>
      <w:pPr>
        <w:spacing w:after="0" w:line="225"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April 25, 2017</w:t>
      </w:r>
    </w:p>
    <w:p>
      <w:pPr>
        <w:spacing w:after="0" w:line="200" w:lineRule="exact"/>
        <w:rPr>
          <w:sz w:val="20"/>
          <w:szCs w:val="20"/>
          <w:color w:val="auto"/>
        </w:rPr>
      </w:pPr>
    </w:p>
    <w:p>
      <w:pPr>
        <w:spacing w:after="0" w:line="241"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EMPLOYEE:</w:t>
      </w:r>
    </w:p>
    <w:p>
      <w:pPr>
        <w:spacing w:after="0" w:line="225" w:lineRule="exact"/>
        <w:rPr>
          <w:sz w:val="20"/>
          <w:szCs w:val="20"/>
          <w:color w:val="auto"/>
        </w:rPr>
      </w:pPr>
    </w:p>
    <w:p>
      <w:pPr>
        <w:ind w:left="3880"/>
        <w:spacing w:after="0"/>
        <w:rPr>
          <w:sz w:val="20"/>
          <w:szCs w:val="20"/>
          <w:color w:val="auto"/>
        </w:rPr>
      </w:pPr>
      <w:r>
        <w:rPr>
          <w:rFonts w:ascii="Arial" w:cs="Arial" w:eastAsia="Arial" w:hAnsi="Arial"/>
          <w:sz w:val="18"/>
          <w:szCs w:val="18"/>
          <w:u w:val="single" w:color="auto"/>
          <w:color w:val="auto"/>
        </w:rPr>
        <w:t>/s/ Neil Smit</w:t>
      </w:r>
    </w:p>
    <w:p>
      <w:pPr>
        <w:spacing w:after="0" w:line="23"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Neil Smit</w:t>
      </w:r>
    </w:p>
    <w:p>
      <w:pPr>
        <w:spacing w:after="0" w:line="211"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April 25,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60" w:top="801" w:right="239" w:bottom="1440" w:gutter="0" w:footer="0" w:header="0"/>
        </w:sectPr>
      </w:pPr>
    </w:p>
    <w:bookmarkStart w:id="62" w:name="page63"/>
    <w:bookmarkEnd w:id="62"/>
    <w:p>
      <w:pPr>
        <w:jc w:val="center"/>
        <w:ind w:right="-39"/>
        <w:spacing w:after="0"/>
        <w:rPr>
          <w:sz w:val="20"/>
          <w:szCs w:val="20"/>
          <w:color w:val="auto"/>
        </w:rPr>
      </w:pPr>
      <w:r>
        <w:rPr>
          <w:rFonts w:ascii="Arial" w:cs="Arial" w:eastAsia="Arial" w:hAnsi="Arial"/>
          <w:sz w:val="18"/>
          <w:szCs w:val="18"/>
          <w:u w:val="single" w:color="auto"/>
          <w:color w:val="auto"/>
        </w:rPr>
        <w:t>SCHEDULE 1</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LIMITED EXCLUSION NOTIFICATION</w:t>
      </w:r>
    </w:p>
    <w:p>
      <w:pPr>
        <w:spacing w:after="0" w:line="221" w:lineRule="exact"/>
        <w:rPr>
          <w:sz w:val="20"/>
          <w:szCs w:val="20"/>
          <w:color w:val="auto"/>
        </w:rPr>
      </w:pPr>
    </w:p>
    <w:p>
      <w:pPr>
        <w:jc w:val="both"/>
        <w:ind w:right="40"/>
        <w:spacing w:after="0" w:line="266" w:lineRule="auto"/>
        <w:rPr>
          <w:sz w:val="20"/>
          <w:szCs w:val="20"/>
          <w:color w:val="auto"/>
        </w:rPr>
      </w:pPr>
      <w:r>
        <w:rPr>
          <w:rFonts w:ascii="Arial" w:cs="Arial" w:eastAsia="Arial" w:hAnsi="Arial"/>
          <w:sz w:val="18"/>
          <w:szCs w:val="18"/>
          <w:b w:val="1"/>
          <w:bCs w:val="1"/>
          <w:color w:val="auto"/>
        </w:rPr>
        <w:t xml:space="preserve">THIS IS TO NOTIFY </w:t>
      </w:r>
      <w:r>
        <w:rPr>
          <w:rFonts w:ascii="Arial" w:cs="Arial" w:eastAsia="Arial" w:hAnsi="Arial"/>
          <w:sz w:val="18"/>
          <w:szCs w:val="18"/>
          <w:color w:val="auto"/>
        </w:rPr>
        <w:t>Employee in accordance with Section 2872 of the California Labor Code that this Agreement</w:t>
      </w:r>
      <w:r>
        <w:rPr>
          <w:rFonts w:ascii="Arial" w:cs="Arial" w:eastAsia="Arial" w:hAnsi="Arial"/>
          <w:sz w:val="18"/>
          <w:szCs w:val="18"/>
          <w:b w:val="1"/>
          <w:bCs w:val="1"/>
          <w:color w:val="auto"/>
        </w:rPr>
        <w:t xml:space="preserve"> does not </w:t>
      </w:r>
      <w:r>
        <w:rPr>
          <w:rFonts w:ascii="Arial" w:cs="Arial" w:eastAsia="Arial" w:hAnsi="Arial"/>
          <w:sz w:val="18"/>
          <w:szCs w:val="18"/>
          <w:color w:val="auto"/>
        </w:rPr>
        <w:t>require Employee to assign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offer to assign to the Company any invention that Employee developed entirely on Employee’s own time </w:t>
      </w:r>
      <w:r>
        <w:rPr>
          <w:rFonts w:ascii="Arial" w:cs="Arial" w:eastAsia="Arial" w:hAnsi="Arial"/>
          <w:sz w:val="18"/>
          <w:szCs w:val="18"/>
          <w:b w:val="1"/>
          <w:bCs w:val="1"/>
          <w:color w:val="auto"/>
        </w:rPr>
        <w:t>without using</w:t>
      </w:r>
      <w:r>
        <w:rPr>
          <w:rFonts w:ascii="Arial" w:cs="Arial" w:eastAsia="Arial" w:hAnsi="Arial"/>
          <w:sz w:val="18"/>
          <w:szCs w:val="18"/>
          <w:color w:val="auto"/>
        </w:rPr>
        <w:t xml:space="preserve"> the Company’s equipment, supplies, facilities or trade secret information </w:t>
      </w:r>
      <w:r>
        <w:rPr>
          <w:rFonts w:ascii="Arial" w:cs="Arial" w:eastAsia="Arial" w:hAnsi="Arial"/>
          <w:sz w:val="18"/>
          <w:szCs w:val="18"/>
          <w:b w:val="1"/>
          <w:bCs w:val="1"/>
          <w:color w:val="auto"/>
        </w:rPr>
        <w:t>except for</w:t>
      </w:r>
      <w:r>
        <w:rPr>
          <w:rFonts w:ascii="Arial" w:cs="Arial" w:eastAsia="Arial" w:hAnsi="Arial"/>
          <w:sz w:val="18"/>
          <w:szCs w:val="18"/>
          <w:color w:val="auto"/>
        </w:rPr>
        <w:t xml:space="preserve"> those inventions that </w:t>
      </w:r>
      <w:r>
        <w:rPr>
          <w:rFonts w:ascii="Arial" w:cs="Arial" w:eastAsia="Arial" w:hAnsi="Arial"/>
          <w:sz w:val="18"/>
          <w:szCs w:val="18"/>
          <w:b w:val="1"/>
          <w:bCs w:val="1"/>
          <w:color w:val="auto"/>
        </w:rPr>
        <w:t>either:</w:t>
      </w:r>
    </w:p>
    <w:p>
      <w:pPr>
        <w:spacing w:after="0" w:line="180" w:lineRule="exact"/>
        <w:rPr>
          <w:sz w:val="20"/>
          <w:szCs w:val="20"/>
          <w:color w:val="auto"/>
        </w:rPr>
      </w:pPr>
    </w:p>
    <w:p>
      <w:pPr>
        <w:ind w:left="980" w:right="40" w:hanging="324"/>
        <w:spacing w:after="0" w:line="277"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Relate at the time of conception or reduction to practice of the invention to the Company’s business, or actual demonstrably anticipated research or development of the Company; or</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Result from any work performed by you for the Company.</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 the extent a provision in this Agreement purports to require Employee to assign an invention otherwise excluded by the preceding paragraph, the provision is against the public policy of the State of California and is unenforceable therein.</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This limited exclusion does not apply to any patent or invention covered by a contract between the Company and the United States or any of its agencies requiring full title to such patent or invention to be in the United States.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584" w:right="25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COMCAST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This is a Restricted Stock Unit Award (the “Award”) dated _______________, 20__, from Comcast Corporation (the “Company”) to the</w:t>
      </w:r>
    </w:p>
    <w:p>
      <w:pPr>
        <w:spacing w:after="0" w:line="3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Grantee. The vesting of Restricted Stock Units is conditioned on the Grantee’s continuation in service from the Date of Grant through each applicable Vesting Date, and on the Company’s attainment of certain performance objectives, as further provided in this Award. The delivery of Shares under this Award is intended to constitute performance-based compensation, within the meaning of section 162(m) of the Code, and Treasury Regulations issued under section 162(m) of the Code.</w:t>
      </w:r>
    </w:p>
    <w:p>
      <w:pPr>
        <w:spacing w:after="0" w:line="217" w:lineRule="exact"/>
        <w:rPr>
          <w:sz w:val="20"/>
          <w:szCs w:val="20"/>
          <w:color w:val="auto"/>
        </w:rPr>
      </w:pPr>
    </w:p>
    <w:p>
      <w:pPr>
        <w:ind w:left="2080" w:hanging="775"/>
        <w:spacing w:after="0"/>
        <w:tabs>
          <w:tab w:leader="none" w:pos="2080"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Definitions</w:t>
      </w:r>
      <w:r>
        <w:rPr>
          <w:rFonts w:ascii="Arial" w:cs="Arial" w:eastAsia="Arial" w:hAnsi="Arial"/>
          <w:sz w:val="16"/>
          <w:szCs w:val="16"/>
          <w:color w:val="auto"/>
        </w:rPr>
        <w:t>. Capitalized terms used herein are defined below or, if not defined below, have the meanings given to them in the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266" w:lineRule="exact"/>
        <w:rPr>
          <w:sz w:val="20"/>
          <w:szCs w:val="20"/>
          <w:color w:val="auto"/>
        </w:rPr>
      </w:pPr>
    </w:p>
    <w:p>
      <w:pPr>
        <w:ind w:right="320" w:firstLine="1953"/>
        <w:spacing w:after="0" w:line="306" w:lineRule="auto"/>
        <w:tabs>
          <w:tab w:leader="none" w:pos="2793" w:val="left"/>
        </w:tabs>
        <w:numPr>
          <w:ilvl w:val="1"/>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w:t>
      </w:r>
      <w:r>
        <w:rPr>
          <w:rFonts w:ascii="Arial" w:cs="Arial" w:eastAsia="Arial" w:hAnsi="Arial"/>
          <w:sz w:val="18"/>
          <w:szCs w:val="18"/>
          <w:color w:val="auto"/>
        </w:rPr>
        <w:t>” means an unfunded bookkeeping account established pursuant to Paragraph 6(e) and maintained by the Committee in the name of Grantee (a) to which Deferred Stock Units are deemed credited and (b) to which an amount equal to the Fair Market Value of Deferred Stock Units with respect to which a Diversification Election has been made and interest thereon are deemed credited, reduced by distributions in accordance with the Plan.</w:t>
      </w:r>
    </w:p>
    <w:p>
      <w:pPr>
        <w:spacing w:after="0" w:line="186" w:lineRule="exact"/>
        <w:rPr>
          <w:rFonts w:ascii="Arial" w:cs="Arial" w:eastAsia="Arial" w:hAnsi="Arial"/>
          <w:sz w:val="18"/>
          <w:szCs w:val="18"/>
          <w:color w:val="auto"/>
        </w:rPr>
      </w:pPr>
    </w:p>
    <w:p>
      <w:pPr>
        <w:ind w:left="2820" w:hanging="867"/>
        <w:spacing w:after="0"/>
        <w:tabs>
          <w:tab w:leader="none" w:pos="28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the award of Restricted Stock Units hereby granted.</w:t>
      </w:r>
    </w:p>
    <w:p>
      <w:pPr>
        <w:spacing w:after="0" w:line="265" w:lineRule="exact"/>
        <w:rPr>
          <w:rFonts w:ascii="Arial" w:cs="Arial" w:eastAsia="Arial" w:hAnsi="Arial"/>
          <w:sz w:val="18"/>
          <w:szCs w:val="18"/>
          <w:color w:val="auto"/>
        </w:rPr>
      </w:pPr>
    </w:p>
    <w:p>
      <w:pPr>
        <w:ind w:left="2800" w:hanging="847"/>
        <w:spacing w:after="0"/>
        <w:tabs>
          <w:tab w:leader="none" w:pos="28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65" w:lineRule="exact"/>
        <w:rPr>
          <w:rFonts w:ascii="Arial" w:cs="Arial" w:eastAsia="Arial" w:hAnsi="Arial"/>
          <w:sz w:val="18"/>
          <w:szCs w:val="18"/>
          <w:color w:val="auto"/>
        </w:rPr>
      </w:pPr>
    </w:p>
    <w:p>
      <w:pPr>
        <w:ind w:left="2820" w:hanging="867"/>
        <w:spacing w:after="0"/>
        <w:tabs>
          <w:tab w:leader="none" w:pos="2820" w:val="left"/>
        </w:tabs>
        <w:numPr>
          <w:ilvl w:val="1"/>
          <w:numId w:val="4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Cause</w:t>
      </w:r>
      <w:r>
        <w:rPr>
          <w:rFonts w:ascii="Arial" w:cs="Arial" w:eastAsia="Arial" w:hAnsi="Arial"/>
          <w:sz w:val="16"/>
          <w:szCs w:val="16"/>
          <w:color w:val="auto"/>
        </w:rPr>
        <w:t>” means (i) fraud; (ii) misappropriation; (iii) embezzlement; (iv) gross negligence in the performance of duties;</w:t>
      </w:r>
    </w:p>
    <w:p>
      <w:pPr>
        <w:spacing w:after="0" w:line="72" w:lineRule="exact"/>
        <w:rPr>
          <w:rFonts w:ascii="Arial" w:cs="Arial" w:eastAsia="Arial" w:hAnsi="Arial"/>
          <w:sz w:val="16"/>
          <w:szCs w:val="16"/>
          <w:color w:val="auto"/>
        </w:rPr>
      </w:pPr>
    </w:p>
    <w:p>
      <w:pPr>
        <w:ind w:right="140" w:firstLine="8"/>
        <w:spacing w:after="0" w:line="306" w:lineRule="auto"/>
        <w:tabs>
          <w:tab w:leader="none" w:pos="2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self-dealing; (vi) dishonesty; (vii) misrepresentation; (viii) conviction of a crime of a felony; (ix) material violation of any Company policy; (x) material violation of the Company’s Code of Ethics and Business Conduct or, (xi) in the case of an employee of a Company who is a party to an employment agreement with a Company, material breach of such agreement; provided that as to items (ix), (x) and (xi), if capable of being cured, such event or condition remains uncured following 30 days written notice thereof.</w:t>
      </w:r>
    </w:p>
    <w:p>
      <w:pPr>
        <w:spacing w:after="0" w:line="186" w:lineRule="exact"/>
        <w:rPr>
          <w:rFonts w:ascii="Arial" w:cs="Arial" w:eastAsia="Arial" w:hAnsi="Arial"/>
          <w:sz w:val="18"/>
          <w:szCs w:val="18"/>
          <w:color w:val="auto"/>
        </w:rPr>
      </w:pPr>
    </w:p>
    <w:p>
      <w:pPr>
        <w:ind w:left="2800" w:hanging="847"/>
        <w:spacing w:after="0"/>
        <w:tabs>
          <w:tab w:leader="none" w:pos="28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65" w:lineRule="exact"/>
        <w:rPr>
          <w:rFonts w:ascii="Arial" w:cs="Arial" w:eastAsia="Arial" w:hAnsi="Arial"/>
          <w:sz w:val="18"/>
          <w:szCs w:val="18"/>
          <w:color w:val="auto"/>
        </w:rPr>
      </w:pPr>
    </w:p>
    <w:p>
      <w:pPr>
        <w:ind w:left="2780" w:hanging="827"/>
        <w:spacing w:after="0"/>
        <w:tabs>
          <w:tab w:leader="none" w:pos="27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 or its delegate.</w:t>
      </w:r>
    </w:p>
    <w:p>
      <w:pPr>
        <w:spacing w:after="0" w:line="265" w:lineRule="exact"/>
        <w:rPr>
          <w:rFonts w:ascii="Arial" w:cs="Arial" w:eastAsia="Arial" w:hAnsi="Arial"/>
          <w:sz w:val="18"/>
          <w:szCs w:val="18"/>
          <w:color w:val="auto"/>
        </w:rPr>
      </w:pPr>
    </w:p>
    <w:p>
      <w:pPr>
        <w:ind w:left="2820" w:hanging="867"/>
        <w:spacing w:after="0"/>
        <w:tabs>
          <w:tab w:leader="none" w:pos="2820" w:val="left"/>
        </w:tabs>
        <w:numPr>
          <w:ilvl w:val="1"/>
          <w:numId w:val="4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Date of Grant</w:t>
      </w:r>
      <w:r>
        <w:rPr>
          <w:rFonts w:ascii="Arial" w:cs="Arial" w:eastAsia="Arial" w:hAnsi="Arial"/>
          <w:sz w:val="17"/>
          <w:szCs w:val="17"/>
          <w:color w:val="auto"/>
        </w:rPr>
        <w:t>” means the date first set forth above, on which the Company awarded the Restricted Stock Units.</w:t>
      </w:r>
    </w:p>
    <w:p>
      <w:pPr>
        <w:spacing w:after="0" w:line="277" w:lineRule="exact"/>
        <w:rPr>
          <w:rFonts w:ascii="Arial" w:cs="Arial" w:eastAsia="Arial" w:hAnsi="Arial"/>
          <w:sz w:val="17"/>
          <w:szCs w:val="17"/>
          <w:color w:val="auto"/>
        </w:rPr>
      </w:pPr>
    </w:p>
    <w:p>
      <w:pPr>
        <w:ind w:left="2820" w:hanging="867"/>
        <w:spacing w:after="0"/>
        <w:tabs>
          <w:tab w:leader="none" w:pos="28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Deferred Stock Units</w:t>
      </w:r>
      <w:r>
        <w:rPr>
          <w:rFonts w:ascii="Arial" w:cs="Arial" w:eastAsia="Arial" w:hAnsi="Arial"/>
          <w:sz w:val="18"/>
          <w:szCs w:val="18"/>
          <w:color w:val="auto"/>
        </w:rPr>
        <w:t>” means the number of hypothetical Shares subject to an Election.</w:t>
      </w:r>
    </w:p>
    <w:p>
      <w:pPr>
        <w:spacing w:after="0" w:line="265" w:lineRule="exact"/>
        <w:rPr>
          <w:rFonts w:ascii="Arial" w:cs="Arial" w:eastAsia="Arial" w:hAnsi="Arial"/>
          <w:sz w:val="18"/>
          <w:szCs w:val="18"/>
          <w:color w:val="auto"/>
        </w:rPr>
      </w:pPr>
    </w:p>
    <w:p>
      <w:pPr>
        <w:ind w:left="2780" w:hanging="827"/>
        <w:spacing w:after="0"/>
        <w:tabs>
          <w:tab w:leader="none" w:pos="27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Disabled Grantee</w:t>
      </w:r>
      <w:r>
        <w:rPr>
          <w:rFonts w:ascii="Arial" w:cs="Arial" w:eastAsia="Arial" w:hAnsi="Arial"/>
          <w:sz w:val="18"/>
          <w:szCs w:val="18"/>
          <w:color w:val="auto"/>
        </w:rPr>
        <w:t>” means:</w:t>
      </w:r>
    </w:p>
    <w:p>
      <w:pPr>
        <w:spacing w:after="0" w:line="265" w:lineRule="exact"/>
        <w:rPr>
          <w:rFonts w:ascii="Arial" w:cs="Arial" w:eastAsia="Arial" w:hAnsi="Arial"/>
          <w:sz w:val="18"/>
          <w:szCs w:val="18"/>
          <w:color w:val="auto"/>
        </w:rPr>
      </w:pPr>
    </w:p>
    <w:p>
      <w:pPr>
        <w:ind w:left="3460" w:hanging="859"/>
        <w:spacing w:after="0"/>
        <w:tabs>
          <w:tab w:leader="none" w:pos="3460" w:val="left"/>
        </w:tabs>
        <w:numPr>
          <w:ilvl w:val="2"/>
          <w:numId w:val="43"/>
        </w:numPr>
        <w:rPr>
          <w:rFonts w:ascii="Arial" w:cs="Arial" w:eastAsia="Arial" w:hAnsi="Arial"/>
          <w:sz w:val="18"/>
          <w:szCs w:val="18"/>
          <w:color w:val="auto"/>
        </w:rPr>
      </w:pPr>
      <w:r>
        <w:rPr>
          <w:rFonts w:ascii="Arial" w:cs="Arial" w:eastAsia="Arial" w:hAnsi="Arial"/>
          <w:sz w:val="18"/>
          <w:szCs w:val="18"/>
          <w:color w:val="auto"/>
        </w:rPr>
        <w:t>Grantee, if Grantee’s employment by a Participating Company terminates by reason of Disability; or</w:t>
      </w:r>
    </w:p>
    <w:p>
      <w:pPr>
        <w:spacing w:after="0" w:line="265" w:lineRule="exact"/>
        <w:rPr>
          <w:rFonts w:ascii="Arial" w:cs="Arial" w:eastAsia="Arial" w:hAnsi="Arial"/>
          <w:sz w:val="18"/>
          <w:szCs w:val="18"/>
          <w:color w:val="auto"/>
        </w:rPr>
      </w:pPr>
    </w:p>
    <w:p>
      <w:pPr>
        <w:ind w:left="3460" w:hanging="859"/>
        <w:spacing w:after="0"/>
        <w:tabs>
          <w:tab w:leader="none" w:pos="3460" w:val="left"/>
        </w:tabs>
        <w:numPr>
          <w:ilvl w:val="2"/>
          <w:numId w:val="43"/>
        </w:numPr>
        <w:rPr>
          <w:rFonts w:ascii="Arial" w:cs="Arial" w:eastAsia="Arial" w:hAnsi="Arial"/>
          <w:sz w:val="17"/>
          <w:szCs w:val="17"/>
          <w:color w:val="auto"/>
        </w:rPr>
      </w:pPr>
      <w:r>
        <w:rPr>
          <w:rFonts w:ascii="Arial" w:cs="Arial" w:eastAsia="Arial" w:hAnsi="Arial"/>
          <w:sz w:val="17"/>
          <w:szCs w:val="17"/>
          <w:color w:val="auto"/>
        </w:rPr>
        <w:t>Grantee’s duly-appointed legal guardian following Grantee’s termination of employment by reason of</w:t>
      </w:r>
    </w:p>
    <w:p>
      <w:pPr>
        <w:spacing w:after="0" w:line="6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Disability, acting on Grantee’s behalf.</w:t>
      </w:r>
    </w:p>
    <w:p>
      <w:pPr>
        <w:spacing w:after="0" w:line="265" w:lineRule="exact"/>
        <w:rPr>
          <w:rFonts w:ascii="Arial" w:cs="Arial" w:eastAsia="Arial" w:hAnsi="Arial"/>
          <w:sz w:val="17"/>
          <w:szCs w:val="17"/>
          <w:color w:val="auto"/>
        </w:rPr>
      </w:pPr>
    </w:p>
    <w:p>
      <w:pPr>
        <w:ind w:left="2780" w:hanging="827"/>
        <w:spacing w:after="0"/>
        <w:tabs>
          <w:tab w:leader="none" w:pos="2780" w:val="left"/>
        </w:tabs>
        <w:numPr>
          <w:ilvl w:val="1"/>
          <w:numId w:val="4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Employer</w:t>
      </w:r>
      <w:r>
        <w:rPr>
          <w:rFonts w:ascii="Arial" w:cs="Arial" w:eastAsia="Arial" w:hAnsi="Arial"/>
          <w:sz w:val="16"/>
          <w:szCs w:val="16"/>
          <w:color w:val="auto"/>
        </w:rPr>
        <w:t>” means the Company or the subsidiary or affiliate of the Company for which Grantee is performing services</w:t>
      </w:r>
    </w:p>
    <w:p>
      <w:pPr>
        <w:spacing w:after="0" w:line="7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on the Vesting Date.</w:t>
      </w:r>
    </w:p>
    <w:p>
      <w:pPr>
        <w:spacing w:after="0" w:line="265" w:lineRule="exact"/>
        <w:rPr>
          <w:rFonts w:ascii="Arial" w:cs="Arial" w:eastAsia="Arial" w:hAnsi="Arial"/>
          <w:sz w:val="16"/>
          <w:szCs w:val="16"/>
          <w:color w:val="auto"/>
        </w:rPr>
      </w:pPr>
    </w:p>
    <w:p>
      <w:pPr>
        <w:ind w:left="2820" w:hanging="867"/>
        <w:spacing w:after="0"/>
        <w:tabs>
          <w:tab w:leader="none" w:pos="2820" w:val="left"/>
        </w:tabs>
        <w:numPr>
          <w:ilvl w:val="1"/>
          <w:numId w:val="4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Grantee</w:t>
      </w:r>
      <w:r>
        <w:rPr>
          <w:rFonts w:ascii="Arial" w:cs="Arial" w:eastAsia="Arial" w:hAnsi="Arial"/>
          <w:sz w:val="17"/>
          <w:szCs w:val="17"/>
          <w:color w:val="auto"/>
        </w:rPr>
        <w:t>” means the individual to whom this Award has been granted as identified on the attached Long-Term</w:t>
      </w:r>
    </w:p>
    <w:p>
      <w:pPr>
        <w:spacing w:after="0" w:line="6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Incentive Awards Summary Schedule.</w:t>
      </w:r>
    </w:p>
    <w:p>
      <w:pPr>
        <w:spacing w:after="0" w:line="265" w:lineRule="exact"/>
        <w:rPr>
          <w:rFonts w:ascii="Arial" w:cs="Arial" w:eastAsia="Arial" w:hAnsi="Arial"/>
          <w:sz w:val="17"/>
          <w:szCs w:val="17"/>
          <w:color w:val="auto"/>
        </w:rPr>
      </w:pPr>
    </w:p>
    <w:p>
      <w:pPr>
        <w:ind w:left="2780" w:hanging="827"/>
        <w:spacing w:after="0"/>
        <w:tabs>
          <w:tab w:leader="none" w:pos="27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HSR Act</w:t>
      </w:r>
      <w:r>
        <w:rPr>
          <w:rFonts w:ascii="Arial" w:cs="Arial" w:eastAsia="Arial" w:hAnsi="Arial"/>
          <w:sz w:val="18"/>
          <w:szCs w:val="18"/>
          <w:color w:val="auto"/>
        </w:rPr>
        <w:t>” means the Hart-Scott-Rodino Antitrust Improvements Act of 1976, as amended.</w:t>
      </w:r>
    </w:p>
    <w:p>
      <w:pPr>
        <w:sectPr>
          <w:pgSz w:w="11900" w:h="16838" w:orient="portrait"/>
          <w:cols w:equalWidth="0" w:num="1">
            <w:col w:w="11420"/>
          </w:cols>
          <w:pgMar w:left="240" w:top="1013" w:right="2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013" w:right="239" w:bottom="1440" w:gutter="0" w:footer="0" w:header="0"/>
          <w:type w:val="continuous"/>
        </w:sectPr>
      </w:pPr>
    </w:p>
    <w:bookmarkStart w:id="64" w:name="page65"/>
    <w:bookmarkEnd w:id="64"/>
    <w:p>
      <w:pPr>
        <w:ind w:right="380" w:firstLine="1953"/>
        <w:spacing w:after="0" w:line="324" w:lineRule="auto"/>
        <w:tabs>
          <w:tab w:leader="none" w:pos="2853" w:val="left"/>
        </w:tabs>
        <w:numPr>
          <w:ilvl w:val="0"/>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Long-Term Incentive Awards Summary Schedule</w:t>
      </w:r>
      <w:r>
        <w:rPr>
          <w:rFonts w:ascii="Arial" w:cs="Arial" w:eastAsia="Arial" w:hAnsi="Arial"/>
          <w:sz w:val="18"/>
          <w:szCs w:val="18"/>
          <w:color w:val="auto"/>
        </w:rPr>
        <w:t>” means the schedule attached hereto, which sets forth specific information relating to the grant and vesting of this Award.</w:t>
      </w:r>
    </w:p>
    <w:p>
      <w:pPr>
        <w:spacing w:after="0" w:line="170" w:lineRule="exact"/>
        <w:rPr>
          <w:rFonts w:ascii="Arial" w:cs="Arial" w:eastAsia="Arial" w:hAnsi="Arial"/>
          <w:sz w:val="18"/>
          <w:szCs w:val="18"/>
          <w:color w:val="auto"/>
        </w:rPr>
      </w:pPr>
    </w:p>
    <w:p>
      <w:pPr>
        <w:ind w:right="240" w:firstLine="1953"/>
        <w:spacing w:after="0" w:line="324" w:lineRule="auto"/>
        <w:tabs>
          <w:tab w:leader="none" w:pos="2803" w:val="left"/>
        </w:tabs>
        <w:numPr>
          <w:ilvl w:val="0"/>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Normal Retirement</w:t>
      </w:r>
      <w:r>
        <w:rPr>
          <w:rFonts w:ascii="Arial" w:cs="Arial" w:eastAsia="Arial" w:hAnsi="Arial"/>
          <w:sz w:val="18"/>
          <w:szCs w:val="18"/>
          <w:color w:val="auto"/>
        </w:rPr>
        <w:t>” means Grantee’s termination of employment that is treated by the Participating Company as a retirement under its employment policies and practices as in effect from time to time.</w:t>
      </w:r>
    </w:p>
    <w:p>
      <w:pPr>
        <w:spacing w:after="0" w:line="170" w:lineRule="exact"/>
        <w:rPr>
          <w:rFonts w:ascii="Arial" w:cs="Arial" w:eastAsia="Arial" w:hAnsi="Arial"/>
          <w:sz w:val="18"/>
          <w:szCs w:val="18"/>
          <w:color w:val="auto"/>
        </w:rPr>
      </w:pPr>
    </w:p>
    <w:p>
      <w:pPr>
        <w:ind w:left="2820" w:hanging="867"/>
        <w:spacing w:after="0"/>
        <w:tabs>
          <w:tab w:leader="none" w:pos="2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Operating Cash Flow</w:t>
      </w:r>
      <w:r>
        <w:rPr>
          <w:rFonts w:ascii="Arial" w:cs="Arial" w:eastAsia="Arial" w:hAnsi="Arial"/>
          <w:sz w:val="18"/>
          <w:szCs w:val="18"/>
          <w:color w:val="auto"/>
        </w:rPr>
        <w:t>.”</w:t>
      </w:r>
    </w:p>
    <w:p>
      <w:pPr>
        <w:spacing w:after="0" w:line="265" w:lineRule="exact"/>
        <w:rPr>
          <w:rFonts w:ascii="Arial" w:cs="Arial" w:eastAsia="Arial" w:hAnsi="Arial"/>
          <w:sz w:val="18"/>
          <w:szCs w:val="18"/>
          <w:color w:val="auto"/>
        </w:rPr>
      </w:pPr>
    </w:p>
    <w:p>
      <w:pPr>
        <w:ind w:right="360" w:firstLine="2601"/>
        <w:spacing w:after="0" w:line="311" w:lineRule="auto"/>
        <w:tabs>
          <w:tab w:leader="none" w:pos="3676" w:val="left"/>
        </w:tabs>
        <w:numPr>
          <w:ilvl w:val="1"/>
          <w:numId w:val="44"/>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In general, “Operating Cash Flow” means operating income before depreciation and amortization for the Company and those of its affiliates that are included with the Company in its consolidated financial statements, as determined by the Committee.</w:t>
      </w:r>
    </w:p>
    <w:p>
      <w:pPr>
        <w:spacing w:after="0" w:line="181" w:lineRule="exact"/>
        <w:rPr>
          <w:rFonts w:ascii="Arial" w:cs="Arial" w:eastAsia="Arial" w:hAnsi="Arial"/>
          <w:sz w:val="18"/>
          <w:szCs w:val="18"/>
          <w:color w:val="auto"/>
        </w:rPr>
      </w:pPr>
    </w:p>
    <w:p>
      <w:pPr>
        <w:ind w:right="20" w:firstLine="2601"/>
        <w:spacing w:after="0" w:line="320" w:lineRule="auto"/>
        <w:tabs>
          <w:tab w:leader="none" w:pos="3676" w:val="left"/>
        </w:tabs>
        <w:numPr>
          <w:ilvl w:val="1"/>
          <w:numId w:val="44"/>
        </w:numPr>
        <w:rPr>
          <w:rFonts w:ascii="Arial" w:cs="Arial" w:eastAsia="Arial" w:hAnsi="Arial"/>
          <w:sz w:val="17"/>
          <w:szCs w:val="17"/>
          <w:color w:val="auto"/>
        </w:rPr>
      </w:pPr>
      <w:r>
        <w:rPr>
          <w:rFonts w:ascii="Arial" w:cs="Arial" w:eastAsia="Arial" w:hAnsi="Arial"/>
          <w:sz w:val="17"/>
          <w:szCs w:val="17"/>
          <w:u w:val="single" w:color="auto"/>
          <w:color w:val="auto"/>
        </w:rPr>
        <w:t>Comparability of Operating Cash Flow Between Performance Periods</w:t>
      </w:r>
      <w:r>
        <w:rPr>
          <w:rFonts w:ascii="Arial" w:cs="Arial" w:eastAsia="Arial" w:hAnsi="Arial"/>
          <w:sz w:val="17"/>
          <w:szCs w:val="17"/>
          <w:color w:val="auto"/>
        </w:rPr>
        <w:t>. With respect to any Performance Goal applicable to this Award, in the event there is a significant acquisition or disposition of any assets, business division, company or other business operations of the Company that is reasonably expected to have an effect on Operating Cash Flow, the Committee shall adjust the Operating Cash Flow for the prior Performance Period and the Performance Period to which the performance condition applies to take into account the impact of such acquisition or disposition on a pro forma basis such that the measurement of Operating Cash Flow for the Performance Period to which the performance condition applies is comparable to that for the prior Performance Period. Such adjustment shall be based upon the historical equivalent of Operating Cash Flow of the assets so acquired or disposed of for the prior Performance Period, as shown by such records as are available to the Company, as further adjusted to reflect any aspects of the transaction that should be taken into account to ensure comparability between amounts in the prior Performance Period and the Performance Period to which the performance condition applies.</w:t>
      </w:r>
    </w:p>
    <w:p>
      <w:pPr>
        <w:spacing w:after="0" w:line="179" w:lineRule="exact"/>
        <w:rPr>
          <w:rFonts w:ascii="Arial" w:cs="Arial" w:eastAsia="Arial" w:hAnsi="Arial"/>
          <w:sz w:val="17"/>
          <w:szCs w:val="17"/>
          <w:color w:val="auto"/>
        </w:rPr>
      </w:pPr>
    </w:p>
    <w:p>
      <w:pPr>
        <w:ind w:left="2820" w:hanging="867"/>
        <w:spacing w:after="0"/>
        <w:tabs>
          <w:tab w:leader="none" w:pos="2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Goal</w:t>
      </w:r>
      <w:r>
        <w:rPr>
          <w:rFonts w:ascii="Arial" w:cs="Arial" w:eastAsia="Arial" w:hAnsi="Arial"/>
          <w:sz w:val="18"/>
          <w:szCs w:val="18"/>
          <w:color w:val="auto"/>
        </w:rPr>
        <w:t>” means each of the following Tiered Performance Goals:</w:t>
      </w:r>
    </w:p>
    <w:p>
      <w:pPr>
        <w:spacing w:after="0" w:line="265" w:lineRule="exact"/>
        <w:rPr>
          <w:rFonts w:ascii="Arial" w:cs="Arial" w:eastAsia="Arial" w:hAnsi="Arial"/>
          <w:sz w:val="18"/>
          <w:szCs w:val="18"/>
          <w:color w:val="auto"/>
        </w:rPr>
      </w:pPr>
    </w:p>
    <w:p>
      <w:pPr>
        <w:ind w:left="3680" w:hanging="1079"/>
        <w:spacing w:after="0"/>
        <w:tabs>
          <w:tab w:leader="none" w:pos="3680" w:val="left"/>
        </w:tabs>
        <w:numPr>
          <w:ilvl w:val="1"/>
          <w:numId w:val="44"/>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u w:val="single" w:color="auto"/>
          <w:color w:val="auto"/>
        </w:rPr>
        <w:t>Tier One Performance Goal</w:t>
      </w:r>
      <w:r>
        <w:rPr>
          <w:rFonts w:ascii="Arial" w:cs="Arial" w:eastAsia="Arial" w:hAnsi="Arial"/>
          <w:sz w:val="16"/>
          <w:szCs w:val="16"/>
          <w:color w:val="auto"/>
        </w:rPr>
        <w:t xml:space="preserve"> is achieved if Operating Cash Flow for a Performance Period is at least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[__] percent but less than [__] percent of Operating Cash Flow for the immediately preceding 12-consecutive month period;</w:t>
      </w:r>
    </w:p>
    <w:p>
      <w:pPr>
        <w:spacing w:after="0" w:line="266" w:lineRule="exact"/>
        <w:rPr>
          <w:sz w:val="20"/>
          <w:szCs w:val="20"/>
          <w:color w:val="auto"/>
        </w:rPr>
      </w:pPr>
    </w:p>
    <w:p>
      <w:pPr>
        <w:ind w:right="360" w:firstLine="2601"/>
        <w:spacing w:after="0" w:line="311" w:lineRule="auto"/>
        <w:tabs>
          <w:tab w:leader="none" w:pos="3673" w:val="left"/>
        </w:tabs>
        <w:numPr>
          <w:ilvl w:val="1"/>
          <w:numId w:val="45"/>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u w:val="single" w:color="auto"/>
          <w:color w:val="auto"/>
        </w:rPr>
        <w:t>Tier Two Performance Goal</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Target Performance Goal</w:t>
      </w:r>
      <w:r>
        <w:rPr>
          <w:rFonts w:ascii="Arial" w:cs="Arial" w:eastAsia="Arial" w:hAnsi="Arial"/>
          <w:sz w:val="18"/>
          <w:szCs w:val="18"/>
          <w:color w:val="auto"/>
        </w:rPr>
        <w:t xml:space="preserve"> is achieved if Operating Cash Flow for a Performance Period is at least [__] percent but not more than [__] percent of Operating Cash Flow for the immediately preceding 12-consecutive month period;</w:t>
      </w:r>
    </w:p>
    <w:p>
      <w:pPr>
        <w:spacing w:after="0" w:line="181" w:lineRule="exact"/>
        <w:rPr>
          <w:rFonts w:ascii="Arial" w:cs="Arial" w:eastAsia="Arial" w:hAnsi="Arial"/>
          <w:sz w:val="18"/>
          <w:szCs w:val="18"/>
          <w:color w:val="auto"/>
        </w:rPr>
      </w:pPr>
    </w:p>
    <w:p>
      <w:pPr>
        <w:ind w:right="320" w:firstLine="2601"/>
        <w:spacing w:after="0" w:line="324" w:lineRule="auto"/>
        <w:tabs>
          <w:tab w:leader="none" w:pos="3673" w:val="left"/>
        </w:tabs>
        <w:numPr>
          <w:ilvl w:val="1"/>
          <w:numId w:val="45"/>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u w:val="single" w:color="auto"/>
          <w:color w:val="auto"/>
        </w:rPr>
        <w:t>Tier Three Performance Goal</w:t>
      </w:r>
      <w:r>
        <w:rPr>
          <w:rFonts w:ascii="Arial" w:cs="Arial" w:eastAsia="Arial" w:hAnsi="Arial"/>
          <w:sz w:val="18"/>
          <w:szCs w:val="18"/>
          <w:color w:val="auto"/>
        </w:rPr>
        <w:t xml:space="preserve"> is achieved if Operating Cash Flow for a Performance Period is [__] percent or more of Operating Cash Flow for the immediately preceding 12-consecutive month period.</w:t>
      </w:r>
    </w:p>
    <w:p>
      <w:pPr>
        <w:spacing w:after="0" w:line="170" w:lineRule="exact"/>
        <w:rPr>
          <w:rFonts w:ascii="Arial" w:cs="Arial" w:eastAsia="Arial" w:hAnsi="Arial"/>
          <w:sz w:val="18"/>
          <w:szCs w:val="18"/>
          <w:color w:val="auto"/>
        </w:rPr>
      </w:pPr>
    </w:p>
    <w:p>
      <w:pPr>
        <w:ind w:firstLine="1953"/>
        <w:spacing w:after="0" w:line="324" w:lineRule="auto"/>
        <w:tabs>
          <w:tab w:leader="none" w:pos="2803" w:val="left"/>
        </w:tabs>
        <w:numPr>
          <w:ilvl w:val="0"/>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Period</w:t>
      </w:r>
      <w:r>
        <w:rPr>
          <w:rFonts w:ascii="Arial" w:cs="Arial" w:eastAsia="Arial" w:hAnsi="Arial"/>
          <w:sz w:val="18"/>
          <w:szCs w:val="18"/>
          <w:color w:val="auto"/>
        </w:rPr>
        <w:t>” means the calendar year, so such other period of at least 12 months designated in the Long-Term Incentive Awards Summary Schedule during which a Grantee may earn Performance-Based Compensation..</w:t>
      </w:r>
    </w:p>
    <w:p>
      <w:pPr>
        <w:spacing w:after="0" w:line="170" w:lineRule="exact"/>
        <w:rPr>
          <w:rFonts w:ascii="Arial" w:cs="Arial" w:eastAsia="Arial" w:hAnsi="Arial"/>
          <w:sz w:val="18"/>
          <w:szCs w:val="18"/>
          <w:color w:val="auto"/>
        </w:rPr>
      </w:pPr>
    </w:p>
    <w:p>
      <w:pPr>
        <w:ind w:left="2780" w:hanging="827"/>
        <w:spacing w:after="0"/>
        <w:tabs>
          <w:tab w:leader="none" w:pos="2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the Comcast Corporation 2002 Restricted Stock Plan, incorporated herein by reference.</w:t>
      </w:r>
    </w:p>
    <w:p>
      <w:pPr>
        <w:spacing w:after="0" w:line="265" w:lineRule="exact"/>
        <w:rPr>
          <w:rFonts w:ascii="Arial" w:cs="Arial" w:eastAsia="Arial" w:hAnsi="Arial"/>
          <w:sz w:val="18"/>
          <w:szCs w:val="18"/>
          <w:color w:val="auto"/>
        </w:rPr>
      </w:pPr>
    </w:p>
    <w:p>
      <w:pPr>
        <w:ind w:left="2800" w:hanging="847"/>
        <w:spacing w:after="0"/>
        <w:tabs>
          <w:tab w:leader="none" w:pos="28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Period</w:t>
      </w:r>
      <w:r>
        <w:rPr>
          <w:rFonts w:ascii="Arial" w:cs="Arial" w:eastAsia="Arial" w:hAnsi="Arial"/>
          <w:sz w:val="16"/>
          <w:szCs w:val="16"/>
          <w:color w:val="auto"/>
        </w:rPr>
        <w:t>” means, with respect to each Restricted Stock Unit, the period beginning on the Date of Grant and</w:t>
      </w:r>
    </w:p>
    <w:p>
      <w:pPr>
        <w:spacing w:after="0" w:line="7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ending on the Vesting Date.</w:t>
      </w:r>
    </w:p>
    <w:p>
      <w:pPr>
        <w:spacing w:after="0" w:line="265" w:lineRule="exact"/>
        <w:rPr>
          <w:rFonts w:ascii="Arial" w:cs="Arial" w:eastAsia="Arial" w:hAnsi="Arial"/>
          <w:sz w:val="16"/>
          <w:szCs w:val="16"/>
          <w:color w:val="auto"/>
        </w:rPr>
      </w:pPr>
    </w:p>
    <w:p>
      <w:pPr>
        <w:ind w:right="140" w:firstLine="1953"/>
        <w:spacing w:after="0" w:line="311" w:lineRule="auto"/>
        <w:tabs>
          <w:tab w:leader="none" w:pos="2763" w:val="left"/>
        </w:tabs>
        <w:numPr>
          <w:ilvl w:val="0"/>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Units</w:t>
      </w:r>
      <w:r>
        <w:rPr>
          <w:rFonts w:ascii="Arial" w:cs="Arial" w:eastAsia="Arial" w:hAnsi="Arial"/>
          <w:sz w:val="18"/>
          <w:szCs w:val="18"/>
          <w:color w:val="auto"/>
        </w:rPr>
        <w:t>” means the total number of restricted stock units granted to Grantee pursuant to this Award as set forth on the attached Long-Term Incentive Awards Summary Schedule. Each Restricted Stock Unit entitles Grantee, upon the Vesting Date of such Restricted Stock Unit, to receive one Share.</w:t>
      </w:r>
    </w:p>
    <w:p>
      <w:pPr>
        <w:spacing w:after="0" w:line="181" w:lineRule="exact"/>
        <w:rPr>
          <w:rFonts w:ascii="Arial" w:cs="Arial" w:eastAsia="Arial" w:hAnsi="Arial"/>
          <w:sz w:val="18"/>
          <w:szCs w:val="18"/>
          <w:color w:val="auto"/>
        </w:rPr>
      </w:pPr>
    </w:p>
    <w:p>
      <w:pPr>
        <w:ind w:left="2860" w:hanging="907"/>
        <w:spacing w:after="0"/>
        <w:tabs>
          <w:tab w:leader="none" w:pos="28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Retired Grantee</w:t>
      </w:r>
      <w:r>
        <w:rPr>
          <w:rFonts w:ascii="Arial" w:cs="Arial" w:eastAsia="Arial" w:hAnsi="Arial"/>
          <w:sz w:val="16"/>
          <w:szCs w:val="16"/>
          <w:color w:val="auto"/>
        </w:rPr>
        <w:t>” means Grantee, following Grantee’s termination of employment pursuant to a Normal Retirement.</w:t>
      </w:r>
    </w:p>
    <w:p>
      <w:pPr>
        <w:spacing w:after="0" w:line="288" w:lineRule="exact"/>
        <w:rPr>
          <w:rFonts w:ascii="Arial" w:cs="Arial" w:eastAsia="Arial" w:hAnsi="Arial"/>
          <w:sz w:val="16"/>
          <w:szCs w:val="16"/>
          <w:color w:val="auto"/>
        </w:rPr>
      </w:pPr>
    </w:p>
    <w:p>
      <w:pPr>
        <w:ind w:left="2820" w:hanging="867"/>
        <w:spacing w:after="0"/>
        <w:tabs>
          <w:tab w:leader="none" w:pos="2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16b-3</w:t>
      </w:r>
      <w:r>
        <w:rPr>
          <w:rFonts w:ascii="Arial" w:cs="Arial" w:eastAsia="Arial" w:hAnsi="Arial"/>
          <w:sz w:val="18"/>
          <w:szCs w:val="18"/>
          <w:color w:val="auto"/>
        </w:rPr>
        <w:t>” means Rule 16b-3 promulgated under the 1934 Act, as in effect from time to time.</w:t>
      </w:r>
    </w:p>
    <w:p>
      <w:pPr>
        <w:spacing w:after="0" w:line="265" w:lineRule="exact"/>
        <w:rPr>
          <w:rFonts w:ascii="Arial" w:cs="Arial" w:eastAsia="Arial" w:hAnsi="Arial"/>
          <w:sz w:val="18"/>
          <w:szCs w:val="18"/>
          <w:color w:val="auto"/>
        </w:rPr>
      </w:pPr>
    </w:p>
    <w:p>
      <w:pPr>
        <w:ind w:left="2860" w:hanging="907"/>
        <w:spacing w:after="0"/>
        <w:tabs>
          <w:tab w:leader="none" w:pos="28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mean shares of the Company’s Class A Common Stock, par value $.01 per share.</w:t>
      </w:r>
    </w:p>
    <w:p>
      <w:pPr>
        <w:sectPr>
          <w:pgSz w:w="11900" w:h="16838" w:orient="portrait"/>
          <w:cols w:equalWidth="0" w:num="1">
            <w:col w:w="11400"/>
          </w:cols>
          <w:pgMar w:left="240" w:top="611" w:right="25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00"/>
          </w:cols>
          <w:pgMar w:left="240" w:top="611" w:right="259" w:bottom="1440" w:gutter="0" w:footer="0" w:header="0"/>
          <w:type w:val="continuous"/>
        </w:sectPr>
      </w:pPr>
    </w:p>
    <w:bookmarkStart w:id="65" w:name="page66"/>
    <w:bookmarkEnd w:id="65"/>
    <w:p>
      <w:pPr>
        <w:ind w:right="180" w:firstLine="1953"/>
        <w:spacing w:after="0" w:line="364" w:lineRule="auto"/>
        <w:tabs>
          <w:tab w:leader="none" w:pos="2803" w:val="left"/>
        </w:tabs>
        <w:numPr>
          <w:ilvl w:val="2"/>
          <w:numId w:val="4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Vesting Date</w:t>
      </w:r>
      <w:r>
        <w:rPr>
          <w:rFonts w:ascii="Arial" w:cs="Arial" w:eastAsia="Arial" w:hAnsi="Arial"/>
          <w:sz w:val="16"/>
          <w:szCs w:val="16"/>
          <w:color w:val="auto"/>
        </w:rPr>
        <w:t>” means the date(s) on which Grantee vests in all or a portion of the Restricted Stock Units, as set forth on the attached Long-Term Incentive Awards Summary Schedule. A “</w:t>
      </w:r>
      <w:r>
        <w:rPr>
          <w:rFonts w:ascii="Arial" w:cs="Arial" w:eastAsia="Arial" w:hAnsi="Arial"/>
          <w:sz w:val="16"/>
          <w:szCs w:val="16"/>
          <w:u w:val="single" w:color="auto"/>
          <w:color w:val="auto"/>
        </w:rPr>
        <w:t>Scheduled Vesting Date</w:t>
      </w:r>
      <w:r>
        <w:rPr>
          <w:rFonts w:ascii="Arial" w:cs="Arial" w:eastAsia="Arial" w:hAnsi="Arial"/>
          <w:sz w:val="16"/>
          <w:szCs w:val="16"/>
          <w:color w:val="auto"/>
        </w:rPr>
        <w:t>” is a date referenced on the Long-Term Incentive Awards Summary Schedule on which Grantee may vest in all or a portion of the Restricted Stock Units if all the conditions to such vesting are satisfied.</w:t>
      </w:r>
    </w:p>
    <w:p>
      <w:pPr>
        <w:spacing w:after="0" w:line="148" w:lineRule="exact"/>
        <w:rPr>
          <w:rFonts w:ascii="Arial" w:cs="Arial" w:eastAsia="Arial" w:hAnsi="Arial"/>
          <w:sz w:val="16"/>
          <w:szCs w:val="16"/>
          <w:color w:val="auto"/>
        </w:rPr>
      </w:pPr>
    </w:p>
    <w:p>
      <w:pPr>
        <w:ind w:left="2820" w:hanging="867"/>
        <w:spacing w:after="0"/>
        <w:tabs>
          <w:tab w:leader="none" w:pos="2820" w:val="left"/>
        </w:tabs>
        <w:numPr>
          <w:ilvl w:val="2"/>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1934 Act</w:t>
      </w:r>
      <w:r>
        <w:rPr>
          <w:rFonts w:ascii="Arial" w:cs="Arial" w:eastAsia="Arial" w:hAnsi="Arial"/>
          <w:sz w:val="18"/>
          <w:szCs w:val="18"/>
          <w:color w:val="auto"/>
        </w:rPr>
        <w:t>” means the Securities Exchange Act of 1934, as amended.</w:t>
      </w:r>
    </w:p>
    <w:p>
      <w:pPr>
        <w:spacing w:after="0" w:line="265" w:lineRule="exact"/>
        <w:rPr>
          <w:rFonts w:ascii="Arial" w:cs="Arial" w:eastAsia="Arial" w:hAnsi="Arial"/>
          <w:sz w:val="18"/>
          <w:szCs w:val="18"/>
          <w:color w:val="auto"/>
        </w:rPr>
      </w:pPr>
    </w:p>
    <w:p>
      <w:pPr>
        <w:ind w:right="80" w:firstLine="1305"/>
        <w:spacing w:after="0" w:line="324" w:lineRule="auto"/>
        <w:tabs>
          <w:tab w:leader="none" w:pos="2080"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Grant of Restricted Stock Units</w:t>
      </w:r>
      <w:r>
        <w:rPr>
          <w:rFonts w:ascii="Arial" w:cs="Arial" w:eastAsia="Arial" w:hAnsi="Arial"/>
          <w:sz w:val="18"/>
          <w:szCs w:val="18"/>
          <w:color w:val="auto"/>
        </w:rPr>
        <w:t>. Subject to the terms and conditions set forth herein and in the Plan, the Company hereby grants to Grantee the Restricted Stock Units.</w:t>
      </w:r>
    </w:p>
    <w:p>
      <w:pPr>
        <w:spacing w:after="0" w:line="170" w:lineRule="exact"/>
        <w:rPr>
          <w:rFonts w:ascii="Arial" w:cs="Arial" w:eastAsia="Arial" w:hAnsi="Arial"/>
          <w:sz w:val="18"/>
          <w:szCs w:val="18"/>
          <w:color w:val="auto"/>
        </w:rPr>
      </w:pPr>
    </w:p>
    <w:p>
      <w:pPr>
        <w:ind w:left="2080" w:hanging="775"/>
        <w:spacing w:after="0"/>
        <w:tabs>
          <w:tab w:leader="none" w:pos="2080"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Dividend Equivalents</w:t>
      </w:r>
      <w:r>
        <w:rPr>
          <w:rFonts w:ascii="Arial" w:cs="Arial" w:eastAsia="Arial" w:hAnsi="Arial"/>
          <w:sz w:val="18"/>
          <w:szCs w:val="18"/>
          <w:color w:val="auto"/>
        </w:rPr>
        <w:t>.</w:t>
      </w:r>
    </w:p>
    <w:p>
      <w:pPr>
        <w:spacing w:after="0" w:line="265" w:lineRule="exact"/>
        <w:rPr>
          <w:rFonts w:ascii="Arial" w:cs="Arial" w:eastAsia="Arial" w:hAnsi="Arial"/>
          <w:sz w:val="18"/>
          <w:szCs w:val="18"/>
          <w:color w:val="auto"/>
        </w:rPr>
      </w:pPr>
    </w:p>
    <w:p>
      <w:pPr>
        <w:jc w:val="both"/>
        <w:ind w:firstLine="1953"/>
        <w:spacing w:after="0" w:line="311" w:lineRule="auto"/>
        <w:tabs>
          <w:tab w:leader="none" w:pos="2793" w:val="left"/>
        </w:tabs>
        <w:numPr>
          <w:ilvl w:val="2"/>
          <w:numId w:val="48"/>
        </w:numPr>
        <w:rPr>
          <w:rFonts w:ascii="Arial" w:cs="Arial" w:eastAsia="Arial" w:hAnsi="Arial"/>
          <w:sz w:val="18"/>
          <w:szCs w:val="18"/>
          <w:color w:val="auto"/>
        </w:rPr>
      </w:pPr>
      <w:r>
        <w:rPr>
          <w:rFonts w:ascii="Arial" w:cs="Arial" w:eastAsia="Arial" w:hAnsi="Arial"/>
          <w:sz w:val="18"/>
          <w:szCs w:val="18"/>
          <w:color w:val="auto"/>
        </w:rPr>
        <w:t>The Restricted Stock Units are granted with dividend equivalent rights. If the Company declares a cash dividend on the Shares, an amount equivalent to such dividend will be credited to an unfunded bookkeeping account with respect to each outstanding and unvested Restricted Stock Unit (the “</w:t>
      </w:r>
      <w:r>
        <w:rPr>
          <w:rFonts w:ascii="Arial" w:cs="Arial" w:eastAsia="Arial" w:hAnsi="Arial"/>
          <w:sz w:val="18"/>
          <w:szCs w:val="18"/>
          <w:u w:val="single" w:color="auto"/>
          <w:color w:val="auto"/>
        </w:rPr>
        <w:t>Dividend Equivalent Amount</w:t>
      </w:r>
      <w:r>
        <w:rPr>
          <w:rFonts w:ascii="Arial" w:cs="Arial" w:eastAsia="Arial" w:hAnsi="Arial"/>
          <w:sz w:val="18"/>
          <w:szCs w:val="18"/>
          <w:color w:val="auto"/>
        </w:rPr>
        <w:t>”) on the record date of such dividend.</w:t>
      </w:r>
    </w:p>
    <w:p>
      <w:pPr>
        <w:spacing w:after="0" w:line="181" w:lineRule="exact"/>
        <w:rPr>
          <w:rFonts w:ascii="Arial" w:cs="Arial" w:eastAsia="Arial" w:hAnsi="Arial"/>
          <w:sz w:val="18"/>
          <w:szCs w:val="18"/>
          <w:color w:val="auto"/>
        </w:rPr>
      </w:pPr>
    </w:p>
    <w:p>
      <w:pPr>
        <w:ind w:right="80" w:firstLine="1953"/>
        <w:spacing w:after="0" w:line="306" w:lineRule="auto"/>
        <w:tabs>
          <w:tab w:leader="none" w:pos="2803" w:val="left"/>
        </w:tabs>
        <w:numPr>
          <w:ilvl w:val="2"/>
          <w:numId w:val="48"/>
        </w:numPr>
        <w:rPr>
          <w:rFonts w:ascii="Arial" w:cs="Arial" w:eastAsia="Arial" w:hAnsi="Arial"/>
          <w:sz w:val="18"/>
          <w:szCs w:val="18"/>
          <w:color w:val="auto"/>
        </w:rPr>
      </w:pPr>
      <w:r>
        <w:rPr>
          <w:rFonts w:ascii="Arial" w:cs="Arial" w:eastAsia="Arial" w:hAnsi="Arial"/>
          <w:sz w:val="18"/>
          <w:szCs w:val="18"/>
          <w:color w:val="auto"/>
        </w:rPr>
        <w:t>The Dividend Equivalent Amount will be credited as cash, without interest, and will not be converted to Shares. The Dividend Equivalent Amount will be payable in cash, but only upon the applicable Vesting Date(s) of the underlying Restricted Stock Units as determined in accordance with Paragraph 4 below, and will be cancelled and forfeited if the underlying Restricted Stock Units are cancelled or forfeited as determined in accordance with Paragraph 5 below.</w:t>
      </w:r>
    </w:p>
    <w:p>
      <w:pPr>
        <w:spacing w:after="0" w:line="186" w:lineRule="exact"/>
        <w:rPr>
          <w:rFonts w:ascii="Arial" w:cs="Arial" w:eastAsia="Arial" w:hAnsi="Arial"/>
          <w:sz w:val="18"/>
          <w:szCs w:val="18"/>
          <w:color w:val="auto"/>
        </w:rPr>
      </w:pPr>
    </w:p>
    <w:p>
      <w:pPr>
        <w:ind w:left="2080" w:hanging="775"/>
        <w:spacing w:after="0"/>
        <w:tabs>
          <w:tab w:leader="none" w:pos="2080"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Vesting of Restricted Stock Units</w:t>
      </w:r>
      <w:r>
        <w:rPr>
          <w:rFonts w:ascii="Arial" w:cs="Arial" w:eastAsia="Arial" w:hAnsi="Arial"/>
          <w:sz w:val="18"/>
          <w:szCs w:val="18"/>
          <w:color w:val="auto"/>
        </w:rPr>
        <w:t>.</w:t>
      </w:r>
    </w:p>
    <w:p>
      <w:pPr>
        <w:spacing w:after="0" w:line="265" w:lineRule="exact"/>
        <w:rPr>
          <w:rFonts w:ascii="Arial" w:cs="Arial" w:eastAsia="Arial" w:hAnsi="Arial"/>
          <w:sz w:val="18"/>
          <w:szCs w:val="18"/>
          <w:color w:val="auto"/>
        </w:rPr>
      </w:pPr>
    </w:p>
    <w:p>
      <w:pPr>
        <w:ind w:right="80" w:firstLine="1953"/>
        <w:spacing w:after="0" w:line="302" w:lineRule="auto"/>
        <w:tabs>
          <w:tab w:leader="none" w:pos="2793" w:val="left"/>
        </w:tabs>
        <w:numPr>
          <w:ilvl w:val="2"/>
          <w:numId w:val="48"/>
        </w:numPr>
        <w:rPr>
          <w:rFonts w:ascii="Arial" w:cs="Arial" w:eastAsia="Arial" w:hAnsi="Arial"/>
          <w:sz w:val="18"/>
          <w:szCs w:val="18"/>
          <w:color w:val="auto"/>
        </w:rPr>
      </w:pPr>
      <w:r>
        <w:rPr>
          <w:rFonts w:ascii="Arial" w:cs="Arial" w:eastAsia="Arial" w:hAnsi="Arial"/>
          <w:sz w:val="18"/>
          <w:szCs w:val="18"/>
          <w:color w:val="auto"/>
        </w:rPr>
        <w:t>Subject to the terms and conditions set forth herein and in the Plan, Grantee shall vest in the Restricted Stock Units on the Vesting Dates set forth on the attached Long-Term Incentive Awards Summary Schedule, and as of each Vesting Date shall be entitled to the delivery of Shares with respect to such Restricted Stock Units; provided, however, that on the Vesting Date, Grantee is, and has from the Date of Grant continuously been, an employee of the Company or a Subsidiary Company during the Restricted Period, provided further that the applicable Performance Goal as set forth on the attached Long-Term Incentive Awards Summary Schedule has been satisfied, and provided further that Grantee has complied with all applicable provisions of the HSR Act.</w:t>
      </w:r>
    </w:p>
    <w:p>
      <w:pPr>
        <w:spacing w:after="0" w:line="192" w:lineRule="exact"/>
        <w:rPr>
          <w:rFonts w:ascii="Arial" w:cs="Arial" w:eastAsia="Arial" w:hAnsi="Arial"/>
          <w:sz w:val="18"/>
          <w:szCs w:val="18"/>
          <w:color w:val="auto"/>
        </w:rPr>
      </w:pPr>
    </w:p>
    <w:p>
      <w:pPr>
        <w:ind w:right="60" w:firstLine="1953"/>
        <w:spacing w:after="0" w:line="354" w:lineRule="auto"/>
        <w:tabs>
          <w:tab w:leader="none" w:pos="2803" w:val="left"/>
        </w:tabs>
        <w:numPr>
          <w:ilvl w:val="2"/>
          <w:numId w:val="48"/>
        </w:numPr>
        <w:rPr>
          <w:rFonts w:ascii="Arial" w:cs="Arial" w:eastAsia="Arial" w:hAnsi="Arial"/>
          <w:sz w:val="16"/>
          <w:szCs w:val="16"/>
          <w:color w:val="auto"/>
        </w:rPr>
      </w:pPr>
      <w:r>
        <w:rPr>
          <w:rFonts w:ascii="Arial" w:cs="Arial" w:eastAsia="Arial" w:hAnsi="Arial"/>
          <w:sz w:val="16"/>
          <w:szCs w:val="16"/>
          <w:color w:val="auto"/>
        </w:rPr>
        <w:t>Notwithstanding Paragraph 4(a) to the contrary, if Grantee’s employment with the Company or a Subsidiary Company terminates during the Restricted Period due to (i) Grantee’s death or (ii) Grantee becoming a Disabled Grantee within the meaning of Paragraph 1(i)(1), the Vesting Date for the Restricted Stock Units shall be accelerated so that a Vesting Date will be deemed to occur with respect to the Restricted Stock Units on the date of such termination of employment; provided, however, that Grantee has complied with all applicable provisions of the HSR Act.</w:t>
      </w:r>
    </w:p>
    <w:p>
      <w:pPr>
        <w:spacing w:after="0" w:line="156" w:lineRule="exact"/>
        <w:rPr>
          <w:rFonts w:ascii="Arial" w:cs="Arial" w:eastAsia="Arial" w:hAnsi="Arial"/>
          <w:sz w:val="16"/>
          <w:szCs w:val="16"/>
          <w:color w:val="auto"/>
        </w:rPr>
      </w:pPr>
    </w:p>
    <w:p>
      <w:pPr>
        <w:ind w:right="100" w:firstLine="1953"/>
        <w:spacing w:after="0" w:line="323" w:lineRule="auto"/>
        <w:tabs>
          <w:tab w:leader="none" w:pos="2793" w:val="left"/>
        </w:tabs>
        <w:numPr>
          <w:ilvl w:val="2"/>
          <w:numId w:val="48"/>
        </w:numPr>
        <w:rPr>
          <w:rFonts w:ascii="Arial" w:cs="Arial" w:eastAsia="Arial" w:hAnsi="Arial"/>
          <w:sz w:val="17"/>
          <w:szCs w:val="17"/>
          <w:color w:val="auto"/>
        </w:rPr>
      </w:pPr>
      <w:r>
        <w:rPr>
          <w:rFonts w:ascii="Arial" w:cs="Arial" w:eastAsia="Arial" w:hAnsi="Arial"/>
          <w:sz w:val="17"/>
          <w:szCs w:val="17"/>
          <w:color w:val="auto"/>
        </w:rPr>
        <w:t>Notwithstanding Paragraphs 4(a) to the contrary, and subject to the non-solicitation or non-competition obligations described in Paragraph 4(d), if Grantee’s employment with the Company or a Subsidiary Company terminates during the Restricted Period for any reason other than (i) Grantee’s death, (ii) Grantee becoming a Disabled Grantee within the meaning of Paragraph 1(i)(1) or (iii) a Company-initiated termination for Cause, after having attained age 62 and completing ten (10) or more years of service with the Company or a Subsidiary Company, the following shall apply, provided further that the applicable Performance Goal as set forth on the attached Long-Term Incentive Awards Summary Schedule has been satisfied, and provided further that Grantee has complied with all applicable provisions of the HSR Act:</w:t>
      </w:r>
    </w:p>
    <w:p>
      <w:pPr>
        <w:spacing w:after="0" w:line="177" w:lineRule="exact"/>
        <w:rPr>
          <w:rFonts w:ascii="Arial" w:cs="Arial" w:eastAsia="Arial" w:hAnsi="Arial"/>
          <w:sz w:val="17"/>
          <w:szCs w:val="17"/>
          <w:color w:val="auto"/>
        </w:rPr>
      </w:pPr>
    </w:p>
    <w:p>
      <w:pPr>
        <w:ind w:left="3460" w:hanging="859"/>
        <w:spacing w:after="0"/>
        <w:tabs>
          <w:tab w:leader="none" w:pos="3460" w:val="left"/>
        </w:tabs>
        <w:numPr>
          <w:ilvl w:val="3"/>
          <w:numId w:val="48"/>
        </w:numPr>
        <w:rPr>
          <w:rFonts w:ascii="Arial" w:cs="Arial" w:eastAsia="Arial" w:hAnsi="Arial"/>
          <w:sz w:val="16"/>
          <w:szCs w:val="16"/>
          <w:color w:val="auto"/>
        </w:rPr>
      </w:pPr>
      <w:r>
        <w:rPr>
          <w:rFonts w:ascii="Arial" w:cs="Arial" w:eastAsia="Arial" w:hAnsi="Arial"/>
          <w:sz w:val="16"/>
          <w:szCs w:val="16"/>
          <w:color w:val="auto"/>
        </w:rPr>
        <w:t>If, at the time of such termination of employment, Grantee has completed at least ten (10) but less than fifteen</w:t>
      </w:r>
    </w:p>
    <w:p>
      <w:pPr>
        <w:spacing w:after="0" w:line="72" w:lineRule="exact"/>
        <w:rPr>
          <w:rFonts w:ascii="Arial" w:cs="Arial" w:eastAsia="Arial" w:hAnsi="Arial"/>
          <w:sz w:val="16"/>
          <w:szCs w:val="16"/>
          <w:color w:val="auto"/>
        </w:rPr>
      </w:pPr>
    </w:p>
    <w:p>
      <w:pPr>
        <w:ind w:right="40" w:firstLine="8"/>
        <w:spacing w:after="0" w:line="320" w:lineRule="auto"/>
        <w:tabs>
          <w:tab w:leader="none" w:pos="345" w:val="left"/>
        </w:tabs>
        <w:numPr>
          <w:ilvl w:val="0"/>
          <w:numId w:val="49"/>
        </w:numPr>
        <w:rPr>
          <w:rFonts w:ascii="Arial" w:cs="Arial" w:eastAsia="Arial" w:hAnsi="Arial"/>
          <w:sz w:val="16"/>
          <w:szCs w:val="16"/>
          <w:color w:val="auto"/>
        </w:rPr>
      </w:pPr>
      <w:r>
        <w:rPr>
          <w:rFonts w:ascii="Arial" w:cs="Arial" w:eastAsia="Arial" w:hAnsi="Arial"/>
          <w:sz w:val="16"/>
          <w:szCs w:val="16"/>
          <w:color w:val="auto"/>
        </w:rPr>
        <w:t>years of service with the Company or a Subsidiary Company, any Vesting Date for the Restricted Stock Units that would have occurred on or prior to the date that is the third (3</w:t>
      </w:r>
      <w:r>
        <w:rPr>
          <w:rFonts w:ascii="Arial" w:cs="Arial" w:eastAsia="Arial" w:hAnsi="Arial"/>
          <w:sz w:val="22"/>
          <w:szCs w:val="22"/>
          <w:color w:val="auto"/>
          <w:vertAlign w:val="superscript"/>
        </w:rPr>
        <w:t>rd</w:t>
      </w:r>
      <w:r>
        <w:rPr>
          <w:rFonts w:ascii="Arial" w:cs="Arial" w:eastAsia="Arial" w:hAnsi="Arial"/>
          <w:sz w:val="16"/>
          <w:szCs w:val="16"/>
          <w:color w:val="auto"/>
        </w:rPr>
        <w:t>) anniversary of such termination of employment shall continue to occur in accordance with the Long-Term Incentive Awards Summary Schedule, and as of each Vesting Date Grantee shall be entitled to the delivery of Shares with respect to such Restricted Stock Units.</w:t>
      </w:r>
    </w:p>
    <w:p>
      <w:pPr>
        <w:spacing w:after="0" w:line="157" w:lineRule="exact"/>
        <w:rPr>
          <w:rFonts w:ascii="Arial" w:cs="Arial" w:eastAsia="Arial" w:hAnsi="Arial"/>
          <w:sz w:val="16"/>
          <w:szCs w:val="16"/>
          <w:color w:val="auto"/>
        </w:rPr>
      </w:pPr>
    </w:p>
    <w:p>
      <w:pPr>
        <w:ind w:left="3460" w:hanging="859"/>
        <w:spacing w:after="0"/>
        <w:tabs>
          <w:tab w:leader="none" w:pos="3460" w:val="left"/>
        </w:tabs>
        <w:numPr>
          <w:ilvl w:val="3"/>
          <w:numId w:val="49"/>
        </w:numPr>
        <w:rPr>
          <w:rFonts w:ascii="Arial" w:cs="Arial" w:eastAsia="Arial" w:hAnsi="Arial"/>
          <w:sz w:val="16"/>
          <w:szCs w:val="16"/>
          <w:color w:val="auto"/>
        </w:rPr>
      </w:pPr>
      <w:r>
        <w:rPr>
          <w:rFonts w:ascii="Arial" w:cs="Arial" w:eastAsia="Arial" w:hAnsi="Arial"/>
          <w:sz w:val="16"/>
          <w:szCs w:val="16"/>
          <w:color w:val="auto"/>
        </w:rPr>
        <w:t>If, at the time of such termination of employment, Grantee has completed at least fifteen (15) but less than</w:t>
      </w:r>
    </w:p>
    <w:p>
      <w:pPr>
        <w:spacing w:after="0" w:line="72" w:lineRule="exact"/>
        <w:rPr>
          <w:rFonts w:ascii="Arial" w:cs="Arial" w:eastAsia="Arial" w:hAnsi="Arial"/>
          <w:sz w:val="16"/>
          <w:szCs w:val="16"/>
          <w:color w:val="auto"/>
        </w:rPr>
      </w:pPr>
    </w:p>
    <w:p>
      <w:pPr>
        <w:ind w:right="280"/>
        <w:spacing w:after="0" w:line="320" w:lineRule="auto"/>
        <w:rPr>
          <w:rFonts w:ascii="Arial" w:cs="Arial" w:eastAsia="Arial" w:hAnsi="Arial"/>
          <w:sz w:val="16"/>
          <w:szCs w:val="16"/>
          <w:color w:val="auto"/>
        </w:rPr>
      </w:pPr>
      <w:r>
        <w:rPr>
          <w:rFonts w:ascii="Arial" w:cs="Arial" w:eastAsia="Arial" w:hAnsi="Arial"/>
          <w:sz w:val="16"/>
          <w:szCs w:val="16"/>
          <w:color w:val="auto"/>
        </w:rPr>
        <w:t>twenty (20) years of service with the Company or a Subsidiary Company, any Vesting Date for the Restricted Stock Units that would have occurred on or prior to the date that is the fourth (4</w:t>
      </w:r>
      <w:r>
        <w:rPr>
          <w:rFonts w:ascii="Arial" w:cs="Arial" w:eastAsia="Arial" w:hAnsi="Arial"/>
          <w:sz w:val="22"/>
          <w:szCs w:val="22"/>
          <w:color w:val="auto"/>
          <w:vertAlign w:val="superscript"/>
        </w:rPr>
        <w:t>th</w:t>
      </w:r>
      <w:r>
        <w:rPr>
          <w:rFonts w:ascii="Arial" w:cs="Arial" w:eastAsia="Arial" w:hAnsi="Arial"/>
          <w:sz w:val="16"/>
          <w:szCs w:val="16"/>
          <w:color w:val="auto"/>
        </w:rPr>
        <w:t>) anniversary of such termination of employment shall continue to occur in accordance with the Long-Term Incentive Awards Summary Schedule, and as of each Vesting Date shall be entitled to the delivery of Shares with respect to such Restricted Stock Units.</w:t>
      </w:r>
    </w:p>
    <w:p>
      <w:pPr>
        <w:sectPr>
          <w:pgSz w:w="11900" w:h="16838" w:orient="portrait"/>
          <w:cols w:equalWidth="0" w:num="1">
            <w:col w:w="11400"/>
          </w:cols>
          <w:pgMar w:left="240" w:top="611" w:right="259" w:bottom="1440" w:gutter="0" w:footer="0" w:header="0"/>
        </w:sect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611" w:right="259" w:bottom="1440" w:gutter="0" w:footer="0" w:header="0"/>
          <w:type w:val="continuous"/>
        </w:sectPr>
      </w:pPr>
    </w:p>
    <w:bookmarkStart w:id="66" w:name="page67"/>
    <w:bookmarkEnd w:id="66"/>
    <w:p>
      <w:pPr>
        <w:ind w:left="3460" w:hanging="859"/>
        <w:spacing w:after="0"/>
        <w:tabs>
          <w:tab w:leader="none" w:pos="3460" w:val="left"/>
        </w:tabs>
        <w:numPr>
          <w:ilvl w:val="2"/>
          <w:numId w:val="50"/>
        </w:numPr>
        <w:rPr>
          <w:rFonts w:ascii="Arial" w:cs="Arial" w:eastAsia="Arial" w:hAnsi="Arial"/>
          <w:sz w:val="16"/>
          <w:szCs w:val="16"/>
          <w:color w:val="auto"/>
        </w:rPr>
      </w:pPr>
      <w:r>
        <w:rPr>
          <w:rFonts w:ascii="Arial" w:cs="Arial" w:eastAsia="Arial" w:hAnsi="Arial"/>
          <w:sz w:val="16"/>
          <w:szCs w:val="16"/>
          <w:color w:val="auto"/>
        </w:rPr>
        <w:t>If, at the time of such termination of employment, such Grantee has completed twenty (20) or more years of</w:t>
      </w:r>
    </w:p>
    <w:p>
      <w:pPr>
        <w:spacing w:after="0" w:line="72" w:lineRule="exact"/>
        <w:rPr>
          <w:rFonts w:ascii="Arial" w:cs="Arial" w:eastAsia="Arial" w:hAnsi="Arial"/>
          <w:sz w:val="16"/>
          <w:szCs w:val="16"/>
          <w:color w:val="auto"/>
        </w:rPr>
      </w:pPr>
    </w:p>
    <w:p>
      <w:pPr>
        <w:spacing w:after="0" w:line="264" w:lineRule="auto"/>
        <w:rPr>
          <w:rFonts w:ascii="Arial" w:cs="Arial" w:eastAsia="Arial" w:hAnsi="Arial"/>
          <w:sz w:val="16"/>
          <w:szCs w:val="16"/>
          <w:color w:val="auto"/>
        </w:rPr>
      </w:pPr>
      <w:r>
        <w:rPr>
          <w:rFonts w:ascii="Arial" w:cs="Arial" w:eastAsia="Arial" w:hAnsi="Arial"/>
          <w:sz w:val="18"/>
          <w:szCs w:val="18"/>
          <w:color w:val="auto"/>
        </w:rPr>
        <w:t>services with the Company or a Subsidiary Company, any Vesting Date for the Restricted Stock Units that would have occurred on or prior to the date that is the fifth (5</w:t>
      </w:r>
      <w:r>
        <w:rPr>
          <w:rFonts w:ascii="Arial" w:cs="Arial" w:eastAsia="Arial" w:hAnsi="Arial"/>
          <w:sz w:val="25"/>
          <w:szCs w:val="25"/>
          <w:color w:val="auto"/>
          <w:vertAlign w:val="superscript"/>
        </w:rPr>
        <w:t>th</w:t>
      </w:r>
      <w:r>
        <w:rPr>
          <w:rFonts w:ascii="Arial" w:cs="Arial" w:eastAsia="Arial" w:hAnsi="Arial"/>
          <w:sz w:val="18"/>
          <w:szCs w:val="18"/>
          <w:color w:val="auto"/>
        </w:rPr>
        <w:t>) anniversary of such termination of employment shall continue to occur in accordance with the Long-Term Incentive Awards Summary Schedule, and as of each Vesting Date shall be entitled to the delivery of Shares with respect to such Restricted Stock Units.</w:t>
      </w:r>
    </w:p>
    <w:p>
      <w:pPr>
        <w:spacing w:after="0" w:line="214" w:lineRule="exact"/>
        <w:rPr>
          <w:rFonts w:ascii="Arial" w:cs="Arial" w:eastAsia="Arial" w:hAnsi="Arial"/>
          <w:sz w:val="16"/>
          <w:szCs w:val="16"/>
          <w:color w:val="auto"/>
        </w:rPr>
      </w:pPr>
    </w:p>
    <w:p>
      <w:pPr>
        <w:ind w:right="60" w:firstLine="1953"/>
        <w:spacing w:after="0" w:line="311" w:lineRule="auto"/>
        <w:tabs>
          <w:tab w:leader="none" w:pos="2803" w:val="left"/>
        </w:tabs>
        <w:numPr>
          <w:ilvl w:val="1"/>
          <w:numId w:val="51"/>
        </w:numPr>
        <w:rPr>
          <w:rFonts w:ascii="Arial" w:cs="Arial" w:eastAsia="Arial" w:hAnsi="Arial"/>
          <w:sz w:val="18"/>
          <w:szCs w:val="18"/>
          <w:color w:val="auto"/>
        </w:rPr>
      </w:pPr>
      <w:r>
        <w:rPr>
          <w:rFonts w:ascii="Arial" w:cs="Arial" w:eastAsia="Arial" w:hAnsi="Arial"/>
          <w:sz w:val="18"/>
          <w:szCs w:val="18"/>
          <w:color w:val="auto"/>
        </w:rPr>
        <w:t>Notwithstanding Paragraph 4(c), the Restricted Stock Units will be subject to forfeiture by the Committee, in its sole discretion, if Grantee breaches either of the following non-solicitation or non-competition obligations during the period following termination of employment and before the applicable Vesting Date:</w:t>
      </w:r>
    </w:p>
    <w:p>
      <w:pPr>
        <w:spacing w:after="0" w:line="181" w:lineRule="exact"/>
        <w:rPr>
          <w:rFonts w:ascii="Arial" w:cs="Arial" w:eastAsia="Arial" w:hAnsi="Arial"/>
          <w:sz w:val="18"/>
          <w:szCs w:val="18"/>
          <w:color w:val="auto"/>
        </w:rPr>
      </w:pPr>
    </w:p>
    <w:p>
      <w:pPr>
        <w:ind w:right="260" w:firstLine="2601"/>
        <w:spacing w:after="0" w:line="311" w:lineRule="auto"/>
        <w:tabs>
          <w:tab w:leader="none" w:pos="3451" w:val="left"/>
        </w:tabs>
        <w:numPr>
          <w:ilvl w:val="2"/>
          <w:numId w:val="51"/>
        </w:numPr>
        <w:rPr>
          <w:rFonts w:ascii="Arial" w:cs="Arial" w:eastAsia="Arial" w:hAnsi="Arial"/>
          <w:sz w:val="18"/>
          <w:szCs w:val="18"/>
          <w:color w:val="auto"/>
        </w:rPr>
      </w:pPr>
      <w:r>
        <w:rPr>
          <w:rFonts w:ascii="Arial" w:cs="Arial" w:eastAsia="Arial" w:hAnsi="Arial"/>
          <w:sz w:val="18"/>
          <w:szCs w:val="18"/>
          <w:color w:val="auto"/>
        </w:rPr>
        <w:t>Grantee shall not, directly or indirectly, solicit, induce, encourage or attempt to influence any customer, employee, consultant, independent contractor, service provider or supplier of the Company to cease to do business or to terminate the employment or other relationship with the Company.</w:t>
      </w:r>
    </w:p>
    <w:p>
      <w:pPr>
        <w:spacing w:after="0" w:line="181" w:lineRule="exact"/>
        <w:rPr>
          <w:rFonts w:ascii="Arial" w:cs="Arial" w:eastAsia="Arial" w:hAnsi="Arial"/>
          <w:sz w:val="18"/>
          <w:szCs w:val="18"/>
          <w:color w:val="auto"/>
        </w:rPr>
      </w:pPr>
    </w:p>
    <w:p>
      <w:pPr>
        <w:ind w:right="40" w:firstLine="2601"/>
        <w:spacing w:after="0" w:line="321" w:lineRule="auto"/>
        <w:tabs>
          <w:tab w:leader="none" w:pos="3451" w:val="left"/>
        </w:tabs>
        <w:numPr>
          <w:ilvl w:val="2"/>
          <w:numId w:val="51"/>
        </w:numPr>
        <w:rPr>
          <w:rFonts w:ascii="Arial" w:cs="Arial" w:eastAsia="Arial" w:hAnsi="Arial"/>
          <w:sz w:val="17"/>
          <w:szCs w:val="17"/>
          <w:color w:val="auto"/>
        </w:rPr>
      </w:pPr>
      <w:r>
        <w:rPr>
          <w:rFonts w:ascii="Arial" w:cs="Arial" w:eastAsia="Arial" w:hAnsi="Arial"/>
          <w:sz w:val="17"/>
          <w:szCs w:val="17"/>
          <w:color w:val="auto"/>
        </w:rPr>
        <w:t>Grantee shall not, directly or indirectly, engage or be financially interested in (as an agent, consultant, director, employee, independent contractor, officer, owner, partner, principal or otherwise), any activities for any business (whether conducted by an entity or individuals, including Grantee in self-employment) that is engaged in competition, directly or indirectly through any entity controlling, controlled by or under common control with such business, with any of the business activities carried on by the Company, any of its subsidiaries or any other business unit of the Company, or being planned by the Company, any of its subsidiaries or any other business unit of the Company with Grantee’s knowledge at the time of Grantee’s termination of employment. This restriction shall apply in any geographical area of the United States in which the Company carries out business activities. Nothing herein shall prevent Grantee from owning for investment up to one percent (1%) of any class of equity security of an entity whose securities are traded on a national securities exchange or market.</w:t>
      </w:r>
    </w:p>
    <w:p>
      <w:pPr>
        <w:spacing w:after="0" w:line="177" w:lineRule="exact"/>
        <w:rPr>
          <w:rFonts w:ascii="Arial" w:cs="Arial" w:eastAsia="Arial" w:hAnsi="Arial"/>
          <w:sz w:val="17"/>
          <w:szCs w:val="17"/>
          <w:color w:val="auto"/>
        </w:rPr>
      </w:pPr>
    </w:p>
    <w:p>
      <w:pPr>
        <w:ind w:right="300" w:firstLine="1953"/>
        <w:spacing w:after="0" w:line="329" w:lineRule="auto"/>
        <w:tabs>
          <w:tab w:leader="none" w:pos="2793" w:val="left"/>
        </w:tabs>
        <w:numPr>
          <w:ilvl w:val="1"/>
          <w:numId w:val="51"/>
        </w:numPr>
        <w:rPr>
          <w:rFonts w:ascii="Arial" w:cs="Arial" w:eastAsia="Arial" w:hAnsi="Arial"/>
          <w:sz w:val="17"/>
          <w:szCs w:val="17"/>
          <w:color w:val="auto"/>
        </w:rPr>
      </w:pPr>
      <w:r>
        <w:rPr>
          <w:rFonts w:ascii="Arial" w:cs="Arial" w:eastAsia="Arial" w:hAnsi="Arial"/>
          <w:sz w:val="17"/>
          <w:szCs w:val="17"/>
          <w:color w:val="auto"/>
        </w:rPr>
        <w:t>If Restricted Stock Units would have vested pursuant to the Long-Term Incentive Awards Summary Schedule or Paragraphs 4(b) or 4(c), but did not vest solely because Grantee was not in compliance with all applicable provisions of the HSR Act, the Vesting Date for such Restricted Stock Units shall occur on the first date following the date on which they would have vested pursuant to the Long-Term Incentive Awards Summary Schedule or Paragraphs 4(b) or 4(c) on which Grantee has complied with all applicable provisions of the HSR Act.</w:t>
      </w:r>
    </w:p>
    <w:p>
      <w:pPr>
        <w:spacing w:after="0" w:line="170" w:lineRule="exact"/>
        <w:rPr>
          <w:rFonts w:ascii="Arial" w:cs="Arial" w:eastAsia="Arial" w:hAnsi="Arial"/>
          <w:sz w:val="17"/>
          <w:szCs w:val="17"/>
          <w:color w:val="auto"/>
        </w:rPr>
      </w:pPr>
    </w:p>
    <w:p>
      <w:pPr>
        <w:ind w:left="2080" w:hanging="775"/>
        <w:spacing w:after="0"/>
        <w:tabs>
          <w:tab w:leader="none" w:pos="208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Forfeiture of Restricted Stock Units</w:t>
      </w:r>
      <w:r>
        <w:rPr>
          <w:rFonts w:ascii="Arial" w:cs="Arial" w:eastAsia="Arial" w:hAnsi="Arial"/>
          <w:sz w:val="18"/>
          <w:szCs w:val="18"/>
          <w:color w:val="auto"/>
        </w:rPr>
        <w:t>.</w:t>
      </w:r>
    </w:p>
    <w:p>
      <w:pPr>
        <w:spacing w:after="0" w:line="265" w:lineRule="exact"/>
        <w:rPr>
          <w:rFonts w:ascii="Arial" w:cs="Arial" w:eastAsia="Arial" w:hAnsi="Arial"/>
          <w:sz w:val="18"/>
          <w:szCs w:val="18"/>
          <w:color w:val="auto"/>
        </w:rPr>
      </w:pPr>
    </w:p>
    <w:p>
      <w:pPr>
        <w:ind w:right="40" w:firstLine="1953"/>
        <w:spacing w:after="0" w:line="306" w:lineRule="auto"/>
        <w:tabs>
          <w:tab w:leader="none" w:pos="2793" w:val="left"/>
        </w:tabs>
        <w:numPr>
          <w:ilvl w:val="1"/>
          <w:numId w:val="52"/>
        </w:numPr>
        <w:rPr>
          <w:rFonts w:ascii="Arial" w:cs="Arial" w:eastAsia="Arial" w:hAnsi="Arial"/>
          <w:sz w:val="18"/>
          <w:szCs w:val="18"/>
          <w:color w:val="auto"/>
        </w:rPr>
      </w:pPr>
      <w:r>
        <w:rPr>
          <w:rFonts w:ascii="Arial" w:cs="Arial" w:eastAsia="Arial" w:hAnsi="Arial"/>
          <w:sz w:val="18"/>
          <w:szCs w:val="18"/>
          <w:color w:val="auto"/>
        </w:rPr>
        <w:t>Subject to the terms and conditions set forth herein and in the Plan, if Grantee’s employment with the Company and all Subsidiaries terminates during the Restricted Period, other than due to death or Disability and except as otherwise provided in Paragraph 4(c), Grantee shall forfeit the Restricted Stock Units as of such termination of employment. Upon a forfeiture of the Restricted Stock Units as provided in this Paragraph 5, the Restricted Stock Units shall be deemed canceled.</w:t>
      </w:r>
    </w:p>
    <w:p>
      <w:pPr>
        <w:spacing w:after="0" w:line="186" w:lineRule="exact"/>
        <w:rPr>
          <w:rFonts w:ascii="Arial" w:cs="Arial" w:eastAsia="Arial" w:hAnsi="Arial"/>
          <w:sz w:val="18"/>
          <w:szCs w:val="18"/>
          <w:color w:val="auto"/>
        </w:rPr>
      </w:pPr>
    </w:p>
    <w:p>
      <w:pPr>
        <w:ind w:left="2820" w:hanging="867"/>
        <w:spacing w:after="0"/>
        <w:tabs>
          <w:tab w:leader="none" w:pos="2820" w:val="left"/>
        </w:tabs>
        <w:numPr>
          <w:ilvl w:val="1"/>
          <w:numId w:val="52"/>
        </w:numPr>
        <w:rPr>
          <w:rFonts w:ascii="Arial" w:cs="Arial" w:eastAsia="Arial" w:hAnsi="Arial"/>
          <w:sz w:val="16"/>
          <w:szCs w:val="16"/>
          <w:color w:val="auto"/>
        </w:rPr>
      </w:pPr>
      <w:r>
        <w:rPr>
          <w:rFonts w:ascii="Arial" w:cs="Arial" w:eastAsia="Arial" w:hAnsi="Arial"/>
          <w:sz w:val="16"/>
          <w:szCs w:val="16"/>
          <w:color w:val="auto"/>
        </w:rPr>
        <w:t>The provisions of this Paragraph 5 shall not apply to Shares issued in respect of Restricted Stock Units as to which a</w:t>
      </w:r>
    </w:p>
    <w:p>
      <w:pPr>
        <w:spacing w:after="0" w:line="7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Vesting Date has occurred.</w:t>
      </w:r>
    </w:p>
    <w:p>
      <w:pPr>
        <w:spacing w:after="0" w:line="265" w:lineRule="exact"/>
        <w:rPr>
          <w:rFonts w:ascii="Arial" w:cs="Arial" w:eastAsia="Arial" w:hAnsi="Arial"/>
          <w:sz w:val="16"/>
          <w:szCs w:val="16"/>
          <w:color w:val="auto"/>
        </w:rPr>
      </w:pPr>
    </w:p>
    <w:p>
      <w:pPr>
        <w:ind w:left="2080" w:hanging="775"/>
        <w:spacing w:after="0"/>
        <w:tabs>
          <w:tab w:leader="none" w:pos="208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Deferral Elections</w:t>
      </w:r>
      <w:r>
        <w:rPr>
          <w:rFonts w:ascii="Arial" w:cs="Arial" w:eastAsia="Arial" w:hAnsi="Arial"/>
          <w:sz w:val="18"/>
          <w:szCs w:val="18"/>
          <w:color w:val="auto"/>
        </w:rPr>
        <w:t>.</w:t>
      </w:r>
    </w:p>
    <w:p>
      <w:pPr>
        <w:spacing w:after="0" w:line="23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Grantee may elect to defer the receipt of Shares issuable with respect to Restricted Stock Units, consistent, however, with the following:</w:t>
      </w:r>
    </w:p>
    <w:p>
      <w:pPr>
        <w:spacing w:after="0" w:line="275" w:lineRule="exact"/>
        <w:rPr>
          <w:sz w:val="20"/>
          <w:szCs w:val="20"/>
          <w:color w:val="auto"/>
        </w:rPr>
      </w:pPr>
    </w:p>
    <w:p>
      <w:pPr>
        <w:ind w:right="140" w:firstLine="1953"/>
        <w:spacing w:after="0" w:line="311" w:lineRule="auto"/>
        <w:tabs>
          <w:tab w:leader="none" w:pos="2793"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Initial Elections. Grantee shall have the right to make an Initial Election to defer the receipt of all or a portion of the Shares issuable with respect to Restricted Stock Units hereby granted by filing an Initial Election to defer the receipt of such Shares on the form provided by the Committee for this purpose.</w:t>
      </w:r>
    </w:p>
    <w:p>
      <w:pPr>
        <w:spacing w:after="0" w:line="181" w:lineRule="exact"/>
        <w:rPr>
          <w:rFonts w:ascii="Arial" w:cs="Arial" w:eastAsia="Arial" w:hAnsi="Arial"/>
          <w:sz w:val="18"/>
          <w:szCs w:val="18"/>
          <w:color w:val="auto"/>
        </w:rPr>
      </w:pPr>
    </w:p>
    <w:p>
      <w:pPr>
        <w:ind w:left="3460" w:hanging="859"/>
        <w:spacing w:after="0"/>
        <w:tabs>
          <w:tab w:leader="none" w:pos="3460" w:val="left"/>
        </w:tabs>
        <w:numPr>
          <w:ilvl w:val="1"/>
          <w:numId w:val="53"/>
        </w:numPr>
        <w:rPr>
          <w:rFonts w:ascii="Arial" w:cs="Arial" w:eastAsia="Arial" w:hAnsi="Arial"/>
          <w:sz w:val="17"/>
          <w:szCs w:val="17"/>
          <w:color w:val="auto"/>
        </w:rPr>
      </w:pPr>
      <w:r>
        <w:rPr>
          <w:rFonts w:ascii="Arial" w:cs="Arial" w:eastAsia="Arial" w:hAnsi="Arial"/>
          <w:sz w:val="17"/>
          <w:szCs w:val="17"/>
          <w:u w:val="single" w:color="auto"/>
          <w:color w:val="auto"/>
        </w:rPr>
        <w:t>Deadline for Deferral Election</w:t>
      </w:r>
      <w:r>
        <w:rPr>
          <w:rFonts w:ascii="Arial" w:cs="Arial" w:eastAsia="Arial" w:hAnsi="Arial"/>
          <w:sz w:val="17"/>
          <w:szCs w:val="17"/>
          <w:color w:val="auto"/>
        </w:rPr>
        <w:t>. An Initial Election to defer the receipt of Shares issuable with respect to</w:t>
      </w:r>
    </w:p>
    <w:p>
      <w:pPr>
        <w:spacing w:after="0" w:line="6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Restricted Stock Units hereby granted shall not be effective unless it is filed with the Committee on or before June 30, 2017.</w:t>
      </w:r>
    </w:p>
    <w:p>
      <w:pPr>
        <w:spacing w:after="0" w:line="265" w:lineRule="exact"/>
        <w:rPr>
          <w:rFonts w:ascii="Arial" w:cs="Arial" w:eastAsia="Arial" w:hAnsi="Arial"/>
          <w:sz w:val="17"/>
          <w:szCs w:val="17"/>
          <w:color w:val="auto"/>
        </w:rPr>
      </w:pPr>
    </w:p>
    <w:p>
      <w:pPr>
        <w:jc w:val="both"/>
        <w:ind w:right="160" w:firstLine="2601"/>
        <w:spacing w:after="0" w:line="311" w:lineRule="auto"/>
        <w:tabs>
          <w:tab w:leader="none" w:pos="3451"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Deferral Period</w:t>
      </w:r>
      <w:r>
        <w:rPr>
          <w:rFonts w:ascii="Arial" w:cs="Arial" w:eastAsia="Arial" w:hAnsi="Arial"/>
          <w:sz w:val="18"/>
          <w:szCs w:val="18"/>
          <w:color w:val="auto"/>
        </w:rPr>
        <w:t>. Subject to Paragraph 6(c), all Shares issuable with respect to Restricted Stock Units that are subject to an Initial Election under this Paragraph 6(a) shall be delivered to Grantee without any legend or restrictions (except those that may be imposed by the Committee, in its sole judgment, under Paragraph 8), on the</w:t>
      </w:r>
    </w:p>
    <w:p>
      <w:pPr>
        <w:sectPr>
          <w:pgSz w:w="11900" w:h="16838" w:orient="portrait"/>
          <w:cols w:equalWidth="0" w:num="1">
            <w:col w:w="11420"/>
          </w:cols>
          <w:pgMar w:left="240" w:top="611" w:right="239"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611" w:right="239" w:bottom="1440" w:gutter="0" w:footer="0" w:header="0"/>
          <w:type w:val="continuous"/>
        </w:sectPr>
      </w:pPr>
    </w:p>
    <w:bookmarkStart w:id="67" w:name="page68"/>
    <w:bookmarkEnd w:id="67"/>
    <w:p>
      <w:pPr>
        <w:ind w:right="220"/>
        <w:spacing w:after="0" w:line="324" w:lineRule="auto"/>
        <w:rPr>
          <w:sz w:val="20"/>
          <w:szCs w:val="20"/>
          <w:color w:val="auto"/>
        </w:rPr>
      </w:pPr>
      <w:r>
        <w:rPr>
          <w:rFonts w:ascii="Arial" w:cs="Arial" w:eastAsia="Arial" w:hAnsi="Arial"/>
          <w:sz w:val="18"/>
          <w:szCs w:val="18"/>
          <w:color w:val="auto"/>
        </w:rPr>
        <w:t>date designated by Grantee, which shall not be earlier than January 2 of the third calendar year beginning after the Vesting Date, nor later than January 2 of the eleventh calendar year beginning after the Vesting Date.</w:t>
      </w:r>
    </w:p>
    <w:p>
      <w:pPr>
        <w:spacing w:after="0" w:line="170" w:lineRule="exact"/>
        <w:rPr>
          <w:sz w:val="20"/>
          <w:szCs w:val="20"/>
          <w:color w:val="auto"/>
        </w:rPr>
      </w:pPr>
    </w:p>
    <w:p>
      <w:pPr>
        <w:ind w:firstLine="2601"/>
        <w:spacing w:after="0" w:line="324" w:lineRule="auto"/>
        <w:tabs>
          <w:tab w:leader="none" w:pos="3451"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Effect of Failure of Vesting Date to Occur</w:t>
      </w:r>
      <w:r>
        <w:rPr>
          <w:rFonts w:ascii="Arial" w:cs="Arial" w:eastAsia="Arial" w:hAnsi="Arial"/>
          <w:sz w:val="18"/>
          <w:szCs w:val="18"/>
          <w:color w:val="auto"/>
        </w:rPr>
        <w:t>. An Initial Election shall be null and void if a Vesting Date does not occur with respect to Restricted Stock Units identified in such Initial Election.</w:t>
      </w:r>
    </w:p>
    <w:p>
      <w:pPr>
        <w:spacing w:after="0" w:line="170" w:lineRule="exact"/>
        <w:rPr>
          <w:rFonts w:ascii="Arial" w:cs="Arial" w:eastAsia="Arial" w:hAnsi="Arial"/>
          <w:sz w:val="18"/>
          <w:szCs w:val="18"/>
          <w:color w:val="auto"/>
        </w:rPr>
      </w:pPr>
    </w:p>
    <w:p>
      <w:pPr>
        <w:ind w:right="20" w:firstLine="1953"/>
        <w:spacing w:after="0" w:line="306" w:lineRule="auto"/>
        <w:tabs>
          <w:tab w:leader="none" w:pos="2803"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Regular Deferral Elections</w:t>
      </w:r>
      <w:r>
        <w:rPr>
          <w:rFonts w:ascii="Arial" w:cs="Arial" w:eastAsia="Arial" w:hAnsi="Arial"/>
          <w:sz w:val="18"/>
          <w:szCs w:val="18"/>
          <w:color w:val="auto"/>
        </w:rPr>
        <w:t>. No Regular Deferral Election shall be effective until 12 months after the date on which a Subsequent Election is filed with the Committee. Grantee shall have the right to make a Regular Deferral Election to defer the receipt of all or a portion of the Shares issuable with respect to Restricted Stock Units hereby granted that are not subject to an Initial Election by filing a Regular Deferral Election to defer the receipt of such Shares on the form provided by the Committee for this purpose.</w:t>
      </w:r>
    </w:p>
    <w:p>
      <w:pPr>
        <w:spacing w:after="0" w:line="186" w:lineRule="exact"/>
        <w:rPr>
          <w:rFonts w:ascii="Arial" w:cs="Arial" w:eastAsia="Arial" w:hAnsi="Arial"/>
          <w:sz w:val="18"/>
          <w:szCs w:val="18"/>
          <w:color w:val="auto"/>
        </w:rPr>
      </w:pPr>
    </w:p>
    <w:p>
      <w:pPr>
        <w:ind w:left="3460" w:hanging="859"/>
        <w:spacing w:after="0"/>
        <w:tabs>
          <w:tab w:leader="none" w:pos="3460" w:val="left"/>
        </w:tabs>
        <w:numPr>
          <w:ilvl w:val="1"/>
          <w:numId w:val="55"/>
        </w:numPr>
        <w:rPr>
          <w:rFonts w:ascii="Arial" w:cs="Arial" w:eastAsia="Arial" w:hAnsi="Arial"/>
          <w:sz w:val="17"/>
          <w:szCs w:val="17"/>
          <w:color w:val="auto"/>
        </w:rPr>
      </w:pPr>
      <w:r>
        <w:rPr>
          <w:rFonts w:ascii="Arial" w:cs="Arial" w:eastAsia="Arial" w:hAnsi="Arial"/>
          <w:sz w:val="17"/>
          <w:szCs w:val="17"/>
          <w:u w:val="single" w:color="auto"/>
          <w:color w:val="auto"/>
        </w:rPr>
        <w:t>Deadline for Deferral Election</w:t>
      </w:r>
      <w:r>
        <w:rPr>
          <w:rFonts w:ascii="Arial" w:cs="Arial" w:eastAsia="Arial" w:hAnsi="Arial"/>
          <w:sz w:val="17"/>
          <w:szCs w:val="17"/>
          <w:color w:val="auto"/>
        </w:rPr>
        <w:t>. A Regular Deferral Election to defer the receipt of Shares issuable with</w:t>
      </w:r>
    </w:p>
    <w:p>
      <w:pPr>
        <w:spacing w:after="0" w:line="6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respect to Restricted Stock Units hereby granted shall not be effective unless it is filed with the Committee:</w:t>
      </w:r>
    </w:p>
    <w:p>
      <w:pPr>
        <w:spacing w:after="0" w:line="265" w:lineRule="exact"/>
        <w:rPr>
          <w:rFonts w:ascii="Arial" w:cs="Arial" w:eastAsia="Arial" w:hAnsi="Arial"/>
          <w:sz w:val="17"/>
          <w:szCs w:val="17"/>
          <w:color w:val="auto"/>
        </w:rPr>
      </w:pPr>
    </w:p>
    <w:p>
      <w:pPr>
        <w:ind w:left="4320" w:hanging="1071"/>
        <w:spacing w:after="0"/>
        <w:tabs>
          <w:tab w:leader="none" w:pos="4320" w:val="left"/>
        </w:tabs>
        <w:numPr>
          <w:ilvl w:val="2"/>
          <w:numId w:val="55"/>
        </w:numPr>
        <w:rPr>
          <w:rFonts w:ascii="Arial" w:cs="Arial" w:eastAsia="Arial" w:hAnsi="Arial"/>
          <w:sz w:val="17"/>
          <w:szCs w:val="17"/>
          <w:color w:val="auto"/>
        </w:rPr>
      </w:pPr>
      <w:r>
        <w:rPr>
          <w:rFonts w:ascii="Arial" w:cs="Arial" w:eastAsia="Arial" w:hAnsi="Arial"/>
          <w:sz w:val="17"/>
          <w:szCs w:val="17"/>
          <w:color w:val="auto"/>
        </w:rPr>
        <w:t>For Restricted Stock Units with a Scheduled Vesting Date of [____] from Date of Grant, [____]</w:t>
      </w:r>
    </w:p>
    <w:p>
      <w:pPr>
        <w:spacing w:after="0" w:line="6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from Date of Grant;</w:t>
      </w:r>
    </w:p>
    <w:p>
      <w:pPr>
        <w:spacing w:after="0" w:line="265" w:lineRule="exact"/>
        <w:rPr>
          <w:rFonts w:ascii="Arial" w:cs="Arial" w:eastAsia="Arial" w:hAnsi="Arial"/>
          <w:sz w:val="17"/>
          <w:szCs w:val="17"/>
          <w:color w:val="auto"/>
        </w:rPr>
      </w:pPr>
    </w:p>
    <w:p>
      <w:pPr>
        <w:ind w:left="4340" w:hanging="1091"/>
        <w:spacing w:after="0"/>
        <w:tabs>
          <w:tab w:leader="none" w:pos="4340" w:val="left"/>
        </w:tabs>
        <w:numPr>
          <w:ilvl w:val="2"/>
          <w:numId w:val="55"/>
        </w:numPr>
        <w:rPr>
          <w:rFonts w:ascii="Arial" w:cs="Arial" w:eastAsia="Arial" w:hAnsi="Arial"/>
          <w:sz w:val="16"/>
          <w:szCs w:val="16"/>
          <w:color w:val="auto"/>
        </w:rPr>
      </w:pPr>
      <w:r>
        <w:rPr>
          <w:rFonts w:ascii="Arial" w:cs="Arial" w:eastAsia="Arial" w:hAnsi="Arial"/>
          <w:sz w:val="16"/>
          <w:szCs w:val="16"/>
          <w:color w:val="auto"/>
        </w:rPr>
        <w:t>For Restricted Stock Units with a Scheduled Vesting Date of [____] from Date of Grant, [____]</w:t>
      </w:r>
    </w:p>
    <w:p>
      <w:pPr>
        <w:spacing w:after="0" w:line="7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from Date of Grant;</w:t>
      </w:r>
    </w:p>
    <w:p>
      <w:pPr>
        <w:spacing w:after="0" w:line="265" w:lineRule="exact"/>
        <w:rPr>
          <w:rFonts w:ascii="Arial" w:cs="Arial" w:eastAsia="Arial" w:hAnsi="Arial"/>
          <w:sz w:val="16"/>
          <w:szCs w:val="16"/>
          <w:color w:val="auto"/>
        </w:rPr>
      </w:pPr>
    </w:p>
    <w:p>
      <w:pPr>
        <w:ind w:left="4320" w:hanging="1071"/>
        <w:spacing w:after="0"/>
        <w:tabs>
          <w:tab w:leader="none" w:pos="4320" w:val="left"/>
        </w:tabs>
        <w:numPr>
          <w:ilvl w:val="2"/>
          <w:numId w:val="55"/>
        </w:numPr>
        <w:rPr>
          <w:rFonts w:ascii="Arial" w:cs="Arial" w:eastAsia="Arial" w:hAnsi="Arial"/>
          <w:sz w:val="17"/>
          <w:szCs w:val="17"/>
          <w:color w:val="auto"/>
        </w:rPr>
      </w:pPr>
      <w:r>
        <w:rPr>
          <w:rFonts w:ascii="Arial" w:cs="Arial" w:eastAsia="Arial" w:hAnsi="Arial"/>
          <w:sz w:val="17"/>
          <w:szCs w:val="17"/>
          <w:color w:val="auto"/>
        </w:rPr>
        <w:t>For Restricted Stock Units with a Scheduled Vesting Date of [____] from Date of Grant, [____]</w:t>
      </w:r>
    </w:p>
    <w:p>
      <w:pPr>
        <w:spacing w:after="0" w:line="6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from Date of Grant;</w:t>
      </w:r>
    </w:p>
    <w:p>
      <w:pPr>
        <w:spacing w:after="0" w:line="265" w:lineRule="exact"/>
        <w:rPr>
          <w:rFonts w:ascii="Arial" w:cs="Arial" w:eastAsia="Arial" w:hAnsi="Arial"/>
          <w:sz w:val="17"/>
          <w:szCs w:val="17"/>
          <w:color w:val="auto"/>
        </w:rPr>
      </w:pPr>
    </w:p>
    <w:p>
      <w:pPr>
        <w:ind w:left="4340" w:hanging="1091"/>
        <w:spacing w:after="0"/>
        <w:tabs>
          <w:tab w:leader="none" w:pos="4340" w:val="left"/>
        </w:tabs>
        <w:numPr>
          <w:ilvl w:val="2"/>
          <w:numId w:val="55"/>
        </w:numPr>
        <w:rPr>
          <w:rFonts w:ascii="Arial" w:cs="Arial" w:eastAsia="Arial" w:hAnsi="Arial"/>
          <w:sz w:val="16"/>
          <w:szCs w:val="16"/>
          <w:color w:val="auto"/>
        </w:rPr>
      </w:pPr>
      <w:r>
        <w:rPr>
          <w:rFonts w:ascii="Arial" w:cs="Arial" w:eastAsia="Arial" w:hAnsi="Arial"/>
          <w:sz w:val="16"/>
          <w:szCs w:val="16"/>
          <w:color w:val="auto"/>
        </w:rPr>
        <w:t>For Restricted Stock Units with a Scheduled Vesting Date of [____] from Date of Grant, [____]</w:t>
      </w:r>
    </w:p>
    <w:p>
      <w:pPr>
        <w:spacing w:after="0" w:line="7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from Date of Grant;</w:t>
      </w:r>
    </w:p>
    <w:p>
      <w:pPr>
        <w:spacing w:after="0" w:line="265" w:lineRule="exact"/>
        <w:rPr>
          <w:rFonts w:ascii="Arial" w:cs="Arial" w:eastAsia="Arial" w:hAnsi="Arial"/>
          <w:sz w:val="16"/>
          <w:szCs w:val="16"/>
          <w:color w:val="auto"/>
        </w:rPr>
      </w:pPr>
    </w:p>
    <w:p>
      <w:pPr>
        <w:ind w:left="4320" w:hanging="1071"/>
        <w:spacing w:after="0"/>
        <w:tabs>
          <w:tab w:leader="none" w:pos="4320" w:val="left"/>
        </w:tabs>
        <w:numPr>
          <w:ilvl w:val="2"/>
          <w:numId w:val="55"/>
        </w:numPr>
        <w:rPr>
          <w:rFonts w:ascii="Arial" w:cs="Arial" w:eastAsia="Arial" w:hAnsi="Arial"/>
          <w:sz w:val="17"/>
          <w:szCs w:val="17"/>
          <w:color w:val="auto"/>
        </w:rPr>
      </w:pPr>
      <w:r>
        <w:rPr>
          <w:rFonts w:ascii="Arial" w:cs="Arial" w:eastAsia="Arial" w:hAnsi="Arial"/>
          <w:sz w:val="17"/>
          <w:szCs w:val="17"/>
          <w:color w:val="auto"/>
        </w:rPr>
        <w:t>For Restricted Stock Units with a Scheduled Vesting Date of [____] from Date of Grant, [____]</w:t>
      </w:r>
    </w:p>
    <w:p>
      <w:pPr>
        <w:spacing w:after="0" w:line="6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from Date of Grant.</w:t>
      </w:r>
    </w:p>
    <w:p>
      <w:pPr>
        <w:spacing w:after="0" w:line="265" w:lineRule="exact"/>
        <w:rPr>
          <w:rFonts w:ascii="Arial" w:cs="Arial" w:eastAsia="Arial" w:hAnsi="Arial"/>
          <w:sz w:val="17"/>
          <w:szCs w:val="17"/>
          <w:color w:val="auto"/>
        </w:rPr>
      </w:pPr>
    </w:p>
    <w:p>
      <w:pPr>
        <w:ind w:right="60" w:firstLine="2601"/>
        <w:spacing w:after="0" w:line="311" w:lineRule="auto"/>
        <w:tabs>
          <w:tab w:leader="none" w:pos="3451"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Deferral Period</w:t>
      </w:r>
      <w:r>
        <w:rPr>
          <w:rFonts w:ascii="Arial" w:cs="Arial" w:eastAsia="Arial" w:hAnsi="Arial"/>
          <w:sz w:val="18"/>
          <w:szCs w:val="18"/>
          <w:color w:val="auto"/>
        </w:rPr>
        <w:t>. If Grantee makes a Regular Deferral Election to defer the distribution date for Shares issuable with respect to some or all of the Restricted Stock Units hereby granted, Grantee may elect to defer the distribution date for a minimum of five years and a maximum of ten additional years from the Scheduled Vesting Date.</w:t>
      </w:r>
    </w:p>
    <w:p>
      <w:pPr>
        <w:spacing w:after="0" w:line="181" w:lineRule="exact"/>
        <w:rPr>
          <w:rFonts w:ascii="Arial" w:cs="Arial" w:eastAsia="Arial" w:hAnsi="Arial"/>
          <w:sz w:val="18"/>
          <w:szCs w:val="18"/>
          <w:color w:val="auto"/>
        </w:rPr>
      </w:pPr>
    </w:p>
    <w:p>
      <w:pPr>
        <w:ind w:right="340" w:firstLine="2601"/>
        <w:spacing w:after="0" w:line="324" w:lineRule="auto"/>
        <w:tabs>
          <w:tab w:leader="none" w:pos="3451"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Effect of Failure of Vesting Date to Occur</w:t>
      </w:r>
      <w:r>
        <w:rPr>
          <w:rFonts w:ascii="Arial" w:cs="Arial" w:eastAsia="Arial" w:hAnsi="Arial"/>
          <w:sz w:val="18"/>
          <w:szCs w:val="18"/>
          <w:color w:val="auto"/>
        </w:rPr>
        <w:t>. A Regular Deferral Election shall be null and void if a Vesting Date does not occur with respect to Restricted Stock Units identified in such Initial Election.</w:t>
      </w:r>
    </w:p>
    <w:p>
      <w:pPr>
        <w:spacing w:after="0" w:line="170" w:lineRule="exact"/>
        <w:rPr>
          <w:rFonts w:ascii="Arial" w:cs="Arial" w:eastAsia="Arial" w:hAnsi="Arial"/>
          <w:sz w:val="18"/>
          <w:szCs w:val="18"/>
          <w:color w:val="auto"/>
        </w:rPr>
      </w:pPr>
    </w:p>
    <w:p>
      <w:pPr>
        <w:ind w:left="2800" w:hanging="847"/>
        <w:spacing w:after="0"/>
        <w:tabs>
          <w:tab w:leader="none" w:pos="2800"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Subsequent Elections</w:t>
      </w:r>
      <w:r>
        <w:rPr>
          <w:rFonts w:ascii="Arial" w:cs="Arial" w:eastAsia="Arial" w:hAnsi="Arial"/>
          <w:sz w:val="16"/>
          <w:szCs w:val="16"/>
          <w:color w:val="auto"/>
        </w:rPr>
        <w:t>. No Subsequent Election shall be effective until 12 months after the date on which a Subsequent</w:t>
      </w:r>
    </w:p>
    <w:p>
      <w:pPr>
        <w:spacing w:after="0" w:line="7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Election is filed with the Committee.</w:t>
      </w:r>
    </w:p>
    <w:p>
      <w:pPr>
        <w:spacing w:after="0" w:line="265" w:lineRule="exact"/>
        <w:rPr>
          <w:rFonts w:ascii="Arial" w:cs="Arial" w:eastAsia="Arial" w:hAnsi="Arial"/>
          <w:sz w:val="16"/>
          <w:szCs w:val="16"/>
          <w:color w:val="auto"/>
        </w:rPr>
      </w:pPr>
    </w:p>
    <w:p>
      <w:pPr>
        <w:ind w:firstLine="2601"/>
        <w:spacing w:after="0" w:line="304" w:lineRule="auto"/>
        <w:tabs>
          <w:tab w:leader="none" w:pos="3451" w:val="left"/>
        </w:tabs>
        <w:numPr>
          <w:ilvl w:val="1"/>
          <w:numId w:val="55"/>
        </w:numPr>
        <w:rPr>
          <w:rFonts w:ascii="Arial" w:cs="Arial" w:eastAsia="Arial" w:hAnsi="Arial"/>
          <w:sz w:val="18"/>
          <w:szCs w:val="18"/>
          <w:color w:val="auto"/>
        </w:rPr>
      </w:pPr>
      <w:r>
        <w:rPr>
          <w:rFonts w:ascii="Arial" w:cs="Arial" w:eastAsia="Arial" w:hAnsi="Arial"/>
          <w:sz w:val="18"/>
          <w:szCs w:val="18"/>
          <w:color w:val="auto"/>
        </w:rPr>
        <w:t>If Grantee makes an Initial Election, a Regular Deferral Election or pursuant to this Paragraph 6(c)(1) makes a Subsequent Election to defer the distribution date for Shares issuable with respect to some or all of the Restricted Stock Units hereby granted, Grantee may elect to defer the distribution date for a minimum of five years and a maximum of ten additional years from the previously-elected distribution date by filing a Subsequent Election with the Committee on or before the close of business at least one year before the date on which the distribution would otherwise be made.</w:t>
      </w:r>
    </w:p>
    <w:p>
      <w:pPr>
        <w:spacing w:after="0" w:line="188" w:lineRule="exact"/>
        <w:rPr>
          <w:rFonts w:ascii="Arial" w:cs="Arial" w:eastAsia="Arial" w:hAnsi="Arial"/>
          <w:sz w:val="18"/>
          <w:szCs w:val="18"/>
          <w:color w:val="auto"/>
        </w:rPr>
      </w:pPr>
    </w:p>
    <w:p>
      <w:pPr>
        <w:ind w:right="60" w:firstLine="2601"/>
        <w:spacing w:after="0" w:line="354" w:lineRule="auto"/>
        <w:tabs>
          <w:tab w:leader="none" w:pos="3451" w:val="left"/>
        </w:tabs>
        <w:numPr>
          <w:ilvl w:val="1"/>
          <w:numId w:val="55"/>
        </w:numPr>
        <w:rPr>
          <w:rFonts w:ascii="Arial" w:cs="Arial" w:eastAsia="Arial" w:hAnsi="Arial"/>
          <w:sz w:val="16"/>
          <w:szCs w:val="16"/>
          <w:color w:val="auto"/>
        </w:rPr>
      </w:pPr>
      <w:r>
        <w:rPr>
          <w:rFonts w:ascii="Arial" w:cs="Arial" w:eastAsia="Arial" w:hAnsi="Arial"/>
          <w:sz w:val="16"/>
          <w:szCs w:val="16"/>
          <w:color w:val="auto"/>
        </w:rPr>
        <w:t>If Grantee dies before Shares subject to an Initial Election under Paragraph 6(a) are to be delivered, the estate or beneficiary to whom the right to delivery of such Shares shall have passed may make a Subsequent Election to defer receipt of all or any portion of such Shares for five additional years from the date delivery of Shares would otherwise be made, provided that such Subsequent Election must be filed with the Committee at least one year before the date on which the distribution would otherwise be made, as reflected on Grantee’s last Election.</w:t>
      </w:r>
    </w:p>
    <w:p>
      <w:pPr>
        <w:spacing w:after="0" w:line="156" w:lineRule="exact"/>
        <w:rPr>
          <w:rFonts w:ascii="Arial" w:cs="Arial" w:eastAsia="Arial" w:hAnsi="Arial"/>
          <w:sz w:val="16"/>
          <w:szCs w:val="16"/>
          <w:color w:val="auto"/>
        </w:rPr>
      </w:pPr>
    </w:p>
    <w:p>
      <w:pPr>
        <w:ind w:right="100" w:firstLine="2601"/>
        <w:spacing w:after="0" w:line="306" w:lineRule="auto"/>
        <w:tabs>
          <w:tab w:leader="none" w:pos="3451" w:val="left"/>
        </w:tabs>
        <w:numPr>
          <w:ilvl w:val="1"/>
          <w:numId w:val="55"/>
        </w:numPr>
        <w:rPr>
          <w:rFonts w:ascii="Arial" w:cs="Arial" w:eastAsia="Arial" w:hAnsi="Arial"/>
          <w:sz w:val="18"/>
          <w:szCs w:val="18"/>
          <w:color w:val="auto"/>
        </w:rPr>
      </w:pPr>
      <w:r>
        <w:rPr>
          <w:rFonts w:ascii="Arial" w:cs="Arial" w:eastAsia="Arial" w:hAnsi="Arial"/>
          <w:sz w:val="18"/>
          <w:szCs w:val="18"/>
          <w:color w:val="auto"/>
        </w:rPr>
        <w:t>If Grantee becomes a Retired Grantee before Shares subject to an Initial Election under Paragraph 6(a) are to be delivered, Grantee may make a Subsequent Election to defer all or any portion of such Shares for five additional years from the date delivery of Shares would otherwise be made. Such a Subsequent Election must be filed with the Committee at least one year before the date on which the distribution would otherwise be made.</w:t>
      </w:r>
    </w:p>
    <w:p>
      <w:pPr>
        <w:sectPr>
          <w:pgSz w:w="11900" w:h="16838" w:orient="portrait"/>
          <w:cols w:equalWidth="0" w:num="1">
            <w:col w:w="11400"/>
          </w:cols>
          <w:pgMar w:left="240" w:top="611" w:right="25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611" w:right="259" w:bottom="1440" w:gutter="0" w:footer="0" w:header="0"/>
          <w:type w:val="continuous"/>
        </w:sectPr>
      </w:pPr>
    </w:p>
    <w:bookmarkStart w:id="68" w:name="page69"/>
    <w:bookmarkEnd w:id="68"/>
    <w:p>
      <w:pPr>
        <w:ind w:left="-1200" w:right="320" w:firstLine="1953"/>
        <w:spacing w:after="0" w:line="324" w:lineRule="auto"/>
        <w:tabs>
          <w:tab w:leader="none" w:pos="1603" w:val="left"/>
        </w:tabs>
        <w:numPr>
          <w:ilvl w:val="1"/>
          <w:numId w:val="56"/>
        </w:numPr>
        <w:rPr>
          <w:rFonts w:ascii="Arial" w:cs="Arial" w:eastAsia="Arial" w:hAnsi="Arial"/>
          <w:sz w:val="18"/>
          <w:szCs w:val="18"/>
          <w:color w:val="auto"/>
        </w:rPr>
      </w:pPr>
      <w:r>
        <w:rPr>
          <w:rFonts w:ascii="Arial" w:cs="Arial" w:eastAsia="Arial" w:hAnsi="Arial"/>
          <w:sz w:val="18"/>
          <w:szCs w:val="18"/>
          <w:u w:val="single" w:color="auto"/>
          <w:color w:val="auto"/>
        </w:rPr>
        <w:t>Diversification Election</w:t>
      </w:r>
      <w:r>
        <w:rPr>
          <w:rFonts w:ascii="Arial" w:cs="Arial" w:eastAsia="Arial" w:hAnsi="Arial"/>
          <w:sz w:val="18"/>
          <w:szCs w:val="18"/>
          <w:color w:val="auto"/>
        </w:rPr>
        <w:t>. As provided in the Plan and as described in the prospectus for the Plan, a Grantee with an Account may be eligible to make a Diversification Election on an election form supplied by the Committee for this purpose.</w:t>
      </w:r>
    </w:p>
    <w:p>
      <w:pPr>
        <w:spacing w:after="0" w:line="170" w:lineRule="exact"/>
        <w:rPr>
          <w:rFonts w:ascii="Arial" w:cs="Arial" w:eastAsia="Arial" w:hAnsi="Arial"/>
          <w:sz w:val="18"/>
          <w:szCs w:val="18"/>
          <w:color w:val="auto"/>
        </w:rPr>
      </w:pPr>
    </w:p>
    <w:p>
      <w:pPr>
        <w:ind w:left="-1200" w:right="20" w:firstLine="1953"/>
        <w:spacing w:after="0" w:line="304" w:lineRule="auto"/>
        <w:tabs>
          <w:tab w:leader="none" w:pos="1593" w:val="left"/>
        </w:tabs>
        <w:numPr>
          <w:ilvl w:val="1"/>
          <w:numId w:val="56"/>
        </w:numPr>
        <w:rPr>
          <w:rFonts w:ascii="Arial" w:cs="Arial" w:eastAsia="Arial" w:hAnsi="Arial"/>
          <w:sz w:val="18"/>
          <w:szCs w:val="18"/>
          <w:color w:val="auto"/>
        </w:rPr>
      </w:pPr>
      <w:r>
        <w:rPr>
          <w:rFonts w:ascii="Arial" w:cs="Arial" w:eastAsia="Arial" w:hAnsi="Arial"/>
          <w:sz w:val="18"/>
          <w:szCs w:val="18"/>
          <w:u w:val="single" w:color="auto"/>
          <w:color w:val="auto"/>
        </w:rPr>
        <w:t>Book Accounts</w:t>
      </w:r>
      <w:r>
        <w:rPr>
          <w:rFonts w:ascii="Arial" w:cs="Arial" w:eastAsia="Arial" w:hAnsi="Arial"/>
          <w:sz w:val="18"/>
          <w:szCs w:val="18"/>
          <w:color w:val="auto"/>
        </w:rPr>
        <w:t>. An Account shall be established for each Grantee who makes an Initial Election. Deferred Stock Units shall be credited to the Account as of the Date an Initial Election becomes effective. Each Deferred Stock Unit will represent a hypothetical Share credited to the Account in lieu of delivery of the Shares to which an Initial Election, Subsequent Election or Acceleration Election applies. If an eligible Grantee makes a Diversification Election, then to the extent an Account is deemed invested in the Income Fund, the Committee shall credit earnings with respect to such Account at the Applicable Interest Rate.</w:t>
      </w:r>
    </w:p>
    <w:p>
      <w:pPr>
        <w:spacing w:after="0" w:line="188" w:lineRule="exact"/>
        <w:rPr>
          <w:rFonts w:ascii="Arial" w:cs="Arial" w:eastAsia="Arial" w:hAnsi="Arial"/>
          <w:sz w:val="18"/>
          <w:szCs w:val="18"/>
          <w:color w:val="auto"/>
        </w:rPr>
      </w:pPr>
    </w:p>
    <w:p>
      <w:pPr>
        <w:ind w:left="-1200" w:right="60" w:firstLine="1953"/>
        <w:spacing w:after="0" w:line="302" w:lineRule="auto"/>
        <w:tabs>
          <w:tab w:leader="none" w:pos="1573" w:val="left"/>
        </w:tabs>
        <w:numPr>
          <w:ilvl w:val="1"/>
          <w:numId w:val="56"/>
        </w:numPr>
        <w:rPr>
          <w:rFonts w:ascii="Arial" w:cs="Arial" w:eastAsia="Arial" w:hAnsi="Arial"/>
          <w:sz w:val="18"/>
          <w:szCs w:val="18"/>
          <w:color w:val="auto"/>
        </w:rPr>
      </w:pPr>
      <w:r>
        <w:rPr>
          <w:rFonts w:ascii="Arial" w:cs="Arial" w:eastAsia="Arial" w:hAnsi="Arial"/>
          <w:sz w:val="18"/>
          <w:szCs w:val="18"/>
          <w:u w:val="single" w:color="auto"/>
          <w:color w:val="auto"/>
        </w:rPr>
        <w:t>Status of Deferred Amounts</w:t>
      </w:r>
      <w:r>
        <w:rPr>
          <w:rFonts w:ascii="Arial" w:cs="Arial" w:eastAsia="Arial" w:hAnsi="Arial"/>
          <w:sz w:val="18"/>
          <w:szCs w:val="18"/>
          <w:color w:val="auto"/>
        </w:rPr>
        <w:t>. Grantee’s right to delivery of Shares subject to an Initial Election, Subsequent Election or Acceleration Election, or to amounts deemed invested in the Income Fund pursuant to a Diversification Election, shall at all times represent the general obligation of the Company. Grantee shall be a general creditor of the Company with respect to this obligation, and shall not have a secured or preferred position with respect to such obligation. Nothing contained in the Plan or an Award shall be deemed to create an escrow, trust, custodial account or fiduciary relationship of any kind. Nothing contained in the Plan or an Award shall be construed to eliminate any priority or preferred position of Grantee in a bankruptcy matter with respect to claims for wages.</w:t>
      </w:r>
    </w:p>
    <w:p>
      <w:pPr>
        <w:spacing w:after="0" w:line="192" w:lineRule="exact"/>
        <w:rPr>
          <w:rFonts w:ascii="Arial" w:cs="Arial" w:eastAsia="Arial" w:hAnsi="Arial"/>
          <w:sz w:val="18"/>
          <w:szCs w:val="18"/>
          <w:color w:val="auto"/>
        </w:rPr>
      </w:pPr>
    </w:p>
    <w:p>
      <w:pPr>
        <w:ind w:left="-1200" w:right="180" w:firstLine="1953"/>
        <w:spacing w:after="0" w:line="306" w:lineRule="auto"/>
        <w:tabs>
          <w:tab w:leader="none" w:pos="1603" w:val="left"/>
        </w:tabs>
        <w:numPr>
          <w:ilvl w:val="1"/>
          <w:numId w:val="56"/>
        </w:numPr>
        <w:rPr>
          <w:rFonts w:ascii="Arial" w:cs="Arial" w:eastAsia="Arial" w:hAnsi="Arial"/>
          <w:sz w:val="18"/>
          <w:szCs w:val="18"/>
          <w:color w:val="auto"/>
        </w:rPr>
      </w:pPr>
      <w:r>
        <w:rPr>
          <w:rFonts w:ascii="Arial" w:cs="Arial" w:eastAsia="Arial" w:hAnsi="Arial"/>
          <w:sz w:val="18"/>
          <w:szCs w:val="18"/>
          <w:u w:val="single" w:color="auto"/>
          <w:color w:val="auto"/>
        </w:rPr>
        <w:t>Non-Assignability, Etc.</w:t>
      </w:r>
      <w:r>
        <w:rPr>
          <w:rFonts w:ascii="Arial" w:cs="Arial" w:eastAsia="Arial" w:hAnsi="Arial"/>
          <w:sz w:val="18"/>
          <w:szCs w:val="18"/>
          <w:color w:val="auto"/>
        </w:rPr>
        <w:t xml:space="preserve"> The right of Grantee to receive Shares subject to an Election under this Paragraph 6, or to amounts deemed invested in the Income Fund pursuant to a Diversification Election, shall not be subject in any manner to attachment or other legal process for the debts of Grantee; and no right to receive Shares or cash hereunder shall be subject to anticipation, alienation, sale, transfer, assignment or encumbrance.</w:t>
      </w:r>
    </w:p>
    <w:p>
      <w:pPr>
        <w:spacing w:after="0" w:line="186" w:lineRule="exact"/>
        <w:rPr>
          <w:rFonts w:ascii="Arial" w:cs="Arial" w:eastAsia="Arial" w:hAnsi="Arial"/>
          <w:sz w:val="18"/>
          <w:szCs w:val="18"/>
          <w:color w:val="auto"/>
        </w:rPr>
      </w:pPr>
    </w:p>
    <w:p>
      <w:pPr>
        <w:ind w:left="-1200" w:right="40" w:firstLine="1305"/>
        <w:spacing w:after="0" w:line="311" w:lineRule="auto"/>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to the Company under this Agreement shall be made in care of the Committee at the Company’s main office in Philadelphia, Pennsylvania. All notices under this Agreement shall be deemed to have been given when hand-delivered or mailed, first class postage prepaid, and shall be irrevocable once given.</w:t>
      </w:r>
    </w:p>
    <w:p>
      <w:pPr>
        <w:spacing w:after="0" w:line="181" w:lineRule="exact"/>
        <w:rPr>
          <w:rFonts w:ascii="Arial" w:cs="Arial" w:eastAsia="Arial" w:hAnsi="Arial"/>
          <w:sz w:val="18"/>
          <w:szCs w:val="18"/>
          <w:color w:val="auto"/>
        </w:rPr>
      </w:pPr>
    </w:p>
    <w:p>
      <w:pPr>
        <w:ind w:left="-1200" w:right="100" w:firstLine="1305"/>
        <w:spacing w:after="0" w:line="311" w:lineRule="auto"/>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Securities Laws</w:t>
      </w:r>
      <w:r>
        <w:rPr>
          <w:rFonts w:ascii="Arial" w:cs="Arial" w:eastAsia="Arial" w:hAnsi="Arial"/>
          <w:sz w:val="18"/>
          <w:szCs w:val="18"/>
          <w:color w:val="auto"/>
        </w:rPr>
        <w:t>. The Committee may from time to time impose any conditions on the Shares issuable with respect to Restricted Stock Units as it deems necessary or advisable to ensure that the Plan satisfies the conditions of Rule 16b-3, and that Shares are issued and resold in compliance with the Securities Act of 1933, as amended.</w:t>
      </w:r>
    </w:p>
    <w:p>
      <w:pPr>
        <w:spacing w:after="0" w:line="181" w:lineRule="exact"/>
        <w:rPr>
          <w:rFonts w:ascii="Arial" w:cs="Arial" w:eastAsia="Arial" w:hAnsi="Arial"/>
          <w:sz w:val="18"/>
          <w:szCs w:val="18"/>
          <w:color w:val="auto"/>
        </w:rPr>
      </w:pPr>
    </w:p>
    <w:p>
      <w:pPr>
        <w:ind w:left="880" w:hanging="775"/>
        <w:spacing w:after="0"/>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Delivery of Shares; Repayment</w:t>
      </w:r>
      <w:r>
        <w:rPr>
          <w:rFonts w:ascii="Arial" w:cs="Arial" w:eastAsia="Arial" w:hAnsi="Arial"/>
          <w:sz w:val="18"/>
          <w:szCs w:val="18"/>
          <w:color w:val="auto"/>
        </w:rPr>
        <w:t>.</w:t>
      </w:r>
    </w:p>
    <w:p>
      <w:pPr>
        <w:spacing w:after="0" w:line="265" w:lineRule="exact"/>
        <w:rPr>
          <w:rFonts w:ascii="Arial" w:cs="Arial" w:eastAsia="Arial" w:hAnsi="Arial"/>
          <w:sz w:val="18"/>
          <w:szCs w:val="18"/>
          <w:color w:val="auto"/>
        </w:rPr>
      </w:pPr>
    </w:p>
    <w:p>
      <w:pPr>
        <w:ind w:left="-1200" w:firstLine="1953"/>
        <w:spacing w:after="0" w:line="319" w:lineRule="auto"/>
        <w:tabs>
          <w:tab w:leader="none" w:pos="1593" w:val="left"/>
        </w:tabs>
        <w:numPr>
          <w:ilvl w:val="1"/>
          <w:numId w:val="57"/>
        </w:numPr>
        <w:rPr>
          <w:rFonts w:ascii="Arial" w:cs="Arial" w:eastAsia="Arial" w:hAnsi="Arial"/>
          <w:sz w:val="17"/>
          <w:szCs w:val="17"/>
          <w:color w:val="auto"/>
        </w:rPr>
      </w:pPr>
      <w:r>
        <w:rPr>
          <w:rFonts w:ascii="Arial" w:cs="Arial" w:eastAsia="Arial" w:hAnsi="Arial"/>
          <w:sz w:val="17"/>
          <w:szCs w:val="17"/>
          <w:u w:val="single" w:color="auto"/>
          <w:color w:val="auto"/>
        </w:rPr>
        <w:t>Delivery of Shares</w:t>
      </w:r>
      <w:r>
        <w:rPr>
          <w:rFonts w:ascii="Arial" w:cs="Arial" w:eastAsia="Arial" w:hAnsi="Arial"/>
          <w:sz w:val="17"/>
          <w:szCs w:val="17"/>
          <w:color w:val="auto"/>
        </w:rPr>
        <w:t>. Except as otherwise provided in Paragraph 6, the Company shall notify Grantee that a Vesting Date with respect to Restricted Stock Units has occurred. Within ten (10) business days of a Vesting Date, the Company shall, without payment from Grantee, satisfy its obligations to (1) pay the Dividend Equivalent Amount (if any) and (2) deliver Shares issuable under the Plan either by (i) delivery of a physical certificate for Shares issuable under the Plan or (ii) arranging for the recording of Grantee’s ownership of Shares issuable under the Plan on a book entry recordkeeping system maintained on behalf of the Company, in either case without any legend or restrictions, except for such restrictions as may be imposed by the Committee, in its sole judgment, under Paragraph 8, provided that the Dividend Equivalent Amount (if any) will not be paid and/or Shares will not be delivered to Grantee until appropriate arrangements have been made with the Employer for the withholding of any taxes which may be due with respect to such payment of the Dividend Equivalent Amount and/or delivery of such Shares. The Company may condition delivery of certificates for Shares upon the prior receipt from Grantee of any undertakings which it may determine are required to assure that the certificates are being issued in compliance with federal and state securities laws. The right to payment of any fractional Shares shall be satisfied in cash, measured by the product of the fractional amount times the Fair Market Value of a Share on the Vesting Date, as determined by the Committee.</w:t>
      </w:r>
    </w:p>
    <w:p>
      <w:pPr>
        <w:spacing w:after="0" w:line="180" w:lineRule="exact"/>
        <w:rPr>
          <w:rFonts w:ascii="Arial" w:cs="Arial" w:eastAsia="Arial" w:hAnsi="Arial"/>
          <w:sz w:val="17"/>
          <w:szCs w:val="17"/>
          <w:color w:val="auto"/>
        </w:rPr>
      </w:pPr>
    </w:p>
    <w:p>
      <w:pPr>
        <w:ind w:left="-1200" w:right="20" w:firstLine="1953"/>
        <w:spacing w:after="0" w:line="343" w:lineRule="auto"/>
        <w:tabs>
          <w:tab w:leader="none" w:pos="1603" w:val="left"/>
        </w:tabs>
        <w:numPr>
          <w:ilvl w:val="1"/>
          <w:numId w:val="57"/>
        </w:numPr>
        <w:rPr>
          <w:rFonts w:ascii="Arial" w:cs="Arial" w:eastAsia="Arial" w:hAnsi="Arial"/>
          <w:sz w:val="16"/>
          <w:szCs w:val="16"/>
          <w:color w:val="auto"/>
        </w:rPr>
      </w:pPr>
      <w:r>
        <w:rPr>
          <w:rFonts w:ascii="Arial" w:cs="Arial" w:eastAsia="Arial" w:hAnsi="Arial"/>
          <w:sz w:val="16"/>
          <w:szCs w:val="16"/>
          <w:u w:val="single" w:color="auto"/>
          <w:color w:val="auto"/>
        </w:rPr>
        <w:t>Repayment</w:t>
      </w:r>
      <w:r>
        <w:rPr>
          <w:rFonts w:ascii="Arial" w:cs="Arial" w:eastAsia="Arial" w:hAnsi="Arial"/>
          <w:sz w:val="16"/>
          <w:szCs w:val="16"/>
          <w:color w:val="auto"/>
        </w:rPr>
        <w:t>. If it is determined by the Board that gross negligence, intentional misconduct or fraud by Grantee caused or partially caused the Company to have to restate all or a portion of its financial statements, the Board, in its sole discretion, may, to the extent permitted by law and to the extent it determines in its sole judgment that it is in the best interests of the Company to do so, require repayment of Shares delivered pursuant to the vesting of the Restricted Stock Units, or to effect the cancellation of unvested Restricted Stock Units, if (i) the vesting of the Award was calculated based upon, or contingent on, the achievement of financial or operating results that were the subject of or affected by the restatement, and (ii) the extent of vesting of the Award would have been less had the financial statements been correct. In addition, to the extent that the receipt of an Award subject to repayment under this Paragraph 9(b) has been deferred pursuant to Paragraph 6 (or any other plan, program or arrangement that permits the deferral of receipt of an Award), such Award (and any earnings credited with respect thereto) shall be forfeited in lieu of repayment.</w:t>
      </w:r>
    </w:p>
    <w:p>
      <w:pPr>
        <w:sectPr>
          <w:pgSz w:w="11900" w:h="16838" w:orient="portrait"/>
          <w:cols w:equalWidth="0" w:num="1">
            <w:col w:w="10200"/>
          </w:cols>
          <w:pgMar w:left="1440" w:top="611" w:right="259" w:bottom="1440" w:gutter="0" w:footer="0" w:header="0"/>
        </w:sectPr>
      </w:pPr>
    </w:p>
    <w:p>
      <w:pPr>
        <w:spacing w:after="0" w:line="381"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200"/>
          </w:cols>
          <w:pgMar w:left="1440" w:top="611" w:right="259" w:bottom="1440" w:gutter="0" w:footer="0" w:header="0"/>
          <w:type w:val="continuous"/>
        </w:sectPr>
      </w:pPr>
    </w:p>
    <w:bookmarkStart w:id="69" w:name="page70"/>
    <w:bookmarkEnd w:id="69"/>
    <w:p>
      <w:pPr>
        <w:ind w:firstLine="1305"/>
        <w:spacing w:after="0" w:line="302" w:lineRule="auto"/>
        <w:tabs>
          <w:tab w:leader="none" w:pos="217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Notwithstanding the above, to the extent that any Restricted Stock Units are determined by the Company to be “nonqualified deferred compensation” under section 409A of the Code and its implementing regulations and guidance and Shares become deliverable with respect to such Restricted Stock Units as a result of the Grantee’s termination of employment, such Shares will only be delivered if such termination of employment constitutes a “separation from service” within the meaning of Treas. Reg. 1.409A-1(h) and, to the extent compliance with the requirements of Treas. Reg. § 1.409A-3(i)(2) is necessary to avoid the application of an additional tax under Section 409A of the Code, Shares that would otherwise become deliverable upon the Grantee’s “separation from service” will be deferred (without interest) and issued to the Grantee immediately following that six month period.</w:t>
      </w:r>
    </w:p>
    <w:p>
      <w:pPr>
        <w:spacing w:after="0" w:line="189" w:lineRule="exact"/>
        <w:rPr>
          <w:rFonts w:ascii="Arial" w:cs="Arial" w:eastAsia="Arial" w:hAnsi="Arial"/>
          <w:sz w:val="18"/>
          <w:szCs w:val="18"/>
          <w:color w:val="auto"/>
        </w:rPr>
      </w:pPr>
    </w:p>
    <w:p>
      <w:pPr>
        <w:ind w:right="220" w:firstLine="1305"/>
        <w:spacing w:after="0" w:line="324" w:lineRule="auto"/>
        <w:tabs>
          <w:tab w:leader="none" w:pos="2163"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Award Not to Affect Employment</w:t>
      </w:r>
      <w:r>
        <w:rPr>
          <w:rFonts w:ascii="Arial" w:cs="Arial" w:eastAsia="Arial" w:hAnsi="Arial"/>
          <w:sz w:val="18"/>
          <w:szCs w:val="18"/>
          <w:color w:val="auto"/>
        </w:rPr>
        <w:t>. The Award granted hereunder shall not confer upon Grantee any right to continue in the employment of the Company or any subsidiary or affiliate of the Company.</w:t>
      </w:r>
    </w:p>
    <w:p>
      <w:pPr>
        <w:spacing w:after="0" w:line="170" w:lineRule="exact"/>
        <w:rPr>
          <w:rFonts w:ascii="Arial" w:cs="Arial" w:eastAsia="Arial" w:hAnsi="Arial"/>
          <w:sz w:val="18"/>
          <w:szCs w:val="18"/>
          <w:color w:val="auto"/>
        </w:rPr>
      </w:pPr>
    </w:p>
    <w:p>
      <w:pPr>
        <w:ind w:left="2180" w:hanging="875"/>
        <w:spacing w:after="0"/>
        <w:tabs>
          <w:tab w:leader="none" w:pos="218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65" w:lineRule="exact"/>
        <w:rPr>
          <w:rFonts w:ascii="Arial" w:cs="Arial" w:eastAsia="Arial" w:hAnsi="Arial"/>
          <w:sz w:val="18"/>
          <w:szCs w:val="18"/>
          <w:color w:val="auto"/>
        </w:rPr>
      </w:pPr>
    </w:p>
    <w:p>
      <w:pPr>
        <w:ind w:right="60" w:firstLine="1953"/>
        <w:spacing w:after="0" w:line="364" w:lineRule="auto"/>
        <w:tabs>
          <w:tab w:leader="none" w:pos="2793" w:val="left"/>
        </w:tabs>
        <w:numPr>
          <w:ilvl w:val="1"/>
          <w:numId w:val="58"/>
        </w:numPr>
        <w:rPr>
          <w:rFonts w:ascii="Arial" w:cs="Arial" w:eastAsia="Arial" w:hAnsi="Arial"/>
          <w:sz w:val="16"/>
          <w:szCs w:val="16"/>
          <w:color w:val="auto"/>
        </w:rPr>
      </w:pPr>
      <w:r>
        <w:rPr>
          <w:rFonts w:ascii="Arial" w:cs="Arial" w:eastAsia="Arial" w:hAnsi="Arial"/>
          <w:sz w:val="16"/>
          <w:szCs w:val="16"/>
          <w:color w:val="auto"/>
        </w:rPr>
        <w:t>The Award granted hereunder is subject to the approval of the Plan by the shareholders of the Company to the extent that such approval (i) is required pursuant to the By-Laws of the National Association of Securities Dealers, Inc., and the schedules thereto, in connection with issuers whose securities are included in the NASDAQ National Market System, or (ii) is required to satisfy the conditions of Rule 16b-3.</w:t>
      </w:r>
    </w:p>
    <w:p>
      <w:pPr>
        <w:spacing w:after="0" w:line="148" w:lineRule="exact"/>
        <w:rPr>
          <w:rFonts w:ascii="Arial" w:cs="Arial" w:eastAsia="Arial" w:hAnsi="Arial"/>
          <w:sz w:val="16"/>
          <w:szCs w:val="16"/>
          <w:color w:val="auto"/>
        </w:rPr>
      </w:pPr>
    </w:p>
    <w:p>
      <w:pPr>
        <w:ind w:right="240" w:firstLine="1953"/>
        <w:spacing w:after="0" w:line="324" w:lineRule="auto"/>
        <w:tabs>
          <w:tab w:leader="none" w:pos="2803"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address for Grantee to which notice, demands and other communications to be given or delivered under or by reason of the provisions hereof shall be Grantee’s address as reflected in the Company’s personnel records.</w:t>
      </w:r>
    </w:p>
    <w:p>
      <w:pPr>
        <w:spacing w:after="0" w:line="170" w:lineRule="exact"/>
        <w:rPr>
          <w:rFonts w:ascii="Arial" w:cs="Arial" w:eastAsia="Arial" w:hAnsi="Arial"/>
          <w:sz w:val="18"/>
          <w:szCs w:val="18"/>
          <w:color w:val="auto"/>
        </w:rPr>
      </w:pPr>
    </w:p>
    <w:p>
      <w:pPr>
        <w:ind w:firstLine="1953"/>
        <w:spacing w:after="0" w:line="324" w:lineRule="auto"/>
        <w:tabs>
          <w:tab w:leader="none" w:pos="2793"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validity, performance, construction and effect of this Award shall be governed by the laws of the Commonwealth of Pennsylvania, without giving effect to principles of conflicts of law.</w:t>
      </w:r>
    </w:p>
    <w:p>
      <w:pPr>
        <w:spacing w:after="0" w:line="30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COMCAST CORPORATION</w:t>
      </w:r>
    </w:p>
    <w:p>
      <w:pPr>
        <w:spacing w:after="0" w:line="200" w:lineRule="exact"/>
        <w:rPr>
          <w:sz w:val="20"/>
          <w:szCs w:val="20"/>
          <w:color w:val="auto"/>
        </w:rPr>
      </w:pPr>
    </w:p>
    <w:p>
      <w:pPr>
        <w:spacing w:after="0" w:line="295"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ATTEST: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60"/>
          </w:cols>
          <w:pgMar w:left="240" w:top="611" w:right="399" w:bottom="1440" w:gutter="0" w:footer="0" w:header="0"/>
        </w:sectPr>
      </w:pPr>
    </w:p>
    <w:bookmarkStart w:id="70" w:name="page71"/>
    <w:bookmarkEnd w:id="70"/>
    <w:p>
      <w:pPr>
        <w:jc w:val="center"/>
        <w:ind w:right="-279"/>
        <w:spacing w:after="0"/>
        <w:rPr>
          <w:sz w:val="20"/>
          <w:szCs w:val="20"/>
          <w:color w:val="auto"/>
        </w:rPr>
      </w:pPr>
      <w:r>
        <w:rPr>
          <w:rFonts w:ascii="Arial" w:cs="Arial" w:eastAsia="Arial" w:hAnsi="Arial"/>
          <w:sz w:val="18"/>
          <w:szCs w:val="18"/>
          <w:b w:val="1"/>
          <w:bCs w:val="1"/>
          <w:color w:val="auto"/>
        </w:rPr>
        <w:t>FORM OF LONG-TERM INCENTIVE AWARDS SUMMARY SCHEDULE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This Long-Term Incentive Awards Summary Schedule (this “Schedule) provides certain information related to Restricted Stock Units you were granted by Comcast Corporation on [_______________] (the “Date of Grant”). </w:t>
      </w:r>
      <w:r>
        <w:rPr>
          <w:rFonts w:ascii="Arial" w:cs="Arial" w:eastAsia="Arial" w:hAnsi="Arial"/>
          <w:sz w:val="18"/>
          <w:szCs w:val="18"/>
          <w:b w:val="1"/>
          <w:bCs w:val="1"/>
          <w:color w:val="auto"/>
        </w:rPr>
        <w:t>This Schedule is intended to be, and shall at all times be interpreted as, a part of</w:t>
      </w:r>
      <w:r>
        <w:rPr>
          <w:rFonts w:ascii="Arial" w:cs="Arial" w:eastAsia="Arial" w:hAnsi="Arial"/>
          <w:sz w:val="18"/>
          <w:szCs w:val="18"/>
          <w:color w:val="auto"/>
        </w:rPr>
        <w:t xml:space="preserve"> </w:t>
      </w:r>
      <w:r>
        <w:rPr>
          <w:rFonts w:ascii="Arial" w:cs="Arial" w:eastAsia="Arial" w:hAnsi="Arial"/>
          <w:sz w:val="18"/>
          <w:szCs w:val="18"/>
          <w:b w:val="1"/>
          <w:bCs w:val="1"/>
          <w:color w:val="auto"/>
        </w:rPr>
        <w:t>your Comcast Corporation Restricted Stock Unit Award document.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Restricted Stock Unit Award</w:t>
      </w:r>
    </w:p>
    <w:p>
      <w:pPr>
        <w:spacing w:after="0" w:line="359" w:lineRule="exact"/>
        <w:rPr>
          <w:sz w:val="20"/>
          <w:szCs w:val="20"/>
          <w:color w:val="auto"/>
        </w:rPr>
      </w:pPr>
    </w:p>
    <w:tbl>
      <w:tblPr>
        <w:tblLayout w:type="fixed"/>
        <w:tblInd w:w="770" w:type="dxa"/>
        <w:tblCellMar>
          <w:top w:w="0" w:type="dxa"/>
          <w:left w:w="0" w:type="dxa"/>
          <w:bottom w:w="0" w:type="dxa"/>
          <w:right w:w="0" w:type="dxa"/>
        </w:tblCellMar>
      </w:tblPr>
      <w:tr>
        <w:trPr>
          <w:trHeight w:val="257"/>
        </w:trPr>
        <w:tc>
          <w:tcPr>
            <w:tcW w:w="310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Grantee:</w:t>
            </w:r>
          </w:p>
        </w:tc>
        <w:tc>
          <w:tcPr>
            <w:tcW w:w="68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[________________]</w:t>
            </w:r>
          </w:p>
        </w:tc>
        <w:tc>
          <w:tcPr>
            <w:tcW w:w="0" w:type="dxa"/>
            <w:vAlign w:val="bottom"/>
          </w:tcPr>
          <w:p>
            <w:pPr>
              <w:spacing w:after="0"/>
              <w:rPr>
                <w:sz w:val="1"/>
                <w:szCs w:val="1"/>
                <w:color w:val="auto"/>
              </w:rPr>
            </w:pPr>
          </w:p>
        </w:tc>
      </w:tr>
      <w:tr>
        <w:trPr>
          <w:trHeight w:val="27"/>
        </w:trPr>
        <w:tc>
          <w:tcPr>
            <w:tcW w:w="3100" w:type="dxa"/>
            <w:vAlign w:val="bottom"/>
            <w:tcBorders>
              <w:left w:val="single" w:sz="8" w:color="auto"/>
              <w:bottom w:val="single" w:sz="8" w:color="auto"/>
              <w:right w:val="single" w:sz="8" w:color="auto"/>
            </w:tcBorders>
          </w:tcPr>
          <w:p>
            <w:pPr>
              <w:spacing w:after="0"/>
              <w:rPr>
                <w:sz w:val="2"/>
                <w:szCs w:val="2"/>
                <w:color w:val="auto"/>
              </w:rPr>
            </w:pPr>
          </w:p>
        </w:tc>
        <w:tc>
          <w:tcPr>
            <w:tcW w:w="6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Date of Grant:</w:t>
            </w:r>
          </w:p>
        </w:tc>
        <w:tc>
          <w:tcPr>
            <w:tcW w:w="6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[_______________]</w:t>
            </w:r>
          </w:p>
        </w:tc>
        <w:tc>
          <w:tcPr>
            <w:tcW w:w="0" w:type="dxa"/>
            <w:vAlign w:val="bottom"/>
          </w:tcPr>
          <w:p>
            <w:pPr>
              <w:spacing w:after="0"/>
              <w:rPr>
                <w:sz w:val="1"/>
                <w:szCs w:val="1"/>
                <w:color w:val="auto"/>
              </w:rPr>
            </w:pPr>
          </w:p>
        </w:tc>
      </w:tr>
      <w:tr>
        <w:trPr>
          <w:trHeight w:val="27"/>
        </w:trPr>
        <w:tc>
          <w:tcPr>
            <w:tcW w:w="3100" w:type="dxa"/>
            <w:vAlign w:val="bottom"/>
            <w:tcBorders>
              <w:left w:val="single" w:sz="8" w:color="auto"/>
              <w:bottom w:val="single" w:sz="8" w:color="auto"/>
              <w:right w:val="single" w:sz="8" w:color="auto"/>
            </w:tcBorders>
          </w:tcPr>
          <w:p>
            <w:pPr>
              <w:spacing w:after="0"/>
              <w:rPr>
                <w:sz w:val="2"/>
                <w:szCs w:val="2"/>
                <w:color w:val="auto"/>
              </w:rPr>
            </w:pPr>
          </w:p>
        </w:tc>
        <w:tc>
          <w:tcPr>
            <w:tcW w:w="6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Common Stock:</w:t>
            </w:r>
          </w:p>
        </w:tc>
        <w:tc>
          <w:tcPr>
            <w:tcW w:w="6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Comcast Corporation Class A Common Stock</w:t>
            </w:r>
          </w:p>
        </w:tc>
        <w:tc>
          <w:tcPr>
            <w:tcW w:w="0" w:type="dxa"/>
            <w:vAlign w:val="bottom"/>
          </w:tcPr>
          <w:p>
            <w:pPr>
              <w:spacing w:after="0"/>
              <w:rPr>
                <w:sz w:val="1"/>
                <w:szCs w:val="1"/>
                <w:color w:val="auto"/>
              </w:rPr>
            </w:pPr>
          </w:p>
        </w:tc>
      </w:tr>
      <w:tr>
        <w:trPr>
          <w:trHeight w:val="27"/>
        </w:trPr>
        <w:tc>
          <w:tcPr>
            <w:tcW w:w="3100" w:type="dxa"/>
            <w:vAlign w:val="bottom"/>
            <w:tcBorders>
              <w:left w:val="single" w:sz="8" w:color="auto"/>
              <w:bottom w:val="single" w:sz="8" w:color="auto"/>
              <w:right w:val="single" w:sz="8" w:color="auto"/>
            </w:tcBorders>
          </w:tcPr>
          <w:p>
            <w:pPr>
              <w:spacing w:after="0"/>
              <w:rPr>
                <w:sz w:val="2"/>
                <w:szCs w:val="2"/>
                <w:color w:val="auto"/>
              </w:rPr>
            </w:pPr>
          </w:p>
        </w:tc>
        <w:tc>
          <w:tcPr>
            <w:tcW w:w="6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0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8"/>
                <w:szCs w:val="18"/>
                <w:color w:val="auto"/>
              </w:rPr>
              <w:t>Number of Restricted Stock Units</w:t>
            </w:r>
          </w:p>
        </w:tc>
        <w:tc>
          <w:tcPr>
            <w:tcW w:w="6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___ at Tier Two Performance Goal ( the “Target Performance Goal”)</w:t>
            </w:r>
          </w:p>
        </w:tc>
        <w:tc>
          <w:tcPr>
            <w:tcW w:w="0" w:type="dxa"/>
            <w:vAlign w:val="bottom"/>
          </w:tcPr>
          <w:p>
            <w:pPr>
              <w:spacing w:after="0"/>
              <w:rPr>
                <w:sz w:val="1"/>
                <w:szCs w:val="1"/>
                <w:color w:val="auto"/>
              </w:rPr>
            </w:pPr>
          </w:p>
        </w:tc>
      </w:tr>
      <w:tr>
        <w:trPr>
          <w:trHeight w:val="94"/>
        </w:trPr>
        <w:tc>
          <w:tcPr>
            <w:tcW w:w="3100" w:type="dxa"/>
            <w:vAlign w:val="bottom"/>
            <w:tcBorders>
              <w:left w:val="single" w:sz="8" w:color="auto"/>
              <w:right w:val="single" w:sz="8" w:color="auto"/>
            </w:tcBorders>
            <w:vMerge w:val="continue"/>
          </w:tcPr>
          <w:p>
            <w:pPr>
              <w:spacing w:after="0"/>
              <w:rPr>
                <w:sz w:val="8"/>
                <w:szCs w:val="8"/>
                <w:color w:val="auto"/>
              </w:rPr>
            </w:pPr>
          </w:p>
        </w:tc>
        <w:tc>
          <w:tcPr>
            <w:tcW w:w="68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3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Granted:</w:t>
            </w:r>
          </w:p>
        </w:tc>
        <w:tc>
          <w:tcPr>
            <w:tcW w:w="68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[__]% of [___] at Tier Three Performance Goal</w:t>
            </w:r>
          </w:p>
        </w:tc>
        <w:tc>
          <w:tcPr>
            <w:tcW w:w="0" w:type="dxa"/>
            <w:vAlign w:val="bottom"/>
          </w:tcPr>
          <w:p>
            <w:pPr>
              <w:spacing w:after="0"/>
              <w:rPr>
                <w:sz w:val="1"/>
                <w:szCs w:val="1"/>
                <w:color w:val="auto"/>
              </w:rPr>
            </w:pPr>
          </w:p>
        </w:tc>
      </w:tr>
      <w:tr>
        <w:trPr>
          <w:trHeight w:val="108"/>
        </w:trPr>
        <w:tc>
          <w:tcPr>
            <w:tcW w:w="3100" w:type="dxa"/>
            <w:vAlign w:val="bottom"/>
            <w:tcBorders>
              <w:left w:val="single" w:sz="8" w:color="auto"/>
              <w:right w:val="single" w:sz="8" w:color="auto"/>
            </w:tcBorders>
          </w:tcPr>
          <w:p>
            <w:pPr>
              <w:spacing w:after="0"/>
              <w:rPr>
                <w:sz w:val="9"/>
                <w:szCs w:val="9"/>
                <w:color w:val="auto"/>
              </w:rPr>
            </w:pPr>
          </w:p>
        </w:tc>
        <w:tc>
          <w:tcPr>
            <w:tcW w:w="68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100" w:type="dxa"/>
            <w:vAlign w:val="bottom"/>
            <w:tcBorders>
              <w:left w:val="single" w:sz="8" w:color="auto"/>
              <w:bottom w:val="single" w:sz="8" w:color="auto"/>
              <w:right w:val="single" w:sz="8" w:color="auto"/>
            </w:tcBorders>
          </w:tcPr>
          <w:p>
            <w:pPr>
              <w:spacing w:after="0"/>
              <w:rPr>
                <w:sz w:val="2"/>
                <w:szCs w:val="2"/>
                <w:color w:val="auto"/>
              </w:rPr>
            </w:pPr>
          </w:p>
        </w:tc>
        <w:tc>
          <w:tcPr>
            <w:tcW w:w="6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[YEAR 1] RSUs</w:t>
            </w:r>
          </w:p>
        </w:tc>
        <w:tc>
          <w:tcPr>
            <w:tcW w:w="6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[__]% of the Restricted Stock Units, determined at the Target Performance Goal.</w:t>
            </w:r>
          </w:p>
        </w:tc>
        <w:tc>
          <w:tcPr>
            <w:tcW w:w="0" w:type="dxa"/>
            <w:vAlign w:val="bottom"/>
          </w:tcPr>
          <w:p>
            <w:pPr>
              <w:spacing w:after="0"/>
              <w:rPr>
                <w:sz w:val="1"/>
                <w:szCs w:val="1"/>
                <w:color w:val="auto"/>
              </w:rPr>
            </w:pPr>
          </w:p>
        </w:tc>
      </w:tr>
      <w:tr>
        <w:trPr>
          <w:trHeight w:val="27"/>
        </w:trPr>
        <w:tc>
          <w:tcPr>
            <w:tcW w:w="3100" w:type="dxa"/>
            <w:vAlign w:val="bottom"/>
            <w:tcBorders>
              <w:left w:val="single" w:sz="8" w:color="auto"/>
              <w:bottom w:val="single" w:sz="8" w:color="auto"/>
              <w:right w:val="single" w:sz="8" w:color="auto"/>
            </w:tcBorders>
          </w:tcPr>
          <w:p>
            <w:pPr>
              <w:spacing w:after="0"/>
              <w:rPr>
                <w:sz w:val="2"/>
                <w:szCs w:val="2"/>
                <w:color w:val="auto"/>
              </w:rPr>
            </w:pPr>
          </w:p>
        </w:tc>
        <w:tc>
          <w:tcPr>
            <w:tcW w:w="6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[YEAR 2] RSUs</w:t>
            </w:r>
          </w:p>
        </w:tc>
        <w:tc>
          <w:tcPr>
            <w:tcW w:w="6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[__]% of the Restricted Stock Units, determined at the Target Performance Goal.</w:t>
            </w:r>
          </w:p>
        </w:tc>
        <w:tc>
          <w:tcPr>
            <w:tcW w:w="0" w:type="dxa"/>
            <w:vAlign w:val="bottom"/>
          </w:tcPr>
          <w:p>
            <w:pPr>
              <w:spacing w:after="0"/>
              <w:rPr>
                <w:sz w:val="1"/>
                <w:szCs w:val="1"/>
                <w:color w:val="auto"/>
              </w:rPr>
            </w:pPr>
          </w:p>
        </w:tc>
      </w:tr>
      <w:tr>
        <w:trPr>
          <w:trHeight w:val="27"/>
        </w:trPr>
        <w:tc>
          <w:tcPr>
            <w:tcW w:w="3100" w:type="dxa"/>
            <w:vAlign w:val="bottom"/>
            <w:tcBorders>
              <w:left w:val="single" w:sz="8" w:color="auto"/>
              <w:bottom w:val="single" w:sz="8" w:color="auto"/>
              <w:right w:val="single" w:sz="8" w:color="auto"/>
            </w:tcBorders>
          </w:tcPr>
          <w:p>
            <w:pPr>
              <w:spacing w:after="0"/>
              <w:rPr>
                <w:sz w:val="2"/>
                <w:szCs w:val="2"/>
                <w:color w:val="auto"/>
              </w:rPr>
            </w:pPr>
          </w:p>
        </w:tc>
        <w:tc>
          <w:tcPr>
            <w:tcW w:w="6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[YEAR 3] RSUs</w:t>
            </w:r>
          </w:p>
        </w:tc>
        <w:tc>
          <w:tcPr>
            <w:tcW w:w="6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[__]% of the Restricted Stock Units, determined at the Target Performance Goal.</w:t>
            </w:r>
          </w:p>
        </w:tc>
        <w:tc>
          <w:tcPr>
            <w:tcW w:w="0" w:type="dxa"/>
            <w:vAlign w:val="bottom"/>
          </w:tcPr>
          <w:p>
            <w:pPr>
              <w:spacing w:after="0"/>
              <w:rPr>
                <w:sz w:val="1"/>
                <w:szCs w:val="1"/>
                <w:color w:val="auto"/>
              </w:rPr>
            </w:pPr>
          </w:p>
        </w:tc>
      </w:tr>
      <w:tr>
        <w:trPr>
          <w:trHeight w:val="27"/>
        </w:trPr>
        <w:tc>
          <w:tcPr>
            <w:tcW w:w="3100" w:type="dxa"/>
            <w:vAlign w:val="bottom"/>
            <w:tcBorders>
              <w:left w:val="single" w:sz="8" w:color="auto"/>
              <w:bottom w:val="single" w:sz="8" w:color="auto"/>
              <w:right w:val="single" w:sz="8" w:color="auto"/>
            </w:tcBorders>
          </w:tcPr>
          <w:p>
            <w:pPr>
              <w:spacing w:after="0"/>
              <w:rPr>
                <w:sz w:val="2"/>
                <w:szCs w:val="2"/>
                <w:color w:val="auto"/>
              </w:rPr>
            </w:pPr>
          </w:p>
        </w:tc>
        <w:tc>
          <w:tcPr>
            <w:tcW w:w="6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[YEAR 4] RSUs</w:t>
            </w:r>
          </w:p>
        </w:tc>
        <w:tc>
          <w:tcPr>
            <w:tcW w:w="6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[__]% of the Restricted Stock Units, determined at the Target Performance Goal.</w:t>
            </w:r>
          </w:p>
        </w:tc>
        <w:tc>
          <w:tcPr>
            <w:tcW w:w="0" w:type="dxa"/>
            <w:vAlign w:val="bottom"/>
          </w:tcPr>
          <w:p>
            <w:pPr>
              <w:spacing w:after="0"/>
              <w:rPr>
                <w:sz w:val="1"/>
                <w:szCs w:val="1"/>
                <w:color w:val="auto"/>
              </w:rPr>
            </w:pPr>
          </w:p>
        </w:tc>
      </w:tr>
      <w:tr>
        <w:trPr>
          <w:trHeight w:val="27"/>
        </w:trPr>
        <w:tc>
          <w:tcPr>
            <w:tcW w:w="3100" w:type="dxa"/>
            <w:vAlign w:val="bottom"/>
            <w:tcBorders>
              <w:left w:val="single" w:sz="8" w:color="auto"/>
              <w:bottom w:val="single" w:sz="8" w:color="auto"/>
              <w:right w:val="single" w:sz="8" w:color="auto"/>
            </w:tcBorders>
          </w:tcPr>
          <w:p>
            <w:pPr>
              <w:spacing w:after="0"/>
              <w:rPr>
                <w:sz w:val="2"/>
                <w:szCs w:val="2"/>
                <w:color w:val="auto"/>
              </w:rPr>
            </w:pPr>
          </w:p>
        </w:tc>
        <w:tc>
          <w:tcPr>
            <w:tcW w:w="6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[YEAR 5] RSUs</w:t>
            </w:r>
          </w:p>
        </w:tc>
        <w:tc>
          <w:tcPr>
            <w:tcW w:w="6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[__]% of the Restricted Stock Units, determined at the Target Performance Goal.</w:t>
            </w:r>
          </w:p>
        </w:tc>
        <w:tc>
          <w:tcPr>
            <w:tcW w:w="0" w:type="dxa"/>
            <w:vAlign w:val="bottom"/>
          </w:tcPr>
          <w:p>
            <w:pPr>
              <w:spacing w:after="0"/>
              <w:rPr>
                <w:sz w:val="1"/>
                <w:szCs w:val="1"/>
                <w:color w:val="auto"/>
              </w:rPr>
            </w:pPr>
          </w:p>
        </w:tc>
      </w:tr>
      <w:tr>
        <w:trPr>
          <w:trHeight w:val="27"/>
        </w:trPr>
        <w:tc>
          <w:tcPr>
            <w:tcW w:w="3100" w:type="dxa"/>
            <w:vAlign w:val="bottom"/>
            <w:tcBorders>
              <w:left w:val="single" w:sz="8" w:color="auto"/>
              <w:bottom w:val="single" w:sz="8" w:color="auto"/>
              <w:right w:val="single" w:sz="8" w:color="auto"/>
            </w:tcBorders>
          </w:tcPr>
          <w:p>
            <w:pPr>
              <w:spacing w:after="0"/>
              <w:rPr>
                <w:sz w:val="2"/>
                <w:szCs w:val="2"/>
                <w:color w:val="auto"/>
              </w:rPr>
            </w:pPr>
          </w:p>
        </w:tc>
        <w:tc>
          <w:tcPr>
            <w:tcW w:w="6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69"/>
        </w:trPr>
        <w:tc>
          <w:tcPr>
            <w:tcW w:w="3100" w:type="dxa"/>
            <w:vAlign w:val="bottom"/>
          </w:tcPr>
          <w:p>
            <w:pPr>
              <w:spacing w:after="0"/>
              <w:rPr>
                <w:sz w:val="24"/>
                <w:szCs w:val="24"/>
                <w:color w:val="auto"/>
              </w:rPr>
            </w:pPr>
          </w:p>
        </w:tc>
        <w:tc>
          <w:tcPr>
            <w:tcW w:w="6860" w:type="dxa"/>
            <w:vAlign w:val="bottom"/>
          </w:tcPr>
          <w:p>
            <w:pPr>
              <w:ind w:left="18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ectPr>
          <w:pgSz w:w="11900" w:h="16838" w:orient="portrait"/>
          <w:cols w:equalWidth="0" w:num="1">
            <w:col w:w="11160"/>
          </w:cols>
          <w:pgMar w:left="240" w:top="580" w:right="499" w:bottom="1440" w:gutter="0" w:footer="0" w:header="0"/>
        </w:sectPr>
      </w:pPr>
    </w:p>
    <w:bookmarkStart w:id="71" w:name="page72"/>
    <w:bookmarkEnd w:id="71"/>
    <w:p>
      <w:pPr>
        <w:spacing w:after="0"/>
        <w:rPr>
          <w:sz w:val="20"/>
          <w:szCs w:val="20"/>
          <w:color w:val="auto"/>
        </w:rPr>
      </w:pPr>
      <w:r>
        <w:rPr>
          <w:rFonts w:ascii="Arial" w:cs="Arial" w:eastAsia="Arial" w:hAnsi="Arial"/>
          <w:sz w:val="15"/>
          <w:szCs w:val="15"/>
          <w:color w:val="auto"/>
        </w:rPr>
        <w:t>Vesting Dates and Vesting Percentages of</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Units:</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ind w:left="3" w:right="120"/>
        <w:spacing w:after="0" w:line="277" w:lineRule="auto"/>
        <w:rPr>
          <w:sz w:val="20"/>
          <w:szCs w:val="20"/>
          <w:color w:val="auto"/>
        </w:rPr>
      </w:pPr>
      <w:r>
        <w:rPr>
          <w:rFonts w:ascii="Arial" w:cs="Arial" w:eastAsia="Arial" w:hAnsi="Arial"/>
          <w:sz w:val="18"/>
          <w:szCs w:val="18"/>
          <w:color w:val="auto"/>
        </w:rPr>
        <w:t>The vesting percentage for any Performance Period shall be mathematically interpolated for achievement between: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-1984375</wp:posOffset>
            </wp:positionH>
            <wp:positionV relativeFrom="paragraph">
              <wp:posOffset>-387985</wp:posOffset>
            </wp:positionV>
            <wp:extent cx="6320155" cy="86271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20155" cy="8627110"/>
                    </a:xfrm>
                    <a:prstGeom prst="rect">
                      <a:avLst/>
                    </a:prstGeom>
                    <a:noFill/>
                  </pic:spPr>
                </pic:pic>
              </a:graphicData>
            </a:graphic>
          </wp:anchor>
        </w:drawing>
      </w:r>
    </w:p>
    <w:p>
      <w:pPr>
        <w:spacing w:after="0" w:line="150" w:lineRule="exact"/>
        <w:rPr>
          <w:sz w:val="20"/>
          <w:szCs w:val="20"/>
          <w:color w:val="auto"/>
        </w:rPr>
      </w:pPr>
    </w:p>
    <w:p>
      <w:pPr>
        <w:ind w:left="3" w:hanging="3"/>
        <w:spacing w:after="0" w:line="259" w:lineRule="auto"/>
        <w:tabs>
          <w:tab w:leader="none" w:pos="168"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lowest performance level of the Tier One Performance Goal ([__]% year over year increase in Operating Cash Flow) and the lowest level of achievement of the Tier Two Performance Goal ([__]% year over year increase in Operating Cash Flow). The interpolation of vesting shall range from [__]% to [__]%;</w:t>
      </w:r>
    </w:p>
    <w:p>
      <w:pPr>
        <w:spacing w:after="0" w:line="186" w:lineRule="exact"/>
        <w:rPr>
          <w:rFonts w:ascii="Arial" w:cs="Arial" w:eastAsia="Arial" w:hAnsi="Arial"/>
          <w:sz w:val="18"/>
          <w:szCs w:val="18"/>
          <w:color w:val="auto"/>
        </w:rPr>
      </w:pPr>
    </w:p>
    <w:p>
      <w:pPr>
        <w:ind w:left="3" w:right="40" w:hanging="3"/>
        <w:spacing w:after="0" w:line="259" w:lineRule="auto"/>
        <w:tabs>
          <w:tab w:leader="none" w:pos="168"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highest performance level of the Tier Two Performance Goal ([__]% year over year increase in Operating Cash Flow) and the lowest performance level of the Tier Three Performance Goal ([__]% year over year increase in Operating Cash Flow) The interpolation of vesting shall range from [__]% to [__]%.</w:t>
      </w:r>
    </w:p>
    <w:p>
      <w:pPr>
        <w:spacing w:after="0" w:line="187" w:lineRule="exact"/>
        <w:rPr>
          <w:sz w:val="20"/>
          <w:szCs w:val="20"/>
          <w:color w:val="auto"/>
        </w:rPr>
      </w:pPr>
    </w:p>
    <w:p>
      <w:pPr>
        <w:ind w:left="3"/>
        <w:spacing w:after="0"/>
        <w:rPr>
          <w:sz w:val="20"/>
          <w:szCs w:val="20"/>
          <w:color w:val="auto"/>
        </w:rPr>
      </w:pPr>
      <w:r>
        <w:rPr>
          <w:rFonts w:ascii="Arial" w:cs="Arial" w:eastAsia="Arial" w:hAnsi="Arial"/>
          <w:sz w:val="18"/>
          <w:szCs w:val="18"/>
          <w:color w:val="auto"/>
        </w:rPr>
        <w:t>Fractional results shall be rounded to next lower full Share.</w:t>
      </w:r>
    </w:p>
    <w:p>
      <w:pPr>
        <w:spacing w:after="0" w:line="225" w:lineRule="exact"/>
        <w:rPr>
          <w:sz w:val="20"/>
          <w:szCs w:val="20"/>
          <w:color w:val="auto"/>
        </w:rPr>
      </w:pPr>
    </w:p>
    <w:p>
      <w:pPr>
        <w:ind w:left="3" w:right="1960" w:hanging="3"/>
        <w:spacing w:after="0" w:line="422" w:lineRule="auto"/>
        <w:tabs>
          <w:tab w:leader="none" w:pos="258" w:val="left"/>
        </w:tabs>
        <w:numPr>
          <w:ilvl w:val="0"/>
          <w:numId w:val="6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YEAR 1] RSUs</w:t>
      </w:r>
      <w:r>
        <w:rPr>
          <w:rFonts w:ascii="Arial" w:cs="Arial" w:eastAsia="Arial" w:hAnsi="Arial"/>
          <w:sz w:val="16"/>
          <w:szCs w:val="16"/>
          <w:color w:val="auto"/>
        </w:rPr>
        <w:t>: On [________] FROM DATE OF GRANT]: [__]%, provided that the Tier One Performance Goal is satisfied; [__]%, provided that the Tier Two Performance Goal is satisfied; [__]%, provided that the Tier Three Performance Goal is satisfied.</w:t>
      </w:r>
    </w:p>
    <w:p>
      <w:pPr>
        <w:spacing w:after="0" w:line="2" w:lineRule="exact"/>
        <w:rPr>
          <w:sz w:val="20"/>
          <w:szCs w:val="20"/>
          <w:color w:val="auto"/>
        </w:rPr>
      </w:pPr>
    </w:p>
    <w:p>
      <w:pPr>
        <w:ind w:left="3" w:right="380"/>
        <w:spacing w:after="0" w:line="277" w:lineRule="auto"/>
        <w:rPr>
          <w:sz w:val="20"/>
          <w:szCs w:val="20"/>
          <w:color w:val="auto"/>
        </w:rPr>
      </w:pPr>
      <w:r>
        <w:rPr>
          <w:rFonts w:ascii="Arial" w:cs="Arial" w:eastAsia="Arial" w:hAnsi="Arial"/>
          <w:sz w:val="18"/>
          <w:szCs w:val="18"/>
          <w:color w:val="auto"/>
        </w:rPr>
        <w:t>For Year 1 RSUs, the Performance Period is the 12-consecutive month period beginning April 1, 20__ and ending the next following March 31.</w:t>
      </w:r>
    </w:p>
    <w:p>
      <w:pPr>
        <w:spacing w:after="0" w:line="62" w:lineRule="exact"/>
        <w:rPr>
          <w:sz w:val="20"/>
          <w:szCs w:val="20"/>
          <w:color w:val="auto"/>
        </w:rPr>
      </w:pPr>
    </w:p>
    <w:p>
      <w:pPr>
        <w:ind w:left="3" w:right="140" w:hanging="3"/>
        <w:spacing w:after="0" w:line="277" w:lineRule="auto"/>
        <w:tabs>
          <w:tab w:leader="none" w:pos="258"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[YEAR 2] RSUs</w:t>
      </w:r>
      <w:r>
        <w:rPr>
          <w:rFonts w:ascii="Arial" w:cs="Arial" w:eastAsia="Arial" w:hAnsi="Arial"/>
          <w:sz w:val="18"/>
          <w:szCs w:val="18"/>
          <w:color w:val="auto"/>
        </w:rPr>
        <w:t>: On [________] of Date of Grant, the greater of the vesting percentage as determined for [YEAR 1] RSUs, or</w:t>
      </w:r>
    </w:p>
    <w:p>
      <w:pPr>
        <w:spacing w:after="0" w:line="62" w:lineRule="exact"/>
        <w:rPr>
          <w:sz w:val="20"/>
          <w:szCs w:val="20"/>
          <w:color w:val="auto"/>
        </w:rPr>
      </w:pPr>
    </w:p>
    <w:p>
      <w:pPr>
        <w:ind w:left="3" w:right="1840"/>
        <w:spacing w:after="0" w:line="422" w:lineRule="auto"/>
        <w:rPr>
          <w:sz w:val="20"/>
          <w:szCs w:val="20"/>
          <w:color w:val="auto"/>
        </w:rPr>
      </w:pPr>
      <w:r>
        <w:rPr>
          <w:rFonts w:ascii="Arial" w:cs="Arial" w:eastAsia="Arial" w:hAnsi="Arial"/>
          <w:sz w:val="16"/>
          <w:szCs w:val="16"/>
          <w:color w:val="auto"/>
        </w:rPr>
        <w:t>[__]%, provided that the Tier One Performance Goal is satisfied; [__]%, provided that the Tier Two Performance Goal is satisfied; [__]%, provided that the Tier Three Performance Goal is satisfied. For Year 2 RSUs, the Performance Period is the calendar year 20__.</w:t>
      </w:r>
    </w:p>
    <w:p>
      <w:pPr>
        <w:spacing w:after="0" w:line="2" w:lineRule="exact"/>
        <w:rPr>
          <w:sz w:val="20"/>
          <w:szCs w:val="20"/>
          <w:color w:val="auto"/>
        </w:rPr>
      </w:pPr>
    </w:p>
    <w:p>
      <w:pPr>
        <w:ind w:left="263" w:hanging="263"/>
        <w:spacing w:after="0"/>
        <w:tabs>
          <w:tab w:leader="none" w:pos="263"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[YEAR 3] RSUs</w:t>
      </w:r>
    </w:p>
    <w:p>
      <w:pPr>
        <w:spacing w:after="0" w:line="117" w:lineRule="exact"/>
        <w:rPr>
          <w:sz w:val="20"/>
          <w:szCs w:val="20"/>
          <w:color w:val="auto"/>
        </w:rPr>
      </w:pPr>
    </w:p>
    <w:p>
      <w:pPr>
        <w:ind w:left="3"/>
        <w:spacing w:after="0"/>
        <w:rPr>
          <w:sz w:val="20"/>
          <w:szCs w:val="20"/>
          <w:color w:val="auto"/>
        </w:rPr>
      </w:pPr>
      <w:r>
        <w:rPr>
          <w:rFonts w:ascii="Arial" w:cs="Arial" w:eastAsia="Arial" w:hAnsi="Arial"/>
          <w:sz w:val="17"/>
          <w:szCs w:val="17"/>
          <w:color w:val="auto"/>
        </w:rPr>
        <w:t>On [________] of Date of Grant, the greater of the vesting percentages as determined for</w:t>
      </w:r>
    </w:p>
    <w:p>
      <w:pPr>
        <w:spacing w:after="0" w:line="35" w:lineRule="exact"/>
        <w:rPr>
          <w:sz w:val="20"/>
          <w:szCs w:val="20"/>
          <w:color w:val="auto"/>
        </w:rPr>
      </w:pPr>
    </w:p>
    <w:p>
      <w:pPr>
        <w:ind w:left="3"/>
        <w:spacing w:after="0"/>
        <w:rPr>
          <w:sz w:val="20"/>
          <w:szCs w:val="20"/>
          <w:color w:val="auto"/>
        </w:rPr>
      </w:pPr>
      <w:r>
        <w:rPr>
          <w:rFonts w:ascii="Arial" w:cs="Arial" w:eastAsia="Arial" w:hAnsi="Arial"/>
          <w:sz w:val="18"/>
          <w:szCs w:val="18"/>
          <w:color w:val="auto"/>
        </w:rPr>
        <w:t>[YEAR 2] RSUs or:</w:t>
      </w:r>
    </w:p>
    <w:p>
      <w:pPr>
        <w:spacing w:after="0" w:line="103" w:lineRule="exact"/>
        <w:rPr>
          <w:sz w:val="20"/>
          <w:szCs w:val="20"/>
          <w:color w:val="auto"/>
        </w:rPr>
      </w:pPr>
    </w:p>
    <w:p>
      <w:pPr>
        <w:ind w:left="3" w:right="1840"/>
        <w:spacing w:after="0" w:line="422" w:lineRule="auto"/>
        <w:rPr>
          <w:sz w:val="20"/>
          <w:szCs w:val="20"/>
          <w:color w:val="auto"/>
        </w:rPr>
      </w:pPr>
      <w:r>
        <w:rPr>
          <w:rFonts w:ascii="Arial" w:cs="Arial" w:eastAsia="Arial" w:hAnsi="Arial"/>
          <w:sz w:val="16"/>
          <w:szCs w:val="16"/>
          <w:color w:val="auto"/>
        </w:rPr>
        <w:t>[__]%, provided that the Tier One Performance Goal is satisfied; [__]%, provided that the Tier Two Performance Goal is satisfied; [__]%, provided that the Tier Three Performance Goal is satisfied. For Year 3 RSUs, the Performance Period is the calendar year 20__.</w:t>
      </w:r>
    </w:p>
    <w:p>
      <w:pPr>
        <w:spacing w:after="0" w:line="2" w:lineRule="exact"/>
        <w:rPr>
          <w:sz w:val="20"/>
          <w:szCs w:val="20"/>
          <w:color w:val="auto"/>
        </w:rPr>
      </w:pPr>
    </w:p>
    <w:p>
      <w:pPr>
        <w:ind w:left="263" w:hanging="263"/>
        <w:spacing w:after="0"/>
        <w:tabs>
          <w:tab w:leader="none" w:pos="263"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YEAR 4] RSUs</w:t>
      </w:r>
    </w:p>
    <w:p>
      <w:pPr>
        <w:spacing w:after="0" w:line="117" w:lineRule="exact"/>
        <w:rPr>
          <w:sz w:val="20"/>
          <w:szCs w:val="20"/>
          <w:color w:val="auto"/>
        </w:rPr>
      </w:pPr>
    </w:p>
    <w:p>
      <w:pPr>
        <w:ind w:left="3"/>
        <w:spacing w:after="0"/>
        <w:rPr>
          <w:sz w:val="20"/>
          <w:szCs w:val="20"/>
          <w:color w:val="auto"/>
        </w:rPr>
      </w:pPr>
      <w:r>
        <w:rPr>
          <w:rFonts w:ascii="Arial" w:cs="Arial" w:eastAsia="Arial" w:hAnsi="Arial"/>
          <w:sz w:val="17"/>
          <w:szCs w:val="17"/>
          <w:color w:val="auto"/>
        </w:rPr>
        <w:t>On [________] of Date of Grant, the greater of the vesting percentages as determined for</w:t>
      </w:r>
    </w:p>
    <w:p>
      <w:pPr>
        <w:spacing w:after="0" w:line="35" w:lineRule="exact"/>
        <w:rPr>
          <w:sz w:val="20"/>
          <w:szCs w:val="20"/>
          <w:color w:val="auto"/>
        </w:rPr>
      </w:pPr>
    </w:p>
    <w:p>
      <w:pPr>
        <w:ind w:left="3"/>
        <w:spacing w:after="0"/>
        <w:rPr>
          <w:sz w:val="20"/>
          <w:szCs w:val="20"/>
          <w:color w:val="auto"/>
        </w:rPr>
      </w:pPr>
      <w:r>
        <w:rPr>
          <w:rFonts w:ascii="Arial" w:cs="Arial" w:eastAsia="Arial" w:hAnsi="Arial"/>
          <w:sz w:val="18"/>
          <w:szCs w:val="18"/>
          <w:color w:val="auto"/>
        </w:rPr>
        <w:t>[YEAR 3] RSUs or</w:t>
      </w:r>
    </w:p>
    <w:p>
      <w:pPr>
        <w:spacing w:after="0" w:line="103" w:lineRule="exact"/>
        <w:rPr>
          <w:sz w:val="20"/>
          <w:szCs w:val="20"/>
          <w:color w:val="auto"/>
        </w:rPr>
      </w:pPr>
    </w:p>
    <w:p>
      <w:pPr>
        <w:ind w:left="3"/>
        <w:spacing w:after="0"/>
        <w:rPr>
          <w:sz w:val="20"/>
          <w:szCs w:val="20"/>
          <w:color w:val="auto"/>
        </w:rPr>
      </w:pPr>
      <w:r>
        <w:rPr>
          <w:rFonts w:ascii="Arial" w:cs="Arial" w:eastAsia="Arial" w:hAnsi="Arial"/>
          <w:sz w:val="18"/>
          <w:szCs w:val="18"/>
          <w:color w:val="auto"/>
        </w:rPr>
        <w:t>[__]%, provided that the Tier One Performance Goal is satisfied;</w:t>
      </w:r>
    </w:p>
    <w:p>
      <w:pPr>
        <w:spacing w:after="0" w:line="117" w:lineRule="exact"/>
        <w:rPr>
          <w:sz w:val="20"/>
          <w:szCs w:val="20"/>
          <w:color w:val="auto"/>
        </w:rPr>
      </w:pPr>
    </w:p>
    <w:p>
      <w:pPr>
        <w:ind w:left="3"/>
        <w:spacing w:after="0"/>
        <w:rPr>
          <w:sz w:val="20"/>
          <w:szCs w:val="20"/>
          <w:color w:val="auto"/>
        </w:rPr>
      </w:pPr>
      <w:r>
        <w:rPr>
          <w:rFonts w:ascii="Arial" w:cs="Arial" w:eastAsia="Arial" w:hAnsi="Arial"/>
          <w:sz w:val="18"/>
          <w:szCs w:val="18"/>
          <w:color w:val="auto"/>
        </w:rPr>
        <w:t>[__]%, provided that the Tier Two Performance Goal is satisfied;</w:t>
      </w:r>
    </w:p>
    <w:p>
      <w:pPr>
        <w:spacing w:after="0" w:line="117" w:lineRule="exact"/>
        <w:rPr>
          <w:sz w:val="20"/>
          <w:szCs w:val="20"/>
          <w:color w:val="auto"/>
        </w:rPr>
      </w:pPr>
    </w:p>
    <w:p>
      <w:pPr>
        <w:ind w:left="3"/>
        <w:spacing w:after="0"/>
        <w:rPr>
          <w:sz w:val="20"/>
          <w:szCs w:val="20"/>
          <w:color w:val="auto"/>
        </w:rPr>
      </w:pPr>
      <w:r>
        <w:rPr>
          <w:rFonts w:ascii="Arial" w:cs="Arial" w:eastAsia="Arial" w:hAnsi="Arial"/>
          <w:sz w:val="18"/>
          <w:szCs w:val="18"/>
          <w:color w:val="auto"/>
        </w:rPr>
        <w:t>[__]%, provided that the Tier Three Performance Goal is satisfied.</w:t>
      </w:r>
    </w:p>
    <w:p>
      <w:pPr>
        <w:spacing w:after="0" w:line="117" w:lineRule="exact"/>
        <w:rPr>
          <w:sz w:val="20"/>
          <w:szCs w:val="20"/>
          <w:color w:val="auto"/>
        </w:rPr>
      </w:pPr>
    </w:p>
    <w:p>
      <w:pPr>
        <w:ind w:left="3"/>
        <w:spacing w:after="0"/>
        <w:rPr>
          <w:sz w:val="20"/>
          <w:szCs w:val="20"/>
          <w:color w:val="auto"/>
        </w:rPr>
      </w:pPr>
      <w:r>
        <w:rPr>
          <w:rFonts w:ascii="Arial" w:cs="Arial" w:eastAsia="Arial" w:hAnsi="Arial"/>
          <w:sz w:val="18"/>
          <w:szCs w:val="18"/>
          <w:color w:val="auto"/>
        </w:rPr>
        <w:t>For Year 4 RSUs, the Performance Period is the calendar year 20__.</w:t>
      </w:r>
    </w:p>
    <w:p>
      <w:pPr>
        <w:spacing w:after="0" w:line="117" w:lineRule="exact"/>
        <w:rPr>
          <w:sz w:val="20"/>
          <w:szCs w:val="20"/>
          <w:color w:val="auto"/>
        </w:rPr>
      </w:pPr>
    </w:p>
    <w:p>
      <w:pPr>
        <w:ind w:left="263" w:hanging="263"/>
        <w:spacing w:after="0"/>
        <w:tabs>
          <w:tab w:leader="none" w:pos="263"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[YEAR 5] RSUs</w:t>
      </w:r>
    </w:p>
    <w:p>
      <w:pPr>
        <w:spacing w:after="0" w:line="117" w:lineRule="exact"/>
        <w:rPr>
          <w:sz w:val="20"/>
          <w:szCs w:val="20"/>
          <w:color w:val="auto"/>
        </w:rPr>
      </w:pPr>
    </w:p>
    <w:p>
      <w:pPr>
        <w:ind w:left="3"/>
        <w:spacing w:after="0"/>
        <w:rPr>
          <w:sz w:val="20"/>
          <w:szCs w:val="20"/>
          <w:color w:val="auto"/>
        </w:rPr>
      </w:pPr>
      <w:r>
        <w:rPr>
          <w:rFonts w:ascii="Arial" w:cs="Arial" w:eastAsia="Arial" w:hAnsi="Arial"/>
          <w:sz w:val="17"/>
          <w:szCs w:val="17"/>
          <w:color w:val="auto"/>
        </w:rPr>
        <w:t>On [________] of Date of Grant, the greater of the vesting percentages as determined for</w:t>
      </w:r>
    </w:p>
    <w:p>
      <w:pPr>
        <w:spacing w:after="0" w:line="35" w:lineRule="exact"/>
        <w:rPr>
          <w:sz w:val="20"/>
          <w:szCs w:val="20"/>
          <w:color w:val="auto"/>
        </w:rPr>
      </w:pPr>
    </w:p>
    <w:p>
      <w:pPr>
        <w:ind w:left="3"/>
        <w:spacing w:after="0"/>
        <w:rPr>
          <w:sz w:val="20"/>
          <w:szCs w:val="20"/>
          <w:color w:val="auto"/>
        </w:rPr>
      </w:pPr>
      <w:r>
        <w:rPr>
          <w:rFonts w:ascii="Arial" w:cs="Arial" w:eastAsia="Arial" w:hAnsi="Arial"/>
          <w:sz w:val="18"/>
          <w:szCs w:val="18"/>
          <w:color w:val="auto"/>
        </w:rPr>
        <w:t>[YEAR 4] RSUs or</w:t>
      </w:r>
    </w:p>
    <w:p>
      <w:pPr>
        <w:spacing w:after="0" w:line="103" w:lineRule="exact"/>
        <w:rPr>
          <w:sz w:val="20"/>
          <w:szCs w:val="20"/>
          <w:color w:val="auto"/>
        </w:rPr>
      </w:pPr>
    </w:p>
    <w:p>
      <w:pPr>
        <w:ind w:left="3"/>
        <w:spacing w:after="0"/>
        <w:rPr>
          <w:sz w:val="20"/>
          <w:szCs w:val="20"/>
          <w:color w:val="auto"/>
        </w:rPr>
      </w:pPr>
      <w:r>
        <w:rPr>
          <w:rFonts w:ascii="Arial" w:cs="Arial" w:eastAsia="Arial" w:hAnsi="Arial"/>
          <w:sz w:val="18"/>
          <w:szCs w:val="18"/>
          <w:color w:val="auto"/>
        </w:rPr>
        <w:t>[__]%, provided that the Tier One Performance Goal is satisfied;</w:t>
      </w:r>
    </w:p>
    <w:p>
      <w:pPr>
        <w:spacing w:after="0" w:line="117" w:lineRule="exact"/>
        <w:rPr>
          <w:sz w:val="20"/>
          <w:szCs w:val="20"/>
          <w:color w:val="auto"/>
        </w:rPr>
      </w:pPr>
    </w:p>
    <w:p>
      <w:pPr>
        <w:ind w:left="3"/>
        <w:spacing w:after="0"/>
        <w:rPr>
          <w:sz w:val="20"/>
          <w:szCs w:val="20"/>
          <w:color w:val="auto"/>
        </w:rPr>
      </w:pPr>
      <w:r>
        <w:rPr>
          <w:rFonts w:ascii="Arial" w:cs="Arial" w:eastAsia="Arial" w:hAnsi="Arial"/>
          <w:sz w:val="18"/>
          <w:szCs w:val="18"/>
          <w:color w:val="auto"/>
        </w:rPr>
        <w:t>[__]%, provided that the Tier Two Performance Goal is satisfied;</w:t>
      </w:r>
    </w:p>
    <w:p>
      <w:pPr>
        <w:spacing w:after="0" w:line="117" w:lineRule="exact"/>
        <w:rPr>
          <w:sz w:val="20"/>
          <w:szCs w:val="20"/>
          <w:color w:val="auto"/>
        </w:rPr>
      </w:pPr>
    </w:p>
    <w:p>
      <w:pPr>
        <w:ind w:left="3"/>
        <w:spacing w:after="0"/>
        <w:rPr>
          <w:sz w:val="20"/>
          <w:szCs w:val="20"/>
          <w:color w:val="auto"/>
        </w:rPr>
      </w:pPr>
      <w:r>
        <w:rPr>
          <w:rFonts w:ascii="Arial" w:cs="Arial" w:eastAsia="Arial" w:hAnsi="Arial"/>
          <w:sz w:val="18"/>
          <w:szCs w:val="18"/>
          <w:color w:val="auto"/>
        </w:rPr>
        <w:t>[__]%, provided that the Tier Three Performance Goal is satisfied.</w:t>
      </w:r>
    </w:p>
    <w:p>
      <w:pPr>
        <w:spacing w:after="0" w:line="117" w:lineRule="exact"/>
        <w:rPr>
          <w:sz w:val="20"/>
          <w:szCs w:val="20"/>
          <w:color w:val="auto"/>
        </w:rPr>
      </w:pPr>
    </w:p>
    <w:p>
      <w:pPr>
        <w:ind w:left="3"/>
        <w:spacing w:after="0"/>
        <w:rPr>
          <w:sz w:val="20"/>
          <w:szCs w:val="20"/>
          <w:color w:val="auto"/>
        </w:rPr>
      </w:pPr>
      <w:r>
        <w:rPr>
          <w:rFonts w:ascii="Arial" w:cs="Arial" w:eastAsia="Arial" w:hAnsi="Arial"/>
          <w:sz w:val="18"/>
          <w:szCs w:val="18"/>
          <w:color w:val="auto"/>
        </w:rPr>
        <w:t>For Year 5 RSUs, the Performance Period is the calendar year 20__.</w:t>
      </w:r>
    </w:p>
    <w:p>
      <w:pPr>
        <w:spacing w:after="0" w:line="200" w:lineRule="exact"/>
        <w:rPr>
          <w:sz w:val="20"/>
          <w:szCs w:val="20"/>
          <w:color w:val="auto"/>
        </w:rPr>
      </w:pPr>
    </w:p>
    <w:p>
      <w:pPr>
        <w:sectPr>
          <w:pgSz w:w="11900" w:h="16838" w:orient="portrait"/>
          <w:cols w:equalWidth="0" w:num="2">
            <w:col w:w="2980" w:space="117"/>
            <w:col w:w="6743"/>
          </w:cols>
          <w:pgMar w:left="1020" w:top="760" w:right="103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9840"/>
          </w:cols>
          <w:pgMar w:left="1020" w:top="760" w:right="1039" w:bottom="1440" w:gutter="0" w:footer="0" w:header="0"/>
          <w:type w:val="continuous"/>
        </w:sectPr>
      </w:pPr>
    </w:p>
    <w:bookmarkStart w:id="72" w:name="page73"/>
    <w:bookmarkEnd w:id="72"/>
    <w:p>
      <w:pPr>
        <w:ind w:left="268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629285</wp:posOffset>
            </wp:positionH>
            <wp:positionV relativeFrom="page">
              <wp:posOffset>466090</wp:posOffset>
            </wp:positionV>
            <wp:extent cx="6320155" cy="737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20155" cy="737235"/>
                    </a:xfrm>
                    <a:prstGeom prst="rect">
                      <a:avLst/>
                    </a:prstGeom>
                    <a:noFill/>
                  </pic:spPr>
                </pic:pic>
              </a:graphicData>
            </a:graphic>
          </wp:anchor>
        </w:drawing>
        <w:t>Notwithstanding anything herein to the contrary, to the extent a Vesting Date for any RSUs has not occurred because of the failure to satisfy an applicable Performance Goal for any year by the applicable Scheduled Vesting Date, such RSUs which have not vested and become nonforfeitable shall immediately and automatically, without any action on the part of the Grantee or the Company, be forfeited by the Grantee and deemed canceled.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9420"/>
          </w:cols>
          <w:pgMar w:left="1440" w:top="760" w:right="10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 Brian L. Roberts, certify that:</w:t>
      </w:r>
    </w:p>
    <w:p>
      <w:pPr>
        <w:spacing w:after="0" w:line="117" w:lineRule="exact"/>
        <w:rPr>
          <w:sz w:val="20"/>
          <w:szCs w:val="20"/>
          <w:color w:val="auto"/>
        </w:rPr>
      </w:pPr>
    </w:p>
    <w:p>
      <w:pPr>
        <w:ind w:left="660" w:hanging="652"/>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117"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120" w:hanging="563"/>
        <w:spacing w:after="0" w:line="264" w:lineRule="auto"/>
        <w:tabs>
          <w:tab w:leader="none" w:pos="1300" w:val="left"/>
        </w:tabs>
        <w:numPr>
          <w:ilvl w:val="2"/>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20" w:hanging="563"/>
        <w:spacing w:after="0" w:line="264" w:lineRule="auto"/>
        <w:tabs>
          <w:tab w:leader="none" w:pos="1300" w:val="left"/>
        </w:tabs>
        <w:numPr>
          <w:ilvl w:val="2"/>
          <w:numId w:val="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6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right="420" w:hanging="644"/>
        <w:spacing w:after="0" w:line="264" w:lineRule="auto"/>
        <w:tabs>
          <w:tab w:leader="none" w:pos="13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680" w:hanging="644"/>
        <w:spacing w:after="0" w:line="342" w:lineRule="auto"/>
        <w:tabs>
          <w:tab w:leader="none" w:pos="1300" w:val="left"/>
        </w:tabs>
        <w:numPr>
          <w:ilvl w:val="1"/>
          <w:numId w:val="6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60" w:hanging="644"/>
        <w:spacing w:after="0" w:line="277" w:lineRule="auto"/>
        <w:tabs>
          <w:tab w:leader="none" w:pos="13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April 27, 2017</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2327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Brian L. Roberts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420"/>
          </w:cols>
          <w:pgMar w:left="240" w:top="121"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t>I, Michael J. Cavanagh, certify that:</w:t>
      </w:r>
    </w:p>
    <w:p>
      <w:pPr>
        <w:spacing w:after="0" w:line="117" w:lineRule="exact"/>
        <w:rPr>
          <w:sz w:val="20"/>
          <w:szCs w:val="20"/>
          <w:color w:val="auto"/>
        </w:rPr>
      </w:pPr>
    </w:p>
    <w:p>
      <w:pPr>
        <w:ind w:left="660" w:hanging="652"/>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117" w:lineRule="exact"/>
        <w:rPr>
          <w:rFonts w:ascii="Arial" w:cs="Arial" w:eastAsia="Arial" w:hAnsi="Arial"/>
          <w:sz w:val="18"/>
          <w:szCs w:val="18"/>
          <w:color w:val="auto"/>
        </w:rPr>
      </w:pPr>
    </w:p>
    <w:p>
      <w:pPr>
        <w:jc w:val="both"/>
        <w:ind w:left="660" w:right="180" w:hanging="652"/>
        <w:spacing w:after="0" w:line="264"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140" w:hanging="652"/>
        <w:spacing w:after="0" w:line="308" w:lineRule="auto"/>
        <w:tabs>
          <w:tab w:leader="none" w:pos="6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60" w:hanging="652"/>
        <w:spacing w:after="0" w:line="264"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hanging="644"/>
        <w:spacing w:after="0" w:line="264" w:lineRule="auto"/>
        <w:tabs>
          <w:tab w:leader="none" w:pos="13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100" w:hanging="644"/>
        <w:spacing w:after="0" w:line="264" w:lineRule="auto"/>
        <w:tabs>
          <w:tab w:leader="none" w:pos="13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00" w:right="260" w:hanging="644"/>
        <w:spacing w:after="0" w:line="342" w:lineRule="auto"/>
        <w:tabs>
          <w:tab w:leader="none" w:pos="1300" w:val="left"/>
        </w:tabs>
        <w:numPr>
          <w:ilvl w:val="1"/>
          <w:numId w:val="6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right="300" w:hanging="644"/>
        <w:spacing w:after="0" w:line="264" w:lineRule="auto"/>
        <w:tabs>
          <w:tab w:leader="none" w:pos="13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60" w:hanging="652"/>
        <w:spacing w:after="0" w:line="308" w:lineRule="auto"/>
        <w:tabs>
          <w:tab w:leader="none" w:pos="6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560" w:hanging="644"/>
        <w:spacing w:after="0" w:line="342" w:lineRule="auto"/>
        <w:tabs>
          <w:tab w:leader="none" w:pos="1300" w:val="left"/>
        </w:tabs>
        <w:numPr>
          <w:ilvl w:val="1"/>
          <w:numId w:val="6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240" w:hanging="644"/>
        <w:spacing w:after="0" w:line="277" w:lineRule="auto"/>
        <w:tabs>
          <w:tab w:leader="none" w:pos="13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April 27, 2017</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2327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Michael J. Cavanagh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300"/>
          </w:cols>
          <w:pgMar w:left="240" w:top="368" w:right="35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 Brian L. Roberts, certify that:</w:t>
      </w:r>
    </w:p>
    <w:p>
      <w:pPr>
        <w:spacing w:after="0" w:line="117" w:lineRule="exact"/>
        <w:rPr>
          <w:sz w:val="20"/>
          <w:szCs w:val="20"/>
          <w:color w:val="auto"/>
        </w:rPr>
      </w:pPr>
    </w:p>
    <w:p>
      <w:pPr>
        <w:ind w:left="660" w:hanging="652"/>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NBCUniversal Media, LLC;</w:t>
      </w:r>
    </w:p>
    <w:p>
      <w:pPr>
        <w:spacing w:after="0" w:line="117"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120" w:hanging="644"/>
        <w:spacing w:after="0" w:line="264" w:lineRule="auto"/>
        <w:tabs>
          <w:tab w:leader="none" w:pos="13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6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right="420" w:hanging="644"/>
        <w:spacing w:after="0" w:line="264" w:lineRule="auto"/>
        <w:tabs>
          <w:tab w:leader="none" w:pos="13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680" w:hanging="644"/>
        <w:spacing w:after="0" w:line="342" w:lineRule="auto"/>
        <w:tabs>
          <w:tab w:leader="none" w:pos="1300" w:val="left"/>
        </w:tabs>
        <w:numPr>
          <w:ilvl w:val="1"/>
          <w:numId w:val="6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60" w:hanging="644"/>
        <w:spacing w:after="0" w:line="277" w:lineRule="auto"/>
        <w:tabs>
          <w:tab w:leader="none" w:pos="13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April 27, 2017</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2327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Brian L. Roberts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Principal Executive Officer</w:t>
      </w:r>
    </w:p>
    <w:p>
      <w:pPr>
        <w:sectPr>
          <w:pgSz w:w="11900" w:h="16838" w:orient="portrait"/>
          <w:cols w:equalWidth="0" w:num="1">
            <w:col w:w="11420"/>
          </w:cols>
          <w:pgMar w:left="240" w:top="121"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color w:val="auto"/>
        </w:rPr>
        <w:t>I, Michael J. Cavanagh, certify that:</w:t>
      </w:r>
    </w:p>
    <w:p>
      <w:pPr>
        <w:spacing w:after="0" w:line="117" w:lineRule="exact"/>
        <w:rPr>
          <w:sz w:val="20"/>
          <w:szCs w:val="20"/>
          <w:color w:val="auto"/>
        </w:rPr>
      </w:pPr>
    </w:p>
    <w:p>
      <w:pPr>
        <w:ind w:left="660" w:hanging="652"/>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NBCUniversal Media, LLC;</w:t>
      </w:r>
    </w:p>
    <w:p>
      <w:pPr>
        <w:spacing w:after="0" w:line="117" w:lineRule="exact"/>
        <w:rPr>
          <w:rFonts w:ascii="Arial" w:cs="Arial" w:eastAsia="Arial" w:hAnsi="Arial"/>
          <w:sz w:val="18"/>
          <w:szCs w:val="18"/>
          <w:color w:val="auto"/>
        </w:rPr>
      </w:pPr>
    </w:p>
    <w:p>
      <w:pPr>
        <w:jc w:val="both"/>
        <w:ind w:left="660" w:right="180" w:hanging="652"/>
        <w:spacing w:after="0" w:line="264"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140" w:hanging="652"/>
        <w:spacing w:after="0" w:line="308" w:lineRule="auto"/>
        <w:tabs>
          <w:tab w:leader="none" w:pos="6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60" w:hanging="652"/>
        <w:spacing w:after="0" w:line="264"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hanging="644"/>
        <w:spacing w:after="0" w:line="264" w:lineRule="auto"/>
        <w:tabs>
          <w:tab w:leader="none" w:pos="1300" w:val="left"/>
        </w:tabs>
        <w:numPr>
          <w:ilvl w:val="2"/>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100" w:hanging="644"/>
        <w:spacing w:after="0" w:line="264" w:lineRule="auto"/>
        <w:tabs>
          <w:tab w:leader="none" w:pos="1300" w:val="left"/>
        </w:tabs>
        <w:numPr>
          <w:ilvl w:val="2"/>
          <w:numId w:val="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00" w:right="260" w:hanging="644"/>
        <w:spacing w:after="0" w:line="342" w:lineRule="auto"/>
        <w:tabs>
          <w:tab w:leader="none" w:pos="1300" w:val="left"/>
        </w:tabs>
        <w:numPr>
          <w:ilvl w:val="2"/>
          <w:numId w:val="6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right="300" w:hanging="644"/>
        <w:spacing w:after="0" w:line="264" w:lineRule="auto"/>
        <w:tabs>
          <w:tab w:leader="none" w:pos="1300" w:val="left"/>
        </w:tabs>
        <w:numPr>
          <w:ilvl w:val="2"/>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60" w:hanging="571"/>
        <w:spacing w:after="0" w:line="308" w:lineRule="auto"/>
        <w:tabs>
          <w:tab w:leader="none" w:pos="660" w:val="left"/>
        </w:tabs>
        <w:numPr>
          <w:ilvl w:val="1"/>
          <w:numId w:val="6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560" w:hanging="644"/>
        <w:spacing w:after="0" w:line="342" w:lineRule="auto"/>
        <w:tabs>
          <w:tab w:leader="none" w:pos="1300" w:val="left"/>
        </w:tabs>
        <w:numPr>
          <w:ilvl w:val="2"/>
          <w:numId w:val="6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240" w:hanging="644"/>
        <w:spacing w:after="0" w:line="277" w:lineRule="auto"/>
        <w:tabs>
          <w:tab w:leader="none" w:pos="1300" w:val="left"/>
        </w:tabs>
        <w:numPr>
          <w:ilvl w:val="2"/>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April 27, 2017</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2327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Michael J. Cavanagh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Principal Financial Officer</w:t>
      </w:r>
    </w:p>
    <w:p>
      <w:pPr>
        <w:sectPr>
          <w:pgSz w:w="11900" w:h="16838" w:orient="portrait"/>
          <w:cols w:equalWidth="0" w:num="1">
            <w:col w:w="11300"/>
          </w:cols>
          <w:pgMar w:left="240" w:top="368" w:right="35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906 OF THE SARBANES-OXLEY ACT</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27,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certification set forth below is being submitted in connection with the Quarterly Report on Form 10-Q of Comcast Corporation (the “Report”) for the purpose of complying with Rule 13a-14(b) or Rule 15d-14(b) of the Securities Exchange Act of 1934 (the “Exchange Act”) and Section 1350 of Chapter 63 of Title 18 of the United States Code.</w:t>
      </w:r>
    </w:p>
    <w:p>
      <w:pPr>
        <w:spacing w:after="0" w:line="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Brian L. Roberts, the Chief Executive Officer, and Michael J. Cavanagh, the Chief Financial Officer, of Comcast Corporation, each certifies that, to the best of his knowledge:</w:t>
      </w:r>
    </w:p>
    <w:p>
      <w:pPr>
        <w:spacing w:after="0" w:line="62" w:lineRule="exact"/>
        <w:rPr>
          <w:sz w:val="20"/>
          <w:szCs w:val="20"/>
          <w:color w:val="auto"/>
        </w:rPr>
      </w:pPr>
    </w:p>
    <w:p>
      <w:pPr>
        <w:ind w:left="660" w:hanging="652"/>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17" w:lineRule="exact"/>
        <w:rPr>
          <w:rFonts w:ascii="Arial" w:cs="Arial" w:eastAsia="Arial" w:hAnsi="Arial"/>
          <w:sz w:val="18"/>
          <w:szCs w:val="18"/>
          <w:color w:val="auto"/>
        </w:rPr>
      </w:pPr>
    </w:p>
    <w:p>
      <w:pPr>
        <w:ind w:left="660" w:right="680" w:hanging="652"/>
        <w:spacing w:after="0" w:line="277"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Comcast Corporation.</w:t>
      </w:r>
    </w:p>
    <w:p>
      <w:pPr>
        <w:spacing w:after="0" w:line="200" w:lineRule="exact"/>
        <w:rPr>
          <w:sz w:val="20"/>
          <w:szCs w:val="20"/>
          <w:color w:val="auto"/>
        </w:rPr>
      </w:pPr>
    </w:p>
    <w:p>
      <w:pPr>
        <w:spacing w:after="0" w:line="241"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31750</wp:posOffset>
            </wp:positionV>
            <wp:extent cx="32327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57"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Name: Brian L. Roberts</w:t>
      </w:r>
    </w:p>
    <w:p>
      <w:pPr>
        <w:spacing w:after="0" w:line="6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Title: Chief Executive Officer</w:t>
      </w:r>
    </w:p>
    <w:p>
      <w:pPr>
        <w:spacing w:after="0" w:line="306"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31750</wp:posOffset>
            </wp:positionV>
            <wp:extent cx="32327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57"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Name: Michael J. Cavanagh</w:t>
      </w:r>
    </w:p>
    <w:p>
      <w:pPr>
        <w:spacing w:after="0" w:line="6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121"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906 OF THE SARBANES-OXLEY ACT</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27,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certification set forth below is being submitted in connection with the Quarterly Report on Form 10-Q of NBCUniversal Media, LLC (the “Report”) for the purpose of complying with Rule 13a-14(b) or Rule 15d-14(b) of the Securities Exchange Act of 1934 (the “Exchange Act”) and Section 1350 of Chapter 63 of Title 18 of the United States Code.</w:t>
      </w:r>
    </w:p>
    <w:p>
      <w:pPr>
        <w:spacing w:after="0" w:line="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Brian L. Roberts, the Principal Executive Officer, and Michael J. Cavanagh, the Principal Financial Officer, of NBCUniversal Media, LLC, each certifies that, to the best of his knowledge:</w:t>
      </w:r>
    </w:p>
    <w:p>
      <w:pPr>
        <w:spacing w:after="0" w:line="62" w:lineRule="exact"/>
        <w:rPr>
          <w:sz w:val="20"/>
          <w:szCs w:val="20"/>
          <w:color w:val="auto"/>
        </w:rPr>
      </w:pPr>
    </w:p>
    <w:p>
      <w:pPr>
        <w:ind w:left="660" w:hanging="652"/>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17" w:lineRule="exact"/>
        <w:rPr>
          <w:rFonts w:ascii="Arial" w:cs="Arial" w:eastAsia="Arial" w:hAnsi="Arial"/>
          <w:sz w:val="18"/>
          <w:szCs w:val="18"/>
          <w:color w:val="auto"/>
        </w:rPr>
      </w:pPr>
    </w:p>
    <w:p>
      <w:pPr>
        <w:ind w:left="660" w:right="240" w:hanging="652"/>
        <w:spacing w:after="0" w:line="277"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NBCUniversal Media, LLC.</w:t>
      </w:r>
    </w:p>
    <w:p>
      <w:pPr>
        <w:spacing w:after="0" w:line="200" w:lineRule="exact"/>
        <w:rPr>
          <w:sz w:val="20"/>
          <w:szCs w:val="20"/>
          <w:color w:val="auto"/>
        </w:rPr>
      </w:pPr>
    </w:p>
    <w:p>
      <w:pPr>
        <w:spacing w:after="0" w:line="241"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31750</wp:posOffset>
            </wp:positionV>
            <wp:extent cx="32327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57"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Name: Brian L. Roberts</w:t>
      </w:r>
    </w:p>
    <w:p>
      <w:pPr>
        <w:spacing w:after="0" w:line="6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Title: Principal Executive Officer</w:t>
      </w:r>
    </w:p>
    <w:p>
      <w:pPr>
        <w:spacing w:after="0" w:line="306"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31750</wp:posOffset>
            </wp:positionV>
            <wp:extent cx="32327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57"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Name: Michael J. Cavanagh</w:t>
      </w:r>
    </w:p>
    <w:p>
      <w:pPr>
        <w:spacing w:after="0" w:line="6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Title: Principal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2367"/>
    <w:multiLevelType w:val="hybridMultilevel"/>
    <w:lvl w:ilvl="0">
      <w:lvlJc w:val="left"/>
      <w:lvlText w:val="x"/>
      <w:numFmt w:val="bullet"/>
      <w:start w:val="1"/>
    </w:lvl>
  </w:abstractNum>
  <w:abstractNum w:abstractNumId="1">
    <w:nsid w:val="3804823E"/>
    <w:multiLevelType w:val="hybridMultilevel"/>
    <w:lvl w:ilvl="0">
      <w:lvlJc w:val="left"/>
      <w:lvlText w:val="c"/>
      <w:numFmt w:val="bullet"/>
      <w:start w:val="1"/>
    </w:lvl>
  </w:abstractNum>
  <w:abstractNum w:abstractNumId="2">
    <w:nsid w:val="77465F01"/>
    <w:multiLevelType w:val="hybridMultilevel"/>
    <w:lvl w:ilvl="0">
      <w:lvlJc w:val="left"/>
      <w:lvlText w:val="•"/>
      <w:numFmt w:val="bullet"/>
      <w:start w:val="1"/>
    </w:lvl>
  </w:abstractNum>
  <w:abstractNum w:abstractNumId="3">
    <w:nsid w:val="7724C67E"/>
    <w:multiLevelType w:val="hybridMultilevel"/>
    <w:lvl w:ilvl="0">
      <w:lvlJc w:val="left"/>
      <w:lvlText w:val="•"/>
      <w:numFmt w:val="bullet"/>
      <w:start w:val="1"/>
    </w:lvl>
  </w:abstractNum>
  <w:abstractNum w:abstractNumId="4">
    <w:nsid w:val="5C482A97"/>
    <w:multiLevelType w:val="hybridMultilevel"/>
    <w:lvl w:ilvl="0">
      <w:lvlJc w:val="left"/>
      <w:lvlText w:val="•"/>
      <w:numFmt w:val="bullet"/>
      <w:start w:val="1"/>
    </w:lvl>
  </w:abstractNum>
  <w:abstractNum w:abstractNumId="5">
    <w:nsid w:val="2463B9EA"/>
    <w:multiLevelType w:val="hybridMultilevel"/>
    <w:lvl w:ilvl="0">
      <w:lvlJc w:val="left"/>
      <w:lvlText w:val="(%1)"/>
      <w:numFmt w:val="lowerLetter"/>
      <w:start w:val="1"/>
    </w:lvl>
  </w:abstractNum>
  <w:abstractNum w:abstractNumId="6">
    <w:nsid w:val="5E884ADC"/>
    <w:multiLevelType w:val="hybridMultilevel"/>
    <w:lvl w:ilvl="0">
      <w:lvlJc w:val="left"/>
      <w:lvlText w:val="(%1)"/>
      <w:numFmt w:val="lowerLetter"/>
      <w:start w:val="2"/>
    </w:lvl>
    <w:lvl w:ilvl="1">
      <w:lvlJc w:val="left"/>
      <w:lvlText w:val="•"/>
      <w:numFmt w:val="bullet"/>
      <w:start w:val="1"/>
    </w:lvl>
  </w:abstractNum>
  <w:abstractNum w:abstractNumId="7">
    <w:nsid w:val="51EAD36B"/>
    <w:multiLevelType w:val="hybridMultilevel"/>
    <w:lvl w:ilvl="0">
      <w:lvlJc w:val="left"/>
      <w:lvlText w:val="(%1)"/>
      <w:numFmt w:val="lowerLetter"/>
      <w:start w:val="1"/>
    </w:lvl>
  </w:abstractNum>
  <w:abstractNum w:abstractNumId="8">
    <w:nsid w:val="2D517796"/>
    <w:multiLevelType w:val="hybridMultilevel"/>
    <w:lvl w:ilvl="0">
      <w:lvlJc w:val="left"/>
      <w:lvlText w:val="%1"/>
      <w:numFmt w:val="decimal"/>
      <w:start w:val="101"/>
    </w:lvl>
  </w:abstractNum>
  <w:abstractNum w:abstractNumId="9">
    <w:nsid w:val="580BD78F"/>
    <w:multiLevelType w:val="hybridMultilevel"/>
    <w:lvl w:ilvl="0">
      <w:lvlJc w:val="left"/>
      <w:lvlText w:val="*"/>
      <w:numFmt w:val="bullet"/>
      <w:start w:val="1"/>
    </w:lvl>
  </w:abstractNum>
  <w:abstractNum w:abstractNumId="10">
    <w:nsid w:val="153EA438"/>
    <w:multiLevelType w:val="hybridMultilevel"/>
    <w:lvl w:ilvl="0">
      <w:lvlJc w:val="left"/>
      <w:lvlText w:val="%1"/>
      <w:numFmt w:val="decimal"/>
      <w:start w:val="101"/>
    </w:lvl>
  </w:abstractNum>
  <w:abstractNum w:abstractNumId="11">
    <w:nsid w:val="3855585C"/>
    <w:multiLevelType w:val="hybridMultilevel"/>
    <w:lvl w:ilvl="0">
      <w:lvlJc w:val="left"/>
      <w:lvlText w:val="(%1)"/>
      <w:numFmt w:val="lowerLetter"/>
      <w:start w:val="1"/>
    </w:lvl>
  </w:abstractNum>
  <w:abstractNum w:abstractNumId="12">
    <w:nsid w:val="70A64E2A"/>
    <w:multiLevelType w:val="hybridMultilevel"/>
    <w:lvl w:ilvl="0">
      <w:lvlJc w:val="left"/>
      <w:lvlText w:val="(%1)"/>
      <w:numFmt w:val="lowerLetter"/>
      <w:start w:val="2"/>
    </w:lvl>
  </w:abstractNum>
  <w:abstractNum w:abstractNumId="13">
    <w:nsid w:val="6A2342EC"/>
    <w:multiLevelType w:val="hybridMultilevel"/>
    <w:lvl w:ilvl="0">
      <w:lvlJc w:val="left"/>
      <w:lvlText w:val="•"/>
      <w:numFmt w:val="bullet"/>
      <w:start w:val="1"/>
    </w:lvl>
  </w:abstractNum>
  <w:abstractNum w:abstractNumId="14">
    <w:nsid w:val="2A487CB0"/>
    <w:multiLevelType w:val="hybridMultilevel"/>
    <w:lvl w:ilvl="0">
      <w:lvlJc w:val="left"/>
      <w:lvlText w:val="•"/>
      <w:numFmt w:val="bullet"/>
      <w:start w:val="1"/>
    </w:lvl>
  </w:abstractNum>
  <w:abstractNum w:abstractNumId="15">
    <w:nsid w:val="1D4ED43B"/>
    <w:multiLevelType w:val="hybridMultilevel"/>
    <w:lvl w:ilvl="0">
      <w:lvlJc w:val="left"/>
      <w:lvlText w:val="(%1)"/>
      <w:numFmt w:val="lowerLetter"/>
      <w:start w:val="1"/>
    </w:lvl>
  </w:abstractNum>
  <w:abstractNum w:abstractNumId="16">
    <w:nsid w:val="725A06FB"/>
    <w:multiLevelType w:val="hybridMultilevel"/>
    <w:lvl w:ilvl="0">
      <w:lvlJc w:val="left"/>
      <w:lvlText w:val="(%1)"/>
      <w:numFmt w:val="lowerLetter"/>
      <w:start w:val="4"/>
    </w:lvl>
  </w:abstractNum>
  <w:abstractNum w:abstractNumId="17">
    <w:nsid w:val="2CD89A3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8">
    <w:nsid w:val="57E4CCAF"/>
    <w:multiLevelType w:val="hybridMultilevel"/>
    <w:lvl w:ilvl="0">
      <w:lvlJc w:val="left"/>
      <w:lvlText w:val="(%1)"/>
      <w:numFmt w:val="lowerLetter"/>
      <w:start w:val="3"/>
    </w:lvl>
    <w:lvl w:ilvl="1">
      <w:lvlJc w:val="left"/>
      <w:lvlText w:val="%2."/>
      <w:numFmt w:val="decimal"/>
      <w:start w:val="2"/>
    </w:lvl>
    <w:lvl w:ilvl="2">
      <w:lvlJc w:val="left"/>
      <w:lvlText w:val="(%3)"/>
      <w:numFmt w:val="lowerLetter"/>
      <w:start w:val="1"/>
    </w:lvl>
  </w:abstractNum>
  <w:abstractNum w:abstractNumId="19">
    <w:nsid w:val="7A6D8D3C"/>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lvl w:ilvl="3">
      <w:lvlJc w:val="left"/>
      <w:lvlText w:val="%4"/>
      <w:numFmt w:val="decimal"/>
      <w:start w:val="1"/>
    </w:lvl>
    <w:lvl w:ilvl="4">
      <w:lvlJc w:val="left"/>
      <w:lvlText w:val="(%5)"/>
      <w:numFmt w:val="lowerLetter"/>
      <w:start w:val="5"/>
    </w:lvl>
    <w:lvl w:ilvl="5">
      <w:lvlJc w:val="left"/>
      <w:lvlText w:val="%6"/>
      <w:numFmt w:val="lowerLetter"/>
      <w:start w:val="1"/>
    </w:lvl>
  </w:abstractNum>
  <w:abstractNum w:abstractNumId="20">
    <w:nsid w:val="4B588F54"/>
    <w:multiLevelType w:val="hybridMultilevel"/>
    <w:lvl w:ilvl="0">
      <w:lvlJc w:val="left"/>
      <w:lvlText w:val="(%1)"/>
      <w:numFmt w:val="lowerLetter"/>
      <w:start w:val="35"/>
    </w:lvl>
    <w:lvl w:ilvl="1">
      <w:lvlJc w:val="left"/>
      <w:lvlText w:val="(%2)"/>
      <w:numFmt w:val="lowerRoman"/>
    </w:lvl>
    <w:lvl w:ilvl="2">
      <w:lvlJc w:val="left"/>
      <w:lvlText w:val="(%3)"/>
      <w:numFmt w:val="lowerLetter"/>
      <w:start w:val="1"/>
    </w:lvl>
    <w:lvl w:ilvl="3">
      <w:lvlJc w:val="left"/>
      <w:lvlText w:val="%4."/>
      <w:numFmt w:val="decimal"/>
      <w:start w:val="4"/>
    </w:lvl>
    <w:lvl w:ilvl="4">
      <w:lvlJc w:val="left"/>
      <w:lvlText w:val="(%5)"/>
      <w:numFmt w:val="lowerLetter"/>
      <w:start w:val="1"/>
    </w:lvl>
    <w:lvl w:ilvl="5">
      <w:lvlJc w:val="left"/>
      <w:lvlText w:val="(%6)"/>
      <w:numFmt w:val="lowerLetter"/>
      <w:start w:val="35"/>
    </w:lvl>
  </w:abstractNum>
  <w:abstractNum w:abstractNumId="21">
    <w:nsid w:val="542289EC"/>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lvl w:ilvl="3">
      <w:lvlJc w:val="left"/>
      <w:lvlText w:val="%4"/>
      <w:numFmt w:val="decimal"/>
      <w:start w:val="1"/>
    </w:lvl>
    <w:lvl w:ilvl="4">
      <w:lvlJc w:val="left"/>
      <w:lvlText w:val="(%5)"/>
      <w:numFmt w:val="lowerLetter"/>
      <w:start w:val="3"/>
    </w:lvl>
    <w:lvl w:ilvl="5">
      <w:lvlJc w:val="left"/>
      <w:lvlText w:val="%6"/>
      <w:numFmt w:val="lowerLetter"/>
      <w:start w:val="1"/>
    </w:lvl>
  </w:abstractNum>
  <w:abstractNum w:abstractNumId="22">
    <w:nsid w:val="6DE91B18"/>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7"/>
    </w:lvl>
    <w:lvl w:ilvl="3">
      <w:lvlJc w:val="left"/>
      <w:lvlText w:val="%4"/>
      <w:numFmt w:val="lowerLetter"/>
      <w:start w:val="1"/>
    </w:lvl>
  </w:abstractNum>
  <w:abstractNum w:abstractNumId="23">
    <w:nsid w:val="38437FDB"/>
    <w:multiLevelType w:val="hybridMultilevel"/>
    <w:lvl w:ilvl="0">
      <w:lvlJc w:val="left"/>
      <w:lvlText w:val="(%1)"/>
      <w:numFmt w:val="lowerLetter"/>
      <w:start w:val="1"/>
    </w:lvl>
    <w:lvl w:ilvl="1">
      <w:lvlJc w:val="left"/>
      <w:lvlText w:val="(%2)"/>
      <w:numFmt w:val="lowerLetter"/>
      <w:start w:val="2"/>
    </w:lvl>
    <w:lvl w:ilvl="2">
      <w:lvlJc w:val="left"/>
      <w:lvlText w:val="%3"/>
      <w:numFmt w:val="decimal"/>
      <w:start w:val="1"/>
    </w:lvl>
    <w:lvl w:ilvl="3">
      <w:lvlJc w:val="left"/>
      <w:lvlText w:val="(%4)"/>
      <w:numFmt w:val="lowerLetter"/>
      <w:start w:val="3"/>
    </w:lvl>
  </w:abstractNum>
  <w:abstractNum w:abstractNumId="24">
    <w:nsid w:val="7644A45C"/>
    <w:multiLevelType w:val="hybridMultilevel"/>
    <w:lvl w:ilvl="0">
      <w:lvlJc w:val="left"/>
      <w:lvlText w:val="%1."/>
      <w:numFmt w:val="decimal"/>
      <w:start w:val="8"/>
    </w:lvl>
    <w:lvl w:ilvl="1">
      <w:lvlJc w:val="left"/>
      <w:lvlText w:val="(%2)"/>
      <w:numFmt w:val="lowerLetter"/>
      <w:start w:val="1"/>
    </w:lvl>
  </w:abstractNum>
  <w:abstractNum w:abstractNumId="25">
    <w:nsid w:val="32FFF902"/>
    <w:multiLevelType w:val="hybridMultilevel"/>
    <w:lvl w:ilvl="0">
      <w:lvlJc w:val="left"/>
      <w:lvlText w:val="%1"/>
      <w:numFmt w:val="lowerLetter"/>
      <w:start w:val="1"/>
    </w:lvl>
    <w:lvl w:ilvl="1">
      <w:lvlJc w:val="left"/>
      <w:lvlText w:val="(%2)"/>
      <w:numFmt w:val="lowerRoman"/>
      <w:start w:val="2"/>
    </w:lvl>
    <w:lvl w:ilvl="2">
      <w:lvlJc w:val="left"/>
      <w:lvlText w:val="(%3)"/>
      <w:numFmt w:val="lowerRoman"/>
      <w:start w:val="3"/>
    </w:lvl>
    <w:lvl w:ilvl="3">
      <w:lvlJc w:val="left"/>
      <w:lvlText w:val="%4"/>
      <w:numFmt w:val="lowerLetter"/>
      <w:start w:val="1"/>
    </w:lvl>
    <w:lvl w:ilvl="4">
      <w:lvlJc w:val="left"/>
      <w:lvlText w:val="(%5)"/>
      <w:numFmt w:val="lowerRoman"/>
      <w:start w:val="4"/>
    </w:lvl>
  </w:abstractNum>
  <w:abstractNum w:abstractNumId="26">
    <w:nsid w:val="684A481A"/>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lvl w:ilvl="3">
      <w:lvlJc w:val="left"/>
      <w:lvlText w:val="(%4)"/>
      <w:numFmt w:val="lowerLetter"/>
      <w:start w:val="4"/>
    </w:lvl>
    <w:lvl w:ilvl="4">
      <w:lvlJc w:val="left"/>
      <w:lvlText w:val="%5"/>
      <w:numFmt w:val="lowerRoman"/>
      <w:start w:val="1"/>
    </w:lvl>
  </w:abstractNum>
  <w:abstractNum w:abstractNumId="27">
    <w:nsid w:val="579478FE"/>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4)"/>
      <w:numFmt w:val="lowerLetter"/>
      <w:start w:val="5"/>
    </w:lvl>
  </w:abstractNum>
  <w:abstractNum w:abstractNumId="28">
    <w:nsid w:val="749ABB43"/>
    <w:multiLevelType w:val="hybridMultilevel"/>
    <w:lvl w:ilvl="0">
      <w:lvlJc w:val="left"/>
      <w:lvlText w:val="%1"/>
      <w:numFmt w:val="decimal"/>
      <w:start w:val="1"/>
    </w:lvl>
    <w:lvl w:ilvl="1">
      <w:lvlJc w:val="left"/>
      <w:lvlText w:val="(%2)"/>
      <w:numFmt w:val="lowerLetter"/>
      <w:start w:val="7"/>
    </w:lvl>
    <w:lvl w:ilvl="2">
      <w:lvlJc w:val="left"/>
      <w:lvlText w:val="%3"/>
      <w:numFmt w:val="decimal"/>
      <w:start w:val="1"/>
    </w:lvl>
    <w:lvl w:ilvl="3">
      <w:lvlJc w:val="left"/>
      <w:lvlText w:val="%4"/>
      <w:numFmt w:val="lowerLetter"/>
      <w:start w:val="1"/>
    </w:lvl>
  </w:abstractNum>
  <w:abstractNum w:abstractNumId="29">
    <w:nsid w:val="3DC240FB"/>
    <w:multiLevelType w:val="hybridMultilevel"/>
    <w:lvl w:ilvl="0">
      <w:lvlJc w:val="left"/>
      <w:lvlText w:val="%1."/>
      <w:numFmt w:val="decimal"/>
      <w:start w:val="9"/>
    </w:lvl>
    <w:lvl w:ilvl="1">
      <w:lvlJc w:val="left"/>
      <w:lvlText w:val="%2"/>
      <w:numFmt w:val="lowerLetter"/>
      <w:start w:val="1"/>
    </w:lvl>
    <w:lvl w:ilvl="2">
      <w:lvlJc w:val="left"/>
      <w:lvlText w:val="%3."/>
      <w:numFmt w:val="decimal"/>
      <w:start w:val="10"/>
    </w:lvl>
    <w:lvl w:ilvl="3">
      <w:lvlJc w:val="left"/>
      <w:lvlText w:val="(%4)"/>
      <w:numFmt w:val="lowerLetter"/>
      <w:start w:val="1"/>
    </w:lvl>
  </w:abstractNum>
  <w:abstractNum w:abstractNumId="30">
    <w:nsid w:val="1BA026FA"/>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decimal"/>
      <w:start w:val="1"/>
    </w:lvl>
    <w:lvl w:ilvl="4">
      <w:lvlJc w:val="left"/>
      <w:lvlText w:val="%5"/>
      <w:numFmt w:val="lowerLetter"/>
      <w:start w:val="1"/>
    </w:lvl>
    <w:lvl w:ilvl="5">
      <w:lvlJc w:val="left"/>
      <w:lvlText w:val="(%6)"/>
      <w:numFmt w:val="lowerLetter"/>
      <w:start w:val="3"/>
    </w:lvl>
  </w:abstractNum>
  <w:abstractNum w:abstractNumId="31">
    <w:nsid w:val="79A1DEAA"/>
    <w:multiLevelType w:val="hybridMultilevel"/>
    <w:lvl w:ilvl="0">
      <w:lvlJc w:val="left"/>
      <w:lvlText w:val="(%1)"/>
      <w:numFmt w:val="lowerLetter"/>
      <w:start w:val="9"/>
    </w:lvl>
    <w:lvl w:ilvl="1">
      <w:lvlJc w:val="left"/>
      <w:lvlText w:val="(%2)"/>
      <w:numFmt w:val="lowerRoman"/>
      <w:start w:val="1"/>
    </w:lvl>
    <w:lvl w:ilvl="2">
      <w:lvlJc w:val="left"/>
      <w:lvlText w:val="(%3)"/>
      <w:numFmt w:val="lowerRoman"/>
    </w:lvl>
    <w:lvl w:ilvl="3">
      <w:lvlJc w:val="left"/>
      <w:lvlText w:val="%4."/>
      <w:numFmt w:val="decimal"/>
      <w:start w:val="11"/>
    </w:lvl>
    <w:lvl w:ilvl="4">
      <w:lvlJc w:val="left"/>
      <w:lvlText w:val="(%5)"/>
      <w:numFmt w:val="lowerLetter"/>
      <w:start w:val="61"/>
    </w:lvl>
    <w:lvl w:ilvl="5">
      <w:lvlJc w:val="left"/>
      <w:lvlText w:val="(%6)"/>
      <w:numFmt w:val="lowerLetter"/>
      <w:start w:val="1"/>
    </w:lvl>
  </w:abstractNum>
  <w:abstractNum w:abstractNumId="32">
    <w:nsid w:val="75C6C33A"/>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2"/>
    </w:lvl>
  </w:abstractNum>
  <w:abstractNum w:abstractNumId="33">
    <w:nsid w:val="12E685FB"/>
    <w:multiLevelType w:val="hybridMultilevel"/>
    <w:lvl w:ilvl="0">
      <w:lvlJc w:val="left"/>
      <w:lvlText w:val="(%1)"/>
      <w:numFmt w:val="lowerRoman"/>
      <w:start w:val="1"/>
    </w:lvl>
    <w:lvl w:ilvl="1">
      <w:lvlJc w:val="left"/>
      <w:lvlText w:val="(%2)"/>
      <w:numFmt w:val="lowerLetter"/>
      <w:start w:val="35"/>
    </w:lvl>
    <w:lvl w:ilvl="2">
      <w:lvlJc w:val="left"/>
      <w:lvlText w:val="%3"/>
      <w:numFmt w:val="lowerLetter"/>
      <w:start w:val="1"/>
    </w:lvl>
  </w:abstractNum>
  <w:abstractNum w:abstractNumId="34">
    <w:nsid w:val="70C6A529"/>
    <w:multiLevelType w:val="hybridMultilevel"/>
    <w:lvl w:ilvl="0">
      <w:lvlJc w:val="left"/>
      <w:lvlText w:val="%1."/>
      <w:numFmt w:val="decimal"/>
      <w:start w:val="12"/>
    </w:lvl>
    <w:lvl w:ilvl="1">
      <w:lvlJc w:val="left"/>
      <w:lvlText w:val="(%2)"/>
      <w:numFmt w:val="lowerLetter"/>
      <w:start w:val="1"/>
    </w:lvl>
    <w:lvl w:ilvl="2">
      <w:lvlJc w:val="left"/>
      <w:lvlText w:val="%3."/>
      <w:numFmt w:val="decimal"/>
      <w:start w:val="14"/>
    </w:lvl>
    <w:lvl w:ilvl="3">
      <w:lvlJc w:val="left"/>
      <w:lvlText w:val="(%4)"/>
      <w:numFmt w:val="lowerLetter"/>
      <w:start w:val="1"/>
    </w:lvl>
  </w:abstractNum>
  <w:abstractNum w:abstractNumId="35">
    <w:nsid w:val="520EEDD1"/>
    <w:multiLevelType w:val="hybridMultilevel"/>
    <w:lvl w:ilvl="0">
      <w:lvlJc w:val="left"/>
      <w:lvlText w:val="%1"/>
      <w:numFmt w:val="decimal"/>
      <w:start w:val="1"/>
    </w:lvl>
    <w:lvl w:ilvl="1">
      <w:lvlJc w:val="left"/>
      <w:lvlText w:val="%2."/>
      <w:numFmt w:val="decimal"/>
      <w:start w:val="16"/>
    </w:lvl>
  </w:abstractNum>
  <w:abstractNum w:abstractNumId="36">
    <w:nsid w:val="374A3FE6"/>
    <w:multiLevelType w:val="hybridMultilevel"/>
    <w:lvl w:ilvl="0">
      <w:lvlJc w:val="left"/>
      <w:lvlText w:val="%1."/>
      <w:numFmt w:val="decimal"/>
      <w:start w:val="17"/>
    </w:lvl>
    <w:lvl w:ilvl="1">
      <w:lvlJc w:val="left"/>
      <w:lvlText w:val="%2."/>
      <w:numFmt w:val="decimal"/>
      <w:start w:val="19"/>
    </w:lvl>
  </w:abstractNum>
  <w:abstractNum w:abstractNumId="37">
    <w:nsid w:val="4F4EF005"/>
    <w:multiLevelType w:val="hybridMultilevel"/>
    <w:lvl w:ilvl="0">
      <w:lvlJc w:val="left"/>
      <w:lvlText w:val="%1."/>
      <w:numFmt w:val="decimal"/>
      <w:start w:val="20"/>
    </w:lvl>
  </w:abstractNum>
  <w:abstractNum w:abstractNumId="38">
    <w:nsid w:val="23F9C13C"/>
    <w:multiLevelType w:val="hybridMultilevel"/>
    <w:lvl w:ilvl="0">
      <w:lvlJc w:val="left"/>
      <w:lvlText w:val="%1."/>
      <w:numFmt w:val="decimal"/>
      <w:start w:val="23"/>
    </w:lvl>
  </w:abstractNum>
  <w:abstractNum w:abstractNumId="39">
    <w:nsid w:val="649BB77C"/>
    <w:multiLevelType w:val="hybridMultilevel"/>
    <w:lvl w:ilvl="0">
      <w:lvlJc w:val="left"/>
      <w:lvlText w:val="%1."/>
      <w:numFmt w:val="decimal"/>
      <w:start w:val="1"/>
    </w:lvl>
  </w:abstractNum>
  <w:abstractNum w:abstractNumId="40">
    <w:nsid w:val="275AC794"/>
    <w:multiLevelType w:val="hybridMultilevel"/>
    <w:lvl w:ilvl="0">
      <w:lvlJc w:val="left"/>
      <w:lvlText w:val="%1."/>
      <w:numFmt w:val="decimal"/>
      <w:start w:val="1"/>
    </w:lvl>
  </w:abstractNum>
  <w:abstractNum w:abstractNumId="41">
    <w:nsid w:val="39386575"/>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42">
    <w:nsid w:val="1CF10FD8"/>
    <w:multiLevelType w:val="hybridMultilevel"/>
    <w:lvl w:ilvl="0">
      <w:lvlJc w:val="left"/>
      <w:lvlText w:val="(%1)"/>
      <w:numFmt w:val="lowerLetter"/>
      <w:start w:val="22"/>
    </w:lvl>
    <w:lvl w:ilvl="1">
      <w:lvlJc w:val="left"/>
      <w:lvlText w:val="(%2)"/>
      <w:numFmt w:val="lowerLetter"/>
      <w:start w:val="5"/>
    </w:lvl>
    <w:lvl w:ilvl="2">
      <w:lvlJc w:val="left"/>
      <w:lvlText w:val="(%3)"/>
      <w:numFmt w:val="decimal"/>
      <w:start w:val="1"/>
    </w:lvl>
  </w:abstractNum>
  <w:abstractNum w:abstractNumId="43">
    <w:nsid w:val="180115BE"/>
    <w:multiLevelType w:val="hybridMultilevel"/>
    <w:lvl w:ilvl="0">
      <w:lvlJc w:val="left"/>
      <w:lvlText w:val="(%1)"/>
      <w:numFmt w:val="lowerLetter"/>
      <w:start w:val="13"/>
    </w:lvl>
    <w:lvl w:ilvl="1">
      <w:lvlJc w:val="left"/>
      <w:lvlText w:val="(%2)"/>
      <w:numFmt w:val="decimal"/>
      <w:start w:val="1"/>
    </w:lvl>
  </w:abstractNum>
  <w:abstractNum w:abstractNumId="44">
    <w:nsid w:val="235BA861"/>
    <w:multiLevelType w:val="hybridMultilevel"/>
    <w:lvl w:ilvl="0">
      <w:lvlJc w:val="left"/>
      <w:lvlText w:val="%1"/>
      <w:numFmt w:val="lowerLetter"/>
      <w:start w:val="1"/>
    </w:lvl>
    <w:lvl w:ilvl="1">
      <w:lvlJc w:val="left"/>
      <w:lvlText w:val="(%2)"/>
      <w:numFmt w:val="decimal"/>
      <w:start w:val="2"/>
    </w:lvl>
  </w:abstractNum>
  <w:abstractNum w:abstractNumId="45">
    <w:nsid w:val="47398C89"/>
    <w:multiLevelType w:val="hybridMultilevel"/>
    <w:lvl w:ilvl="0">
      <w:lvlJc w:val="left"/>
      <w:lvlText w:val="(%1)"/>
      <w:numFmt w:val="lowerLetter"/>
      <w:start w:val="17"/>
    </w:lvl>
    <w:lvl w:ilvl="1">
      <w:lvlJc w:val="left"/>
      <w:lvlText w:val="%2"/>
      <w:numFmt w:val="decimal"/>
      <w:start w:val="1"/>
    </w:lvl>
  </w:abstractNum>
  <w:abstractNum w:abstractNumId="46">
    <w:nsid w:val="354FE9F9"/>
    <w:multiLevelType w:val="hybridMultilevel"/>
    <w:lvl w:ilvl="0">
      <w:lvlJc w:val="left"/>
      <w:lvlText w:val="%1"/>
      <w:numFmt w:val="decimal"/>
      <w:start w:val="1"/>
    </w:lvl>
    <w:lvl w:ilvl="1">
      <w:lvlJc w:val="left"/>
      <w:lvlText w:val="%2"/>
      <w:numFmt w:val="decimal"/>
      <w:start w:val="1"/>
    </w:lvl>
    <w:lvl w:ilvl="2">
      <w:lvlJc w:val="left"/>
      <w:lvlText w:val="(%3)"/>
      <w:numFmt w:val="lowerLetter"/>
      <w:start w:val="24"/>
    </w:lvl>
    <w:lvl w:ilvl="3">
      <w:lvlJc w:val="left"/>
      <w:lvlText w:val="%4"/>
      <w:numFmt w:val="decimal"/>
      <w:start w:val="1"/>
    </w:lvl>
  </w:abstractNum>
  <w:abstractNum w:abstractNumId="47">
    <w:nsid w:val="15B5AF5C"/>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lvl w:ilvl="3">
      <w:lvlJc w:val="left"/>
      <w:lvlText w:val="(%4)"/>
      <w:numFmt w:val="decimal"/>
      <w:start w:val="1"/>
    </w:lvl>
  </w:abstractNum>
  <w:abstractNum w:abstractNumId="48">
    <w:nsid w:val="741226BB"/>
    <w:multiLevelType w:val="hybridMultilevel"/>
    <w:lvl w:ilvl="0">
      <w:lvlJc w:val="left"/>
      <w:lvlText w:val="(%1)"/>
      <w:numFmt w:val="decimal"/>
      <w:start w:val="15"/>
    </w:lvl>
    <w:lvl w:ilvl="1">
      <w:lvlJc w:val="left"/>
      <w:lvlText w:val="%2"/>
      <w:numFmt w:val="decimal"/>
      <w:start w:val="1"/>
    </w:lvl>
    <w:lvl w:ilvl="2">
      <w:lvlJc w:val="left"/>
      <w:lvlText w:val="%3"/>
      <w:numFmt w:val="lowerLetter"/>
      <w:start w:val="1"/>
    </w:lvl>
    <w:lvl w:ilvl="3">
      <w:lvlJc w:val="left"/>
      <w:lvlText w:val="(%4)"/>
      <w:numFmt w:val="decimal"/>
      <w:start w:val="2"/>
    </w:lvl>
  </w:abstractNum>
  <w:abstractNum w:abstractNumId="49">
    <w:nsid w:val="D34B6A8"/>
    <w:multiLevelType w:val="hybridMultilevel"/>
    <w:lvl w:ilvl="0">
      <w:lvlJc w:val="left"/>
      <w:lvlText w:val="%1"/>
      <w:numFmt w:val="decimal"/>
      <w:start w:val="1"/>
    </w:lvl>
    <w:lvl w:ilvl="1">
      <w:lvlJc w:val="left"/>
      <w:lvlText w:val="%2"/>
      <w:numFmt w:val="lowerLetter"/>
      <w:start w:val="1"/>
    </w:lvl>
    <w:lvl w:ilvl="2">
      <w:lvlJc w:val="left"/>
      <w:lvlText w:val="(%3)"/>
      <w:numFmt w:val="decimal"/>
      <w:start w:val="3"/>
    </w:lvl>
  </w:abstractNum>
  <w:abstractNum w:abstractNumId="50">
    <w:nsid w:val="10233C99"/>
    <w:multiLevelType w:val="hybridMultilevel"/>
    <w:lvl w:ilvl="0">
      <w:lvlJc w:val="left"/>
      <w:lvlText w:val="%1"/>
      <w:numFmt w:val="decimal"/>
      <w:start w:val="1"/>
    </w:lvl>
    <w:lvl w:ilvl="1">
      <w:lvlJc w:val="left"/>
      <w:lvlText w:val="(%2)"/>
      <w:numFmt w:val="lowerLetter"/>
      <w:start w:val="4"/>
    </w:lvl>
    <w:lvl w:ilvl="2">
      <w:lvlJc w:val="left"/>
      <w:lvlText w:val="(%3)"/>
      <w:numFmt w:val="decimal"/>
      <w:start w:val="1"/>
    </w:lvl>
  </w:abstractNum>
  <w:abstractNum w:abstractNumId="51">
    <w:nsid w:val="3F6AB60F"/>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52">
    <w:nsid w:val="61574095"/>
    <w:multiLevelType w:val="hybridMultilevel"/>
    <w:lvl w:ilvl="0">
      <w:lvlJc w:val="left"/>
      <w:lvlText w:val="(%1)"/>
      <w:numFmt w:val="lowerLetter"/>
      <w:start w:val="1"/>
    </w:lvl>
    <w:lvl w:ilvl="1">
      <w:lvlJc w:val="left"/>
      <w:lvlText w:val="(%2)"/>
      <w:numFmt w:val="decimal"/>
      <w:start w:val="1"/>
    </w:lvl>
  </w:abstractNum>
  <w:abstractNum w:abstractNumId="53">
    <w:nsid w:val="7E0C57B1"/>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54">
    <w:nsid w:val="77AE35EB"/>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55">
    <w:nsid w:val="579BE4F1"/>
    <w:multiLevelType w:val="hybridMultilevel"/>
    <w:lvl w:ilvl="0">
      <w:lvlJc w:val="left"/>
      <w:lvlText w:val="%1"/>
      <w:numFmt w:val="decimal"/>
      <w:start w:val="1"/>
    </w:lvl>
    <w:lvl w:ilvl="1">
      <w:lvlJc w:val="left"/>
      <w:lvlText w:val="(%2)"/>
      <w:numFmt w:val="lowerLetter"/>
      <w:start w:val="4"/>
    </w:lvl>
  </w:abstractNum>
  <w:abstractNum w:abstractNumId="56">
    <w:nsid w:val="310C50B3"/>
    <w:multiLevelType w:val="hybridMultilevel"/>
    <w:lvl w:ilvl="0">
      <w:lvlJc w:val="left"/>
      <w:lvlText w:val="%1."/>
      <w:numFmt w:val="decimal"/>
      <w:start w:val="7"/>
    </w:lvl>
    <w:lvl w:ilvl="1">
      <w:lvlJc w:val="left"/>
      <w:lvlText w:val="(%2)"/>
      <w:numFmt w:val="lowerLetter"/>
      <w:start w:val="1"/>
    </w:lvl>
  </w:abstractNum>
  <w:abstractNum w:abstractNumId="57">
    <w:nsid w:val="5FF87E05"/>
    <w:multiLevelType w:val="hybridMultilevel"/>
    <w:lvl w:ilvl="0">
      <w:lvlJc w:val="left"/>
      <w:lvlText w:val="%1."/>
      <w:numFmt w:val="decimal"/>
      <w:start w:val="10"/>
    </w:lvl>
    <w:lvl w:ilvl="1">
      <w:lvlJc w:val="left"/>
      <w:lvlText w:val="(%2)"/>
      <w:numFmt w:val="lowerLetter"/>
      <w:start w:val="1"/>
    </w:lvl>
  </w:abstractNum>
  <w:abstractNum w:abstractNumId="58">
    <w:nsid w:val="2F305DEF"/>
    <w:multiLevelType w:val="hybridMultilevel"/>
    <w:lvl w:ilvl="0">
      <w:lvlJc w:val="left"/>
      <w:lvlText w:val="--"/>
      <w:numFmt w:val="bullet"/>
      <w:start w:val="1"/>
    </w:lvl>
  </w:abstractNum>
  <w:abstractNum w:abstractNumId="59">
    <w:nsid w:val="25A70BF7"/>
    <w:multiLevelType w:val="hybridMultilevel"/>
    <w:lvl w:ilvl="0">
      <w:lvlJc w:val="left"/>
      <w:lvlText w:val="(%1)"/>
      <w:numFmt w:val="decimal"/>
      <w:start w:val="1"/>
    </w:lvl>
  </w:abstractNum>
  <w:abstractNum w:abstractNumId="60">
    <w:nsid w:val="1DBABF00"/>
    <w:multiLevelType w:val="hybridMultilevel"/>
    <w:lvl w:ilvl="0">
      <w:lvlJc w:val="left"/>
      <w:lvlText w:val="(%1)"/>
      <w:numFmt w:val="decimal"/>
      <w:start w:val="2"/>
    </w:lvl>
  </w:abstractNum>
  <w:abstractNum w:abstractNumId="61">
    <w:nsid w:val="4AD084E9"/>
    <w:multiLevelType w:val="hybridMultilevel"/>
    <w:lvl w:ilvl="0">
      <w:lvlJc w:val="left"/>
      <w:lvlText w:val="(%1)"/>
      <w:numFmt w:val="decimal"/>
      <w:start w:val="3"/>
    </w:lvl>
  </w:abstractNum>
  <w:abstractNum w:abstractNumId="62">
    <w:nsid w:val="1F48EAA1"/>
    <w:multiLevelType w:val="hybridMultilevel"/>
    <w:lvl w:ilvl="0">
      <w:lvlJc w:val="left"/>
      <w:lvlText w:val="(%1)"/>
      <w:numFmt w:val="decimal"/>
      <w:start w:val="4"/>
    </w:lvl>
  </w:abstractNum>
  <w:abstractNum w:abstractNumId="63">
    <w:nsid w:val="1381823A"/>
    <w:multiLevelType w:val="hybridMultilevel"/>
    <w:lvl w:ilvl="0">
      <w:lvlJc w:val="left"/>
      <w:lvlText w:val="(%1)"/>
      <w:numFmt w:val="decimal"/>
      <w:start w:val="5"/>
    </w:lvl>
  </w:abstractNum>
  <w:abstractNum w:abstractNumId="64">
    <w:nsid w:val="5DB70AE5"/>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65">
    <w:nsid w:val="100F8FC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66">
    <w:nsid w:val="6590700B"/>
    <w:multiLevelType w:val="hybridMultilevel"/>
    <w:lvl w:ilvl="0">
      <w:lvlJc w:val="left"/>
      <w:lvlText w:val="%1."/>
      <w:numFmt w:val="decimal"/>
      <w:start w:val="1"/>
    </w:lvl>
    <w:lvl w:ilvl="1">
      <w:lvlJc w:val="left"/>
      <w:lvlText w:val="%2)"/>
      <w:numFmt w:val="lowerLetter"/>
      <w:start w:val="1"/>
    </w:lvl>
  </w:abstractNum>
  <w:abstractNum w:abstractNumId="67">
    <w:nsid w:val="15014ACB"/>
    <w:multiLevelType w:val="hybridMultilevel"/>
    <w:lvl w:ilvl="0">
      <w:lvlJc w:val="left"/>
      <w:lvlText w:val="%1."/>
      <w:numFmt w:val="decimal"/>
      <w:start w:val="1"/>
    </w:lvl>
    <w:lvl w:ilvl="1">
      <w:lvlJc w:val="left"/>
      <w:lvlText w:val="%2)"/>
      <w:numFmt w:val="lowerLetter"/>
      <w:start w:val="1"/>
    </w:lvl>
  </w:abstractNum>
  <w:abstractNum w:abstractNumId="68">
    <w:nsid w:val="5F5E7FD0"/>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69">
    <w:nsid w:val="98A3148"/>
    <w:multiLevelType w:val="hybridMultilevel"/>
    <w:lvl w:ilvl="0">
      <w:lvlJc w:val="left"/>
      <w:lvlText w:val="%1."/>
      <w:numFmt w:val="decimal"/>
      <w:start w:val="1"/>
    </w:lvl>
  </w:abstractNum>
  <w:abstractNum w:abstractNumId="70">
    <w:nsid w:val="799D02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2019-12-29T07:18:36Z</dcterms:created>
  <dcterms:modified xsi:type="dcterms:W3CDTF">2019-12-29T07:18:36Z</dcterms:modified>
</cp:coreProperties>
</file>