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19"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3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200" w:lineRule="exact"/>
        <w:rPr>
          <w:sz w:val="24"/>
          <w:szCs w:val="24"/>
          <w:color w:val="auto"/>
        </w:rPr>
      </w:pPr>
    </w:p>
    <w:p>
      <w:pPr>
        <w:spacing w:after="0" w:line="221"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The following memorandum was distributed by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144907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David L. Cohen</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color w:val="808080"/>
        </w:rPr>
        <w:t>Executive Vice President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MEMORANDUM</w:t>
      </w:r>
    </w:p>
    <w:p>
      <w:pPr>
        <w:sectPr>
          <w:pgSz w:w="11900" w:h="16838" w:orient="portrait"/>
          <w:cols w:equalWidth="0" w:num="1">
            <w:col w:w="11420"/>
          </w:cols>
          <w:pgMar w:left="240" w:top="493" w:right="239" w:bottom="1440" w:gutter="0" w:footer="0" w:header="0"/>
        </w:sectPr>
      </w:pPr>
    </w:p>
    <w:p>
      <w:pPr>
        <w:spacing w:after="0" w:line="261" w:lineRule="exact"/>
        <w:rPr>
          <w:sz w:val="24"/>
          <w:szCs w:val="24"/>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David L. Cohen</w:t>
      </w:r>
    </w:p>
    <w:p>
      <w:pPr>
        <w:spacing w:after="0" w:line="211" w:lineRule="exact"/>
        <w:rPr>
          <w:sz w:val="24"/>
          <w:szCs w:val="24"/>
          <w:color w:val="auto"/>
        </w:rPr>
      </w:pPr>
    </w:p>
    <w:p>
      <w:pPr>
        <w:sectPr>
          <w:pgSz w:w="11900" w:h="16838" w:orient="portrait"/>
          <w:cols w:equalWidth="0" w:num="2">
            <w:col w:w="560" w:space="680"/>
            <w:col w:w="10180"/>
          </w:cols>
          <w:pgMar w:left="240" w:top="493"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Comcast/Time Warner Cable Announcement</w:t>
      </w:r>
    </w:p>
    <w:p>
      <w:pPr>
        <w:spacing w:after="0" w:line="200" w:lineRule="exact"/>
        <w:rPr>
          <w:sz w:val="24"/>
          <w:szCs w:val="24"/>
          <w:color w:val="auto"/>
        </w:rPr>
      </w:pPr>
    </w:p>
    <w:p>
      <w:pPr>
        <w:sectPr>
          <w:pgSz w:w="11900" w:h="16838" w:orient="portrait"/>
          <w:cols w:equalWidth="0" w:num="2">
            <w:col w:w="560" w:space="720"/>
            <w:col w:w="10140"/>
          </w:cols>
          <w:pgMar w:left="240" w:top="493"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February 13, 2014</w:t>
      </w:r>
    </w:p>
    <w:p>
      <w:pPr>
        <w:spacing w:after="0" w:line="211" w:lineRule="exact"/>
        <w:rPr>
          <w:sz w:val="24"/>
          <w:szCs w:val="24"/>
          <w:color w:val="auto"/>
        </w:rPr>
      </w:pPr>
    </w:p>
    <w:p>
      <w:pPr>
        <w:sectPr>
          <w:pgSz w:w="11900" w:h="16838" w:orient="portrait"/>
          <w:cols w:equalWidth="0" w:num="2">
            <w:col w:w="520" w:space="720"/>
            <w:col w:w="10180"/>
          </w:cols>
          <w:pgMar w:left="240" w:top="493" w:right="239" w:bottom="1440" w:gutter="0" w:footer="0" w:header="0"/>
          <w:type w:val="continuous"/>
        </w:sectPr>
      </w:pPr>
    </w:p>
    <w:p>
      <w:pPr>
        <w:spacing w:after="0" w:line="64"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This morning, Comcast and Time Warner Cable announced a transaction that will combine the cable assets of Time Warner Cable with those of Comcast. This is a friendly transaction, forged in a dynamic and robustly competitive landscape. The transaction is strongly pro-competitive and is firmly in the public interest. The details of the transaction are summarized in the accompanying press release and fact sheet.</w:t>
      </w:r>
    </w:p>
    <w:p>
      <w:pPr>
        <w:spacing w:after="0" w:line="208" w:lineRule="exact"/>
        <w:rPr>
          <w:sz w:val="24"/>
          <w:szCs w:val="24"/>
          <w:color w:val="auto"/>
        </w:rPr>
      </w:pPr>
    </w:p>
    <w:p>
      <w:pPr>
        <w:ind w:right="120"/>
        <w:spacing w:after="0" w:line="257" w:lineRule="auto"/>
        <w:rPr>
          <w:sz w:val="20"/>
          <w:szCs w:val="20"/>
          <w:color w:val="auto"/>
        </w:rPr>
      </w:pPr>
      <w:r>
        <w:rPr>
          <w:rFonts w:ascii="Arial" w:cs="Arial" w:eastAsia="Arial" w:hAnsi="Arial"/>
          <w:sz w:val="18"/>
          <w:szCs w:val="18"/>
          <w:color w:val="auto"/>
        </w:rPr>
        <w:t>As a company that is focused on driving innovation and responding to an intensely competitive environment with superior value and service, Comcast is excited to have the opportunity to manage these assets and bring the benefits of Comcast’s industry-leading technology, user experience, and broadband service to millions of additional customers. It was just these exciting possibilities that led to the discussions between Time Warner Cable and Comcast and to the suggestion by many of our shareholders that we pursue a transaction to create this new company with such great promise for our customers and shareholders.</w:t>
      </w:r>
    </w:p>
    <w:p>
      <w:pPr>
        <w:spacing w:after="0" w:line="21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With this acquisition, Comcast intends to build on our extraordinarily successful acquisition of NBCUniversal, and our unparalleled record of keeping our promises to bring new benefits to consumers in prior acquisitions.</w:t>
      </w:r>
    </w:p>
    <w:p>
      <w:pPr>
        <w:spacing w:after="0" w:line="197"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While we believe that this transaction is, and will be determined to be, pro-competitive, pro-consumer, and strongly in the public interest when we make our case and seek approval from federal regulators, we recognize that certain competitive concerns might be raised about consolidation of these assets under one roof.</w:t>
      </w:r>
    </w:p>
    <w:p>
      <w:pPr>
        <w:spacing w:after="0" w:line="208" w:lineRule="exact"/>
        <w:rPr>
          <w:sz w:val="24"/>
          <w:szCs w:val="24"/>
          <w:color w:val="auto"/>
        </w:rPr>
      </w:pPr>
    </w:p>
    <w:p>
      <w:pPr>
        <w:ind w:right="280"/>
        <w:spacing w:after="0" w:line="269" w:lineRule="auto"/>
        <w:rPr>
          <w:sz w:val="20"/>
          <w:szCs w:val="20"/>
          <w:color w:val="auto"/>
        </w:rPr>
      </w:pPr>
      <w:r>
        <w:rPr>
          <w:rFonts w:ascii="Arial" w:cs="Arial" w:eastAsia="Arial" w:hAnsi="Arial"/>
          <w:sz w:val="17"/>
          <w:szCs w:val="17"/>
          <w:color w:val="auto"/>
        </w:rPr>
        <w:t xml:space="preserve">But we strongly believe that these competitive concerns are already addressed, not only by the highly competitive marketplace in which the new company will vigorously compete for subscribers, but also by existing rules and regulations, as well as the binding conditions and requirements already in place as a result of the approval of the Comcast/NBCUniversal transaction. Several of these conditions will </w:t>
      </w:r>
      <w:r>
        <w:rPr>
          <w:rFonts w:ascii="Arial" w:cs="Arial" w:eastAsia="Arial" w:hAnsi="Arial"/>
          <w:sz w:val="17"/>
          <w:szCs w:val="17"/>
          <w:i w:val="1"/>
          <w:iCs w:val="1"/>
          <w:color w:val="auto"/>
        </w:rPr>
        <w:t>automatically</w:t>
      </w:r>
      <w:r>
        <w:rPr>
          <w:rFonts w:ascii="Arial" w:cs="Arial" w:eastAsia="Arial" w:hAnsi="Arial"/>
          <w:sz w:val="17"/>
          <w:szCs w:val="17"/>
          <w:color w:val="auto"/>
        </w:rPr>
        <w:t xml:space="preserve"> extend to the acquired systems upon the approval and consummation of this transaction, and they ensure substantial protections and benefits, including:</w:t>
      </w:r>
    </w:p>
    <w:p>
      <w:pPr>
        <w:spacing w:after="0" w:line="231" w:lineRule="exact"/>
        <w:rPr>
          <w:sz w:val="24"/>
          <w:szCs w:val="24"/>
          <w:color w:val="auto"/>
        </w:rPr>
      </w:pPr>
    </w:p>
    <w:p>
      <w:pPr>
        <w:ind w:left="660" w:right="500" w:hanging="328"/>
        <w:spacing w:after="0" w:line="182" w:lineRule="auto"/>
        <w:tabs>
          <w:tab w:leader="none" w:pos="660" w:val="left"/>
        </w:tabs>
        <w:numPr>
          <w:ilvl w:val="0"/>
          <w:numId w:val="1"/>
        </w:numPr>
        <w:rPr>
          <w:rFonts w:ascii="Arial" w:cs="Arial" w:eastAsia="Arial" w:hAnsi="Arial"/>
          <w:sz w:val="36"/>
          <w:szCs w:val="36"/>
          <w:color w:val="auto"/>
          <w:vertAlign w:val="subscript"/>
        </w:rPr>
      </w:pPr>
      <w:r>
        <w:rPr>
          <w:rFonts w:ascii="Arial" w:cs="Arial" w:eastAsia="Arial" w:hAnsi="Arial"/>
          <w:sz w:val="15"/>
          <w:szCs w:val="15"/>
          <w:color w:val="auto"/>
        </w:rPr>
        <w:t>Broadcast stations in the acquired markets will have greater protections in their retransmission consent negotiations with the acquired systems. Among other things, NBC affiliate market integrity in these markets would be protected, and Comcast's</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808080"/>
        </w:rPr>
        <w:t>One Comcast Center Philadelphia, PA 19103 www.comcastcorporation.com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8"/>
          <w:szCs w:val="18"/>
          <w:color w:val="auto"/>
        </w:rPr>
        <w:t>negotiations with broadcast stations would be without influence by NBCUniversal's retransmission consent or affiliate negotiations.</w:t>
      </w:r>
    </w:p>
    <w:p>
      <w:pPr>
        <w:spacing w:after="0" w:line="252" w:lineRule="exact"/>
        <w:rPr>
          <w:sz w:val="20"/>
          <w:szCs w:val="20"/>
          <w:color w:val="auto"/>
        </w:rPr>
      </w:pPr>
    </w:p>
    <w:p>
      <w:pPr>
        <w:ind w:left="660" w:right="80" w:hanging="328"/>
        <w:spacing w:after="0" w:line="182" w:lineRule="auto"/>
        <w:tabs>
          <w:tab w:leader="none" w:pos="660" w:val="left"/>
        </w:tabs>
        <w:numPr>
          <w:ilvl w:val="0"/>
          <w:numId w:val="2"/>
        </w:numPr>
        <w:rPr>
          <w:rFonts w:ascii="Arial" w:cs="Arial" w:eastAsia="Arial" w:hAnsi="Arial"/>
          <w:sz w:val="36"/>
          <w:szCs w:val="36"/>
          <w:color w:val="auto"/>
          <w:vertAlign w:val="subscript"/>
        </w:rPr>
      </w:pPr>
      <w:r>
        <w:rPr>
          <w:rFonts w:ascii="Arial" w:cs="Arial" w:eastAsia="Arial" w:hAnsi="Arial"/>
          <w:sz w:val="15"/>
          <w:szCs w:val="15"/>
          <w:color w:val="auto"/>
        </w:rPr>
        <w:t>PEG channels would be protected from migration to digital in the acquired systems that are not yet all-digital (unless otherwise agreed by the LFA), and would be protected from material degradation.</w:t>
      </w:r>
    </w:p>
    <w:p>
      <w:pPr>
        <w:spacing w:after="0" w:line="230" w:lineRule="exact"/>
        <w:rPr>
          <w:rFonts w:ascii="Arial" w:cs="Arial" w:eastAsia="Arial" w:hAnsi="Arial"/>
          <w:sz w:val="36"/>
          <w:szCs w:val="36"/>
          <w:color w:val="auto"/>
          <w:vertAlign w:val="subscript"/>
        </w:rPr>
      </w:pPr>
    </w:p>
    <w:p>
      <w:pPr>
        <w:ind w:left="660" w:right="20" w:hanging="328"/>
        <w:spacing w:after="0" w:line="187" w:lineRule="auto"/>
        <w:tabs>
          <w:tab w:leader="none" w:pos="660" w:val="left"/>
        </w:tabs>
        <w:numPr>
          <w:ilvl w:val="0"/>
          <w:numId w:val="2"/>
        </w:numPr>
        <w:rPr>
          <w:rFonts w:ascii="Arial" w:cs="Arial" w:eastAsia="Arial" w:hAnsi="Arial"/>
          <w:sz w:val="47"/>
          <w:szCs w:val="47"/>
          <w:color w:val="auto"/>
          <w:vertAlign w:val="subscript"/>
        </w:rPr>
      </w:pPr>
      <w:r>
        <w:rPr>
          <w:rFonts w:ascii="Arial" w:cs="Arial" w:eastAsia="Arial" w:hAnsi="Arial"/>
          <w:sz w:val="17"/>
          <w:szCs w:val="17"/>
          <w:color w:val="auto"/>
        </w:rPr>
        <w:t>The FCC's Open Internet protections will be extended to millions of additional broadband customers, irrespective of whether the FCC re-establishes such protections for other industry participants. Thus, unlike all other broadband subscribers in the country, the new company's broadband customers will enjoy the enforceable protections of the no blocking and non-discrimination rules that were put in place by the FCC, notwithstanding the action by the DC Circuit Court of Appeals vacating those rules.</w:t>
      </w:r>
    </w:p>
    <w:p>
      <w:pPr>
        <w:sectPr>
          <w:pgSz w:w="11900" w:h="16838" w:orient="portrait"/>
          <w:cols w:equalWidth="0" w:num="1">
            <w:col w:w="11400"/>
          </w:cols>
          <w:pgMar w:left="240" w:top="274" w:right="259" w:bottom="1440" w:gutter="0" w:footer="0" w:header="0"/>
        </w:sect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Affordable standalone broadband service will be made available and marketed in the acquired systems.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The acquired systems’ broadband service will be upgraded to meet minimum speeds in all DOCSIS 3.0 markets.</w:t>
      </w:r>
    </w:p>
    <w:p>
      <w:pPr>
        <w:spacing w:after="0" w:line="266" w:lineRule="exact"/>
        <w:rPr>
          <w:sz w:val="20"/>
          <w:szCs w:val="20"/>
          <w:color w:val="auto"/>
        </w:rPr>
      </w:pPr>
    </w:p>
    <w:p>
      <w:pPr>
        <w:sectPr>
          <w:pgSz w:w="11900" w:h="16838" w:orient="portrait"/>
          <w:cols w:equalWidth="0" w:num="2">
            <w:col w:w="420" w:space="240"/>
            <w:col w:w="10740"/>
          </w:cols>
          <w:pgMar w:left="240" w:top="274" w:right="259" w:bottom="1440" w:gutter="0" w:footer="0" w:header="0"/>
          <w:type w:val="continuous"/>
        </w:sectPr>
      </w:pPr>
    </w:p>
    <w:p>
      <w:pPr>
        <w:spacing w:after="0" w:line="90" w:lineRule="exact"/>
        <w:rPr>
          <w:sz w:val="20"/>
          <w:szCs w:val="20"/>
          <w:color w:val="auto"/>
        </w:rPr>
      </w:pPr>
    </w:p>
    <w:p>
      <w:pPr>
        <w:ind w:left="660" w:right="220" w:hanging="328"/>
        <w:spacing w:after="0" w:line="187" w:lineRule="auto"/>
        <w:tabs>
          <w:tab w:leader="none" w:pos="660" w:val="left"/>
        </w:tabs>
        <w:numPr>
          <w:ilvl w:val="0"/>
          <w:numId w:val="3"/>
        </w:numPr>
        <w:rPr>
          <w:rFonts w:ascii="Arial" w:cs="Arial" w:eastAsia="Arial" w:hAnsi="Arial"/>
          <w:sz w:val="47"/>
          <w:szCs w:val="47"/>
          <w:color w:val="auto"/>
          <w:vertAlign w:val="subscript"/>
        </w:rPr>
      </w:pPr>
      <w:r>
        <w:rPr>
          <w:rFonts w:ascii="Arial" w:cs="Arial" w:eastAsia="Arial" w:hAnsi="Arial"/>
          <w:sz w:val="17"/>
          <w:szCs w:val="17"/>
          <w:color w:val="auto"/>
        </w:rPr>
        <w:t>The acquired programming networks from Time Warner Cable that Comcast will control post-closing – though modest – will be subject to the Comcast/NBCUniversal program access framework. As a result, MVPDs would have the right to include these programming networks in an arbitration demand in appropriate circumstances, and the acquired RSNs would be subject to standalone arbitration as an alternative remedy to the FCC’s program access rules.</w:t>
      </w:r>
    </w:p>
    <w:p>
      <w:pPr>
        <w:spacing w:after="0" w:line="229" w:lineRule="exact"/>
        <w:rPr>
          <w:rFonts w:ascii="Arial" w:cs="Arial" w:eastAsia="Arial" w:hAnsi="Arial"/>
          <w:sz w:val="47"/>
          <w:szCs w:val="47"/>
          <w:color w:val="auto"/>
          <w:vertAlign w:val="subscript"/>
        </w:rPr>
      </w:pPr>
    </w:p>
    <w:p>
      <w:pPr>
        <w:ind w:left="660" w:hanging="328"/>
        <w:spacing w:after="0" w:line="181" w:lineRule="auto"/>
        <w:tabs>
          <w:tab w:leader="none" w:pos="660" w:val="left"/>
        </w:tabs>
        <w:numPr>
          <w:ilvl w:val="0"/>
          <w:numId w:val="3"/>
        </w:numPr>
        <w:rPr>
          <w:rFonts w:ascii="Arial" w:cs="Arial" w:eastAsia="Arial" w:hAnsi="Arial"/>
          <w:sz w:val="42"/>
          <w:szCs w:val="42"/>
          <w:color w:val="auto"/>
          <w:vertAlign w:val="subscript"/>
        </w:rPr>
      </w:pPr>
      <w:r>
        <w:rPr>
          <w:rFonts w:ascii="Arial" w:cs="Arial" w:eastAsia="Arial" w:hAnsi="Arial"/>
          <w:sz w:val="17"/>
          <w:szCs w:val="17"/>
          <w:color w:val="auto"/>
        </w:rPr>
        <w:t>OVDs could demand (and if necessary, arbitrate over) these newly acquired networks if the OVDs meet the relevant criteria. In addition, the acquired systems would be subject to prohibitions against practices that unduly influence or unfairly limit the provision of the acquired programming to OVDs.</w:t>
      </w:r>
    </w:p>
    <w:p>
      <w:pPr>
        <w:spacing w:after="0" w:line="232" w:lineRule="exact"/>
        <w:rPr>
          <w:rFonts w:ascii="Arial" w:cs="Arial" w:eastAsia="Arial" w:hAnsi="Arial"/>
          <w:sz w:val="42"/>
          <w:szCs w:val="42"/>
          <w:color w:val="auto"/>
          <w:vertAlign w:val="subscript"/>
        </w:rPr>
      </w:pPr>
    </w:p>
    <w:p>
      <w:pPr>
        <w:ind w:left="660" w:right="740" w:hanging="328"/>
        <w:spacing w:after="0" w:line="182" w:lineRule="auto"/>
        <w:tabs>
          <w:tab w:leader="none" w:pos="660" w:val="left"/>
        </w:tabs>
        <w:numPr>
          <w:ilvl w:val="0"/>
          <w:numId w:val="3"/>
        </w:numPr>
        <w:rPr>
          <w:rFonts w:ascii="Arial" w:cs="Arial" w:eastAsia="Arial" w:hAnsi="Arial"/>
          <w:sz w:val="36"/>
          <w:szCs w:val="36"/>
          <w:color w:val="auto"/>
          <w:vertAlign w:val="subscript"/>
        </w:rPr>
      </w:pPr>
      <w:r>
        <w:rPr>
          <w:rFonts w:ascii="Arial" w:cs="Arial" w:eastAsia="Arial" w:hAnsi="Arial"/>
          <w:sz w:val="15"/>
          <w:szCs w:val="15"/>
          <w:color w:val="auto"/>
        </w:rPr>
        <w:t>Finally, the FCC would have significant data at its disposal as to these and other requirements as a result of the company's required Annual Compliance Reporting.</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inherent benefits of this combination, together with these and other automatic protections and guarantees, should be more than sufficient to allay any concerns that this transaction is not in the public interest. Yet Comcast is prepared to do more. Below, we outline a few of the key undertakings we intend to include and expand upon in our public interest filing with the Federal Communications Commission and with the relevant antitrust agency as appropriate. We look forward to the opportunity to make our case to the agencies in detail in the near future.</w:t>
      </w:r>
    </w:p>
    <w:p>
      <w:pPr>
        <w:spacing w:after="0" w:line="214" w:lineRule="exact"/>
        <w:rPr>
          <w:sz w:val="20"/>
          <w:szCs w:val="20"/>
          <w:color w:val="auto"/>
        </w:rPr>
      </w:pPr>
    </w:p>
    <w:p>
      <w:pPr>
        <w:ind w:left="660" w:right="4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is prepared to divest systems totaling approximately 3 million subscribers, such that Comcast’s managed systems will serve residential subscribers at a level below the FCC’s vacated horizontal ownership limit of 30 percent of all national multichannel video programming subscribers. In a far less competitive market than today,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type w:val="continuous"/>
        </w:sectPr>
      </w:pPr>
    </w:p>
    <w:bookmarkStart w:id="2" w:name="page3"/>
    <w:bookmarkEnd w:id="2"/>
    <w:p>
      <w:pPr>
        <w:ind w:left="660" w:right="140"/>
        <w:spacing w:after="0" w:line="259" w:lineRule="auto"/>
        <w:rPr>
          <w:sz w:val="20"/>
          <w:szCs w:val="20"/>
          <w:color w:val="auto"/>
        </w:rPr>
      </w:pPr>
      <w:r>
        <w:rPr>
          <w:rFonts w:ascii="Arial" w:cs="Arial" w:eastAsia="Arial" w:hAnsi="Arial"/>
          <w:sz w:val="18"/>
          <w:szCs w:val="18"/>
          <w:color w:val="auto"/>
        </w:rPr>
        <w:t>of Appeals twice did not accept 30 percent as a reasonable limit on a single cable company’s size. In today’s market, with national telephone and satellite competitors growing substantially, with Google having launched its 1 GB Google Fiber offering in a number of markets across the country, and consumers having more choice of pay TV providers than ever before, Comcast believes that there can be no justification for denying the company the additional scale that will help it compete more effectively.</w:t>
      </w:r>
    </w:p>
    <w:p>
      <w:pPr>
        <w:spacing w:after="0" w:line="21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is prepared to extend certain commitments it made in the NBCUniversal transaction to the acquired systems, including:</w:t>
      </w:r>
    </w:p>
    <w:p>
      <w:pPr>
        <w:spacing w:after="0" w:line="252" w:lineRule="exact"/>
        <w:rPr>
          <w:rFonts w:ascii="Arial" w:cs="Arial" w:eastAsia="Arial" w:hAnsi="Arial"/>
          <w:sz w:val="18"/>
          <w:szCs w:val="18"/>
          <w:color w:val="auto"/>
        </w:rPr>
      </w:pPr>
    </w:p>
    <w:p>
      <w:pPr>
        <w:ind w:left="1300" w:right="240" w:hanging="320"/>
        <w:spacing w:after="0" w:line="182" w:lineRule="auto"/>
        <w:tabs>
          <w:tab w:leader="none" w:pos="1300" w:val="left"/>
        </w:tabs>
        <w:numPr>
          <w:ilvl w:val="1"/>
          <w:numId w:val="5"/>
        </w:numPr>
        <w:rPr>
          <w:rFonts w:ascii="Arial" w:cs="Arial" w:eastAsia="Arial" w:hAnsi="Arial"/>
          <w:sz w:val="36"/>
          <w:szCs w:val="36"/>
          <w:color w:val="auto"/>
          <w:vertAlign w:val="subscript"/>
        </w:rPr>
      </w:pPr>
      <w:r>
        <w:rPr>
          <w:rFonts w:ascii="Arial" w:cs="Arial" w:eastAsia="Arial" w:hAnsi="Arial"/>
          <w:sz w:val="15"/>
          <w:szCs w:val="15"/>
          <w:color w:val="auto"/>
        </w:rPr>
        <w:t>Extending Comcast's commitment to making available diverse, local news, and children's programming on various platforms in the cable systems we are acquiring from Time Warner Cable; and</w:t>
      </w:r>
    </w:p>
    <w:p>
      <w:pPr>
        <w:spacing w:after="0" w:line="1" w:lineRule="exact"/>
        <w:rPr>
          <w:rFonts w:ascii="Arial" w:cs="Arial" w:eastAsia="Arial" w:hAnsi="Arial"/>
          <w:sz w:val="36"/>
          <w:szCs w:val="36"/>
          <w:color w:val="auto"/>
          <w:vertAlign w:val="subscript"/>
        </w:rPr>
      </w:pPr>
    </w:p>
    <w:p>
      <w:pPr>
        <w:ind w:left="1300" w:right="220" w:hanging="320"/>
        <w:spacing w:after="0" w:line="180" w:lineRule="auto"/>
        <w:tabs>
          <w:tab w:leader="none" w:pos="1300" w:val="left"/>
        </w:tabs>
        <w:numPr>
          <w:ilvl w:val="1"/>
          <w:numId w:val="5"/>
        </w:numPr>
        <w:rPr>
          <w:rFonts w:ascii="Arial" w:cs="Arial" w:eastAsia="Arial" w:hAnsi="Arial"/>
          <w:sz w:val="35"/>
          <w:szCs w:val="35"/>
          <w:color w:val="auto"/>
          <w:vertAlign w:val="subscript"/>
        </w:rPr>
      </w:pPr>
      <w:r>
        <w:rPr>
          <w:rFonts w:ascii="Arial" w:cs="Arial" w:eastAsia="Arial" w:hAnsi="Arial"/>
          <w:sz w:val="15"/>
          <w:szCs w:val="15"/>
          <w:color w:val="auto"/>
        </w:rPr>
        <w:t>Extending to the acquired systems Comcast’s guaranteed carriage of non-commercial educational stations that have must-carry rights and have relinquished their broadcast spectrum.</w:t>
      </w:r>
    </w:p>
    <w:p>
      <w:pPr>
        <w:spacing w:after="0" w:line="229" w:lineRule="exact"/>
        <w:rPr>
          <w:rFonts w:ascii="Arial" w:cs="Arial" w:eastAsia="Arial" w:hAnsi="Arial"/>
          <w:sz w:val="35"/>
          <w:szCs w:val="35"/>
          <w:color w:val="auto"/>
          <w:vertAlign w:val="subscript"/>
        </w:rPr>
      </w:pPr>
    </w:p>
    <w:p>
      <w:pPr>
        <w:ind w:left="660" w:right="1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is also prepared to build upon its very successful program for broadband adoption, by extending our industry-leading broadband adoption and digital literacy programs to low-income subscribers in the acquired systems.</w:t>
      </w:r>
    </w:p>
    <w:p>
      <w:pPr>
        <w:spacing w:after="0" w:line="197" w:lineRule="exact"/>
        <w:rPr>
          <w:rFonts w:ascii="Arial" w:cs="Arial" w:eastAsia="Arial" w:hAnsi="Arial"/>
          <w:sz w:val="18"/>
          <w:szCs w:val="18"/>
          <w:color w:val="auto"/>
        </w:rPr>
      </w:pPr>
    </w:p>
    <w:p>
      <w:pPr>
        <w:ind w:left="660" w:right="9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Comcast is prepared to extend its best-in-class diversity program to the acquired Time Warner Cable systems, covering diversity in employment, supplier diversity, programming diversity, and community investment diversity.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are glad to have the opportunity to share our news with you, and we invite your questions or comments.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http://ir.timewarnercable.com or by contacting Time Warner Cable’s Investor Relations Department at 877-446-3689.</w:t>
      </w:r>
    </w:p>
    <w:p>
      <w:pPr>
        <w:spacing w:after="0" w:line="2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 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2019-12-16T11:34:43Z</dcterms:created>
  <dcterms:modified xsi:type="dcterms:W3CDTF">2019-12-16T11:34:43Z</dcterms:modified>
</cp:coreProperties>
</file>