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92809d8k.htm"/>
      <w:bookmarkStart w:id="1" w:name="ksd89280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 of</w:t>
      </w:r>
    </w:p>
    <w:p>
      <w:pPr>
        <w:pStyle w:val="TextBody"/>
        <w:bidi w:val="0"/>
        <w:spacing w:before="0" w:after="0"/>
        <w:jc w:val="center"/>
        <w:rPr>
          <w:rFonts w:ascii="Times New Roman" w:hAnsi="Times New Roman"/>
          <w:b/>
          <w:sz w:val="24"/>
        </w:rPr>
      </w:pPr>
      <w:r>
        <w:rPr>
          <w:rFonts w:ascii="Times New Roman" w:hAnsi="Times New Roman"/>
          <w:b/>
          <w:sz w:val="24"/>
        </w:rPr>
        <w:t>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8,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Comcast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Pennsylvania</w:t>
      </w:r>
    </w:p>
    <w:p>
      <w:pPr>
        <w:pStyle w:val="TextBody"/>
        <w:bidi w:val="0"/>
        <w:spacing w:before="0" w:after="0"/>
        <w:jc w:val="center"/>
        <w:rPr>
          <w:rFonts w:ascii="Times New Roman" w:hAnsi="Times New Roman"/>
          <w:b/>
          <w:sz w:val="16"/>
        </w:rPr>
      </w:pPr>
      <w:r>
        <w:rPr>
          <w:rFonts w:ascii="Times New Roman" w:hAnsi="Times New Roman"/>
          <w:b/>
          <w:sz w:val="16"/>
        </w:rPr>
        <w:t>(State or other jurisdiction of incorporation)</w:t>
      </w:r>
    </w:p>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2780"/>
        <w:gridCol w:w="60"/>
        <w:gridCol w:w="3485"/>
      </w:tblGrid>
      <w:tr>
        <w:trPr/>
        <w:tc>
          <w:tcPr>
            <w:tcW w:w="2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2780" w:type="dxa"/>
            <w:tcBorders/>
            <w:vAlign w:val="center"/>
          </w:tcPr>
          <w:p>
            <w:pPr>
              <w:pStyle w:val="TableContents"/>
              <w:bidi w:val="0"/>
              <w:spacing w:before="0" w:after="283"/>
              <w:jc w:val="center"/>
              <w:rPr>
                <w:b/>
              </w:rPr>
            </w:pPr>
            <w:r>
              <w:rPr>
                <w:b/>
              </w:rPr>
              <w:t>001-32871</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center"/>
              <w:rPr>
                <w:b/>
              </w:rPr>
            </w:pPr>
            <w:r>
              <w:rPr>
                <w:b/>
              </w:rPr>
              <w:t>27-0000798</w:t>
            </w:r>
          </w:p>
        </w:tc>
      </w:tr>
      <w:tr>
        <w:trPr/>
        <w:tc>
          <w:tcPr>
            <w:tcW w:w="2780" w:type="dxa"/>
            <w:tcBorders/>
            <w:vAlign w:val="center"/>
          </w:tcPr>
          <w:p>
            <w:pPr>
              <w:pStyle w:val="TableContents"/>
              <w:bidi w:val="0"/>
              <w:spacing w:before="0" w:after="283"/>
              <w:jc w:val="center"/>
              <w:rPr>
                <w:b/>
              </w:rPr>
            </w:pPr>
            <w:r>
              <w:rPr>
                <w:b/>
              </w:rPr>
              <w:t>(Commission File Number)</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center"/>
              <w:rPr>
                <w:b/>
              </w:rPr>
            </w:pPr>
            <w:r>
              <w:rPr>
                <w:b/>
              </w:rPr>
              <w:t>(IRS Employer Identification No.)</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4070"/>
        <w:gridCol w:w="60"/>
        <w:gridCol w:w="119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One Comcast Center</w:t>
            </w:r>
          </w:p>
          <w:p>
            <w:pPr>
              <w:pStyle w:val="TableContents"/>
              <w:bidi w:val="0"/>
              <w:spacing w:before="0" w:after="20"/>
              <w:jc w:val="center"/>
              <w:rPr>
                <w:rFonts w:ascii="Times New Roman" w:hAnsi="Times New Roman"/>
                <w:b/>
                <w:sz w:val="20"/>
              </w:rPr>
            </w:pPr>
            <w:r>
              <w:rPr>
                <w:rFonts w:ascii="Times New Roman" w:hAnsi="Times New Roman"/>
                <w:b/>
                <w:sz w:val="20"/>
              </w:rPr>
              <w:t>Philadelphia, PA</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19103-2838</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(215) 286-1700</w:t>
      </w:r>
    </w:p>
    <w:p>
      <w:pPr>
        <w:pStyle w:val="TextBody"/>
        <w:bidi w:val="0"/>
        <w:spacing w:before="0" w:after="0"/>
        <w:jc w:val="left"/>
        <w:rPr/>
      </w:pPr>
      <w:r>
        <w:rPr/>
        <w:t> </w:t>
      </w:r>
    </w:p>
    <w:p>
      <w:pPr>
        <w:pStyle w:val="TextBody"/>
        <w:bidi w:val="0"/>
        <w:spacing w:before="24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230"/>
        <w:gridCol w:w="75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14a-12(b)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jc w:val="left"/>
        <w:rPr>
          <w:rFonts w:ascii="Times New Roman" w:hAnsi="Times New Roman"/>
          <w:color w:val="FFFFFF"/>
          <w:sz w:val="2"/>
        </w:rPr>
      </w:pPr>
      <w:r>
        <w:rPr>
          <w:rFonts w:ascii="Times New Roman" w:hAnsi="Times New Roman"/>
          <w:color w:val="FFFFFF"/>
          <w:sz w:val="2"/>
        </w:rPr>
        <w:t xml:space="preserve">Securities registered pursuant to Section 12(b) of the Act: </w:t>
      </w:r>
    </w:p>
    <w:p>
      <w:pPr>
        <w:pStyle w:val="TextBody"/>
        <w:bidi w:val="0"/>
        <w:spacing w:before="0" w:after="0"/>
        <w:jc w:val="left"/>
        <w:rPr/>
      </w:pPr>
      <w:r>
        <w:rPr/>
        <w:t> </w:t>
      </w:r>
    </w:p>
    <w:tbl>
      <w:tblPr>
        <w:tblW w:w="9615" w:type="dxa"/>
        <w:jc w:val="left"/>
        <w:tblInd w:w="0" w:type="dxa"/>
        <w:tblLayout w:type="fixed"/>
        <w:tblCellMar>
          <w:top w:w="0" w:type="dxa"/>
          <w:left w:w="0" w:type="dxa"/>
          <w:bottom w:w="0" w:type="dxa"/>
          <w:right w:w="0" w:type="dxa"/>
        </w:tblCellMar>
      </w:tblPr>
      <w:tblGrid>
        <w:gridCol w:w="5330"/>
        <w:gridCol w:w="60"/>
        <w:gridCol w:w="1115"/>
        <w:gridCol w:w="60"/>
        <w:gridCol w:w="3050"/>
      </w:tblGrid>
      <w:tr>
        <w:trPr/>
        <w:tc>
          <w:tcPr>
            <w:tcW w:w="5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3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330" w:type="dxa"/>
            <w:tcBorders/>
            <w:vAlign w:val="center"/>
          </w:tcPr>
          <w:p>
            <w:pPr>
              <w:pStyle w:val="TableContents"/>
              <w:bidi w:val="0"/>
              <w:spacing w:before="0" w:after="283"/>
              <w:jc w:val="center"/>
              <w:rPr/>
            </w:pPr>
            <w:r>
              <w:rPr/>
              <w:t>Class A Common Stock, $0.01 par value</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0.000% Notes due 2026</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CMCS26</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0.250% Notes due 2027</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CMCS27</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1.500% Notes due 2029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CMCS29</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0.250% Notes due 2029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CMCS29A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0.750% Notes due 2032</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CMCS32</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1.875% Notes due 2036</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CMCS36</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1.250% Notes due 2040</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CMCS40</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330" w:type="dxa"/>
            <w:tcBorders/>
            <w:vAlign w:val="center"/>
          </w:tcPr>
          <w:p>
            <w:pPr>
              <w:pStyle w:val="TableContents"/>
              <w:bidi w:val="0"/>
              <w:spacing w:before="0" w:after="283"/>
              <w:jc w:val="center"/>
              <w:rPr/>
            </w:pPr>
            <w:r>
              <w:rPr/>
              <w:t>5.50% Notes due 2029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CCGBP29</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New York Stock Exchange</w:t>
            </w:r>
          </w:p>
        </w:tc>
      </w:tr>
      <w:tr>
        <w:trPr/>
        <w:tc>
          <w:tcPr>
            <w:tcW w:w="5330" w:type="dxa"/>
            <w:tcBorders/>
            <w:vAlign w:val="center"/>
          </w:tcPr>
          <w:p>
            <w:pPr>
              <w:pStyle w:val="TableContents"/>
              <w:bidi w:val="0"/>
              <w:spacing w:before="0" w:after="283"/>
              <w:jc w:val="center"/>
              <w:rPr/>
            </w:pPr>
            <w:r>
              <w:rPr/>
              <w:t>2.0% Exchangeable Subordinated Debentures due 2029</w:t>
            </w:r>
          </w:p>
        </w:tc>
        <w:tc>
          <w:tcPr>
            <w:tcW w:w="6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CCZ</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283"/>
              <w:jc w:val="left"/>
              <w:rPr>
                <w:b/>
              </w:rPr>
            </w:pPr>
            <w:r>
              <w:rPr>
                <w:b/>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8, 2025, Comcast Corporation (“Comcast”) consummated the issuance and sale of $650,000,000 aggregate principal amount of its 4.950% Notes due 2032 (the “2032 Notes”), $850,000,000 aggregate principal amount of its 5.300% Notes due 2035 (the “2035 Notes”) and $1,000,000,000 aggregate principal amount of its 6.050% Notes due 2055 (the “2055 Notes” and, together with the 2032 Notes and the 2035 Notes, the “Notes”), pursuant to an underwriting agreement dated May 5, 2025 among Comcast, the Guarantors (as defined below) and BofA Securities, Inc., Mizuho Securities USA LLC and Wells Fargo Securities, LLC, as representatives of the several underwriters named therein. The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as further supplemented by the Second Supplemental Indenture dated as of July 29, 2022 (the “Second Supplemental Indenture”) among Comcast, the guarantors named therein and the Trustee, and an officers’ certificate issued pursuant thereto. The Notes are guaranteed on an unsecured and unsubordinated basis by Comcast Cable Communications, LLC and NBCUniversal Media, LLC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The Notes were offered pursuant to Comcast’s Registration Statement on Form S-3 filed on February 28, 2025 (the “Registration Statement”), as amended at the date of the underwriting agreement (Reg. No. 333-285428), including the prospectus contained therein, and a related prospectus supplement, dated May 5, 2025. </w:t>
      </w:r>
    </w:p>
    <w:p>
      <w:pPr>
        <w:pStyle w:val="TextBody"/>
        <w:bidi w:val="0"/>
        <w:spacing w:before="240" w:after="0"/>
        <w:jc w:val="left"/>
        <w:rPr>
          <w:rFonts w:ascii="Times New Roman" w:hAnsi="Times New Roman"/>
          <w:sz w:val="20"/>
        </w:rPr>
      </w:pPr>
      <w:r>
        <w:rPr>
          <w:rFonts w:ascii="Times New Roman" w:hAnsi="Times New Roman"/>
          <w:sz w:val="20"/>
        </w:rPr>
        <w:t xml:space="preserve">The material terms and conditions of the Notes are set forth (i) in the Form of Officers’ Certificate filed herewith as Exhibit 4.1, (ii) in the Base Indenture, filed as Exhibit 4.3 to Comcast’s Registration Statement on Form S-3, as amended, filed on September 18, 2013 (Reg. No 333-191239), (iii) in the First Supplemental Indenture, filed as Exhibit 4.4 to Comcast’s Post Effective Amendment No. 2 to Registration Statement on Form S-3, filed on November 23, 2015 (Reg. No 333-191239) and (iv) in the Second Supplemental Indenture, which was filed as Exhibit 4.4 to Comcast’s Registration Statement on Form S-3, filed on July 29, 2022 (Reg. No. 333-266390), each of which are incorporated by reference herein. </w:t>
      </w:r>
    </w:p>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1250"/>
        <w:gridCol w:w="785"/>
      </w:tblGrid>
      <w:tr>
        <w:trPr/>
        <w:tc>
          <w:tcPr>
            <w:tcW w:w="1250" w:type="dxa"/>
            <w:tcBorders/>
            <w:vAlign w:val="center"/>
          </w:tcPr>
          <w:p>
            <w:pPr>
              <w:pStyle w:val="TableContents"/>
              <w:bidi w:val="0"/>
              <w:spacing w:before="0" w:after="283"/>
              <w:jc w:val="left"/>
              <w:rPr>
                <w:b/>
              </w:rPr>
            </w:pPr>
            <w:r>
              <w:rPr>
                <w:b/>
              </w:rPr>
              <w:t>Item 9.01(d)</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620"/>
        <w:gridCol w:w="120"/>
        <w:gridCol w:w="762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92809dex41.htm">
              <w:r>
                <w:rPr>
                  <w:rStyle w:val="InternetLink"/>
                </w:rPr>
                <w:t xml:space="preserve">Form of Officers’ Certificate setting forth the terms of the Notes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92809dex51.htm">
              <w:r>
                <w:rPr>
                  <w:rStyle w:val="InternetLink"/>
                </w:rPr>
                <w:t xml:space="preserve">Opinion of Elizabeth Wideman, Esq.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 </w:t>
            </w:r>
            <w:r>
              <w:rPr/>
              <w:t>5.2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92809dex52.htm">
              <w:r>
                <w:rPr>
                  <w:rStyle w:val="InternetLink"/>
                </w:rPr>
                <w:t xml:space="preserve">Opinion of Davis Polk &amp; Wardwell LLP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92809dex51.htm">
              <w:r>
                <w:rPr>
                  <w:rStyle w:val="InternetLink"/>
                </w:rPr>
                <w:t xml:space="preserve">Consent of Elizabeth Wideman, Esq. (contained in Exhibit 5.1)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892809dex52.htm">
              <w:r>
                <w:rPr>
                  <w:rStyle w:val="InternetLink"/>
                </w:rPr>
                <w:t xml:space="preserve">Consent of Davis Polk &amp; Wardwell LLP (contained in Exhibit 5.2)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563" w:type="dxa"/>
        <w:jc w:val="left"/>
        <w:tblInd w:w="0" w:type="dxa"/>
        <w:tblLayout w:type="fixed"/>
        <w:tblCellMar>
          <w:top w:w="0" w:type="dxa"/>
          <w:left w:w="0" w:type="dxa"/>
          <w:bottom w:w="0" w:type="dxa"/>
          <w:right w:w="0" w:type="dxa"/>
        </w:tblCellMar>
      </w:tblPr>
      <w:tblGrid>
        <w:gridCol w:w="1820"/>
        <w:gridCol w:w="60"/>
        <w:gridCol w:w="23"/>
        <w:gridCol w:w="60"/>
        <w:gridCol w:w="650"/>
        <w:gridCol w:w="60"/>
        <w:gridCol w:w="3890"/>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0"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00" w:type="dxa"/>
            <w:gridSpan w:val="3"/>
            <w:tcBorders/>
            <w:vAlign w:val="center"/>
          </w:tcPr>
          <w:p>
            <w:pPr>
              <w:pStyle w:val="TableContents"/>
              <w:bidi w:val="0"/>
              <w:spacing w:before="0" w:after="283"/>
              <w:jc w:val="left"/>
              <w:rPr>
                <w:b/>
              </w:rPr>
            </w:pPr>
            <w:r>
              <w:rPr>
                <w:b/>
              </w:rPr>
              <w:t>COMCAST CORPORATION</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950"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May 8,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Elizabeth Wideman</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Elizabeth Wideman</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Senior Vice President, Senior Deputy</w:t>
              <w:br/>
              <w:t>General Counsel and Assistant Secretary</w:t>
            </w:r>
          </w:p>
        </w:tc>
      </w:tr>
    </w:tbl>
    <w:p>
      <w:pPr>
        <w:pStyle w:val="TextBody"/>
        <w:bidi w:val="0"/>
        <w:spacing w:before="0" w:after="0"/>
        <w:jc w:val="right"/>
        <w:rPr>
          <w:rFonts w:ascii="Times New Roman" w:hAnsi="Times New Roman"/>
          <w:b/>
          <w:sz w:val="20"/>
        </w:rPr>
      </w:pPr>
      <w:bookmarkStart w:id="2" w:name="d892809dex41.htm"/>
      <w:bookmarkStart w:id="3" w:name="ksd892809dex41"/>
      <w:bookmarkEnd w:id="2"/>
      <w:bookmarkEnd w:id="3"/>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COMCAST CORPORATION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Officers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May 8, 2025 </w:t>
      </w:r>
    </w:p>
    <w:p>
      <w:pPr>
        <w:pStyle w:val="TextBody"/>
        <w:bidi w:val="0"/>
        <w:spacing w:before="240" w:after="0"/>
        <w:jc w:val="left"/>
        <w:rPr>
          <w:rFonts w:ascii="Times New Roman" w:hAnsi="Times New Roman"/>
          <w:sz w:val="20"/>
        </w:rPr>
      </w:pPr>
      <w:r>
        <w:rPr>
          <w:rFonts w:ascii="Times New Roman" w:hAnsi="Times New Roman"/>
          <w:sz w:val="20"/>
        </w:rPr>
        <w:t>Pursuant to Section 2.03 of the Indenture dated as of September 18, 2013, by and among Comcast Corporation (the </w:t>
      </w:r>
      <w:r>
        <w:rPr>
          <w:rFonts w:ascii="Times New Roman" w:hAnsi="Times New Roman"/>
          <w:b/>
          <w:sz w:val="20"/>
        </w:rPr>
        <w:t>Company</w:t>
      </w:r>
      <w:r>
        <w:rPr>
          <w:rFonts w:ascii="Times New Roman" w:hAnsi="Times New Roman"/>
          <w:sz w:val="20"/>
        </w:rPr>
        <w:t>), the guarantors named therein and The Bank of New York Mellon, as trustee (the </w:t>
      </w:r>
      <w:r>
        <w:rPr>
          <w:rFonts w:ascii="Times New Roman" w:hAnsi="Times New Roman"/>
          <w:b/>
          <w:sz w:val="20"/>
        </w:rPr>
        <w:t>Trustee</w:t>
      </w:r>
      <w:r>
        <w:rPr>
          <w:rFonts w:ascii="Times New Roman" w:hAnsi="Times New Roman"/>
          <w:sz w:val="20"/>
        </w:rPr>
        <w:t>), as supplemented by the First Supplemental Indenture dated as of November 17, 2015 by and among the Company, the guarantors named therein and the Trustee and as further supplemented by the second Supplemental Indenture dated as of July 29, 2022 (as amended, the </w:t>
      </w:r>
      <w:r>
        <w:rPr>
          <w:rFonts w:ascii="Times New Roman" w:hAnsi="Times New Roman"/>
          <w:b/>
          <w:sz w:val="20"/>
        </w:rPr>
        <w:t>Indenture</w:t>
      </w:r>
      <w:r>
        <w:rPr>
          <w:rFonts w:ascii="Times New Roman" w:hAnsi="Times New Roman"/>
          <w:sz w:val="20"/>
        </w:rPr>
        <w:t>), by and among the Company, the guarantors named therein and the Trustee, and guaranteed on an unsecured and unsubordinated basis by Comcast Cable Communications, LLC and NBCUniversal Media, LLC, the undersigned officers of the Company do hereby certify, in connection with the issuance of the Companys $650,000,000 aggregate principal amount of 4.950% Notes due 2032 (the </w:t>
      </w:r>
      <w:r>
        <w:rPr>
          <w:rFonts w:ascii="Times New Roman" w:hAnsi="Times New Roman"/>
          <w:b/>
          <w:sz w:val="20"/>
        </w:rPr>
        <w:t>2032 Notes</w:t>
      </w:r>
      <w:r>
        <w:rPr>
          <w:rFonts w:ascii="Times New Roman" w:hAnsi="Times New Roman"/>
          <w:sz w:val="20"/>
        </w:rPr>
        <w:t>), $850,000,000 aggregate principal amount of 5.300% Notes due 2035 (the </w:t>
      </w:r>
      <w:r>
        <w:rPr>
          <w:rFonts w:ascii="Times New Roman" w:hAnsi="Times New Roman"/>
          <w:b/>
          <w:sz w:val="20"/>
        </w:rPr>
        <w:t>2035 Notes</w:t>
      </w:r>
      <w:r>
        <w:rPr>
          <w:rFonts w:ascii="Times New Roman" w:hAnsi="Times New Roman"/>
          <w:sz w:val="20"/>
        </w:rPr>
        <w:t>) and $1,000,000,000 aggregate principal amount of 6.050% Notes due 2055 (the </w:t>
      </w:r>
      <w:r>
        <w:rPr>
          <w:rFonts w:ascii="Times New Roman" w:hAnsi="Times New Roman"/>
          <w:b/>
          <w:sz w:val="20"/>
        </w:rPr>
        <w:t>2055 Notes</w:t>
      </w:r>
      <w:r>
        <w:rPr>
          <w:rFonts w:ascii="Times New Roman" w:hAnsi="Times New Roman"/>
          <w:sz w:val="20"/>
        </w:rPr>
        <w:t> and, together with the 2032 Notes and the 2035 Notes, the </w:t>
      </w:r>
      <w:r>
        <w:rPr>
          <w:rFonts w:ascii="Times New Roman" w:hAnsi="Times New Roman"/>
          <w:b/>
          <w:sz w:val="20"/>
        </w:rPr>
        <w:t>Notes</w:t>
      </w:r>
      <w:r>
        <w:rPr>
          <w:rFonts w:ascii="Times New Roman" w:hAnsi="Times New Roman"/>
          <w:sz w:val="20"/>
        </w:rPr>
        <w:t xml:space="preserve">) that the terms of the Notes are as follows: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4.950% Notes due 2032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6"/>
        <w:gridCol w:w="123"/>
        <w:gridCol w:w="8376"/>
      </w:tblGrid>
      <w:tr>
        <w:trPr/>
        <w:tc>
          <w:tcPr>
            <w:tcW w:w="170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376" w:type="dxa"/>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i/>
              </w:rPr>
            </w:pPr>
            <w:r>
              <w:rPr>
                <w:i/>
              </w:rPr>
              <w:t>Title:</w:t>
            </w:r>
          </w:p>
        </w:tc>
        <w:tc>
          <w:tcPr>
            <w:tcW w:w="123" w:type="dxa"/>
            <w:tcBorders/>
            <w:vAlign w:val="bottom"/>
          </w:tcPr>
          <w:p>
            <w:pPr>
              <w:pStyle w:val="TableContents"/>
              <w:bidi w:val="0"/>
              <w:spacing w:before="0" w:after="283"/>
              <w:jc w:val="left"/>
              <w:rPr/>
            </w:pPr>
            <w:r>
              <w:rPr/>
              <w:t>  </w:t>
            </w:r>
          </w:p>
        </w:tc>
        <w:tc>
          <w:tcPr>
            <w:tcW w:w="8376" w:type="dxa"/>
            <w:tcBorders/>
          </w:tcPr>
          <w:p>
            <w:pPr>
              <w:pStyle w:val="TableContents"/>
              <w:bidi w:val="0"/>
              <w:spacing w:before="0" w:after="283"/>
              <w:jc w:val="left"/>
              <w:rPr/>
            </w:pPr>
            <w:r>
              <w:rPr/>
              <w:t>4.950% Notes due 2032</w:t>
            </w:r>
          </w:p>
        </w:tc>
      </w:tr>
      <w:tr>
        <w:trPr>
          <w:trHeight w:val="120" w:hRule="atLeast"/>
        </w:trPr>
        <w:tc>
          <w:tcPr>
            <w:tcW w:w="1706" w:type="dxa"/>
            <w:tcBorders/>
            <w:vAlign w:val="center"/>
          </w:tcPr>
          <w:p>
            <w:pPr>
              <w:pStyle w:val="TableContents"/>
              <w:bidi w:val="0"/>
              <w:spacing w:before="0" w:after="283"/>
              <w:jc w:val="left"/>
              <w:rPr>
                <w:sz w:val="4"/>
                <w:szCs w:val="4"/>
              </w:rPr>
            </w:pPr>
            <w:r>
              <w:rPr>
                <w:sz w:val="4"/>
                <w:szCs w:val="4"/>
              </w:rPr>
            </w:r>
          </w:p>
        </w:tc>
        <w:tc>
          <w:tcPr>
            <w:tcW w:w="8499" w:type="dxa"/>
            <w:gridSpan w:val="2"/>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i/>
              </w:rPr>
            </w:pPr>
            <w:r>
              <w:rPr>
                <w:i/>
              </w:rPr>
              <w:t>Aggregate Principal Amount at Maturity:</w:t>
            </w:r>
          </w:p>
        </w:tc>
        <w:tc>
          <w:tcPr>
            <w:tcW w:w="123" w:type="dxa"/>
            <w:tcBorders/>
            <w:vAlign w:val="bottom"/>
          </w:tcPr>
          <w:p>
            <w:pPr>
              <w:pStyle w:val="TableContents"/>
              <w:bidi w:val="0"/>
              <w:spacing w:before="0" w:after="283"/>
              <w:jc w:val="left"/>
              <w:rPr/>
            </w:pPr>
            <w:r>
              <w:rPr/>
              <w:t>  </w:t>
            </w:r>
          </w:p>
        </w:tc>
        <w:tc>
          <w:tcPr>
            <w:tcW w:w="8376" w:type="dxa"/>
            <w:tcBorders/>
            <w:vAlign w:val="bottom"/>
          </w:tcPr>
          <w:p>
            <w:pPr>
              <w:pStyle w:val="TableContents"/>
              <w:bidi w:val="0"/>
              <w:spacing w:before="0" w:after="283"/>
              <w:jc w:val="left"/>
              <w:rPr/>
            </w:pPr>
            <w:r>
              <w:rPr/>
              <w:t>$650,000,000</w:t>
            </w:r>
          </w:p>
        </w:tc>
      </w:tr>
      <w:tr>
        <w:trPr>
          <w:trHeight w:val="120" w:hRule="atLeast"/>
        </w:trPr>
        <w:tc>
          <w:tcPr>
            <w:tcW w:w="1706" w:type="dxa"/>
            <w:tcBorders/>
            <w:vAlign w:val="center"/>
          </w:tcPr>
          <w:p>
            <w:pPr>
              <w:pStyle w:val="TableContents"/>
              <w:bidi w:val="0"/>
              <w:spacing w:before="0" w:after="283"/>
              <w:jc w:val="left"/>
              <w:rPr>
                <w:sz w:val="4"/>
                <w:szCs w:val="4"/>
              </w:rPr>
            </w:pPr>
            <w:r>
              <w:rPr>
                <w:sz w:val="4"/>
                <w:szCs w:val="4"/>
              </w:rPr>
            </w:r>
          </w:p>
        </w:tc>
        <w:tc>
          <w:tcPr>
            <w:tcW w:w="8499" w:type="dxa"/>
            <w:gridSpan w:val="2"/>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i/>
              </w:rPr>
            </w:pPr>
            <w:r>
              <w:rPr>
                <w:i/>
              </w:rPr>
              <w:t>Principal Payment Date:</w:t>
            </w:r>
          </w:p>
        </w:tc>
        <w:tc>
          <w:tcPr>
            <w:tcW w:w="123" w:type="dxa"/>
            <w:tcBorders/>
            <w:vAlign w:val="bottom"/>
          </w:tcPr>
          <w:p>
            <w:pPr>
              <w:pStyle w:val="TableContents"/>
              <w:bidi w:val="0"/>
              <w:spacing w:before="0" w:after="283"/>
              <w:jc w:val="left"/>
              <w:rPr/>
            </w:pPr>
            <w:r>
              <w:rPr/>
              <w:t>  </w:t>
            </w:r>
          </w:p>
        </w:tc>
        <w:tc>
          <w:tcPr>
            <w:tcW w:w="8376" w:type="dxa"/>
            <w:tcBorders/>
            <w:vAlign w:val="bottom"/>
          </w:tcPr>
          <w:p>
            <w:pPr>
              <w:pStyle w:val="TableContents"/>
              <w:bidi w:val="0"/>
              <w:spacing w:before="0" w:after="283"/>
              <w:jc w:val="left"/>
              <w:rPr/>
            </w:pPr>
            <w:r>
              <w:rPr/>
              <w:t>May 15, 2032</w:t>
            </w:r>
          </w:p>
        </w:tc>
      </w:tr>
      <w:tr>
        <w:trPr>
          <w:trHeight w:val="120" w:hRule="atLeast"/>
        </w:trPr>
        <w:tc>
          <w:tcPr>
            <w:tcW w:w="1706" w:type="dxa"/>
            <w:tcBorders/>
            <w:vAlign w:val="center"/>
          </w:tcPr>
          <w:p>
            <w:pPr>
              <w:pStyle w:val="TableContents"/>
              <w:bidi w:val="0"/>
              <w:spacing w:before="0" w:after="283"/>
              <w:jc w:val="left"/>
              <w:rPr>
                <w:sz w:val="4"/>
                <w:szCs w:val="4"/>
              </w:rPr>
            </w:pPr>
            <w:r>
              <w:rPr>
                <w:sz w:val="4"/>
                <w:szCs w:val="4"/>
              </w:rPr>
            </w:r>
          </w:p>
        </w:tc>
        <w:tc>
          <w:tcPr>
            <w:tcW w:w="8499" w:type="dxa"/>
            <w:gridSpan w:val="2"/>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i/>
              </w:rPr>
            </w:pPr>
            <w:r>
              <w:rPr>
                <w:i/>
              </w:rPr>
              <w:t>Interest:</w:t>
            </w:r>
          </w:p>
        </w:tc>
        <w:tc>
          <w:tcPr>
            <w:tcW w:w="123" w:type="dxa"/>
            <w:tcBorders/>
            <w:vAlign w:val="bottom"/>
          </w:tcPr>
          <w:p>
            <w:pPr>
              <w:pStyle w:val="TableContents"/>
              <w:bidi w:val="0"/>
              <w:spacing w:before="0" w:after="283"/>
              <w:jc w:val="left"/>
              <w:rPr/>
            </w:pPr>
            <w:r>
              <w:rPr/>
              <w:t>  </w:t>
            </w:r>
          </w:p>
        </w:tc>
        <w:tc>
          <w:tcPr>
            <w:tcW w:w="8376" w:type="dxa"/>
            <w:tcBorders/>
          </w:tcPr>
          <w:p>
            <w:pPr>
              <w:pStyle w:val="TableContents"/>
              <w:bidi w:val="0"/>
              <w:spacing w:before="0" w:after="283"/>
              <w:jc w:val="left"/>
              <w:rPr/>
            </w:pPr>
            <w:r>
              <w:rPr/>
              <w:t>4.950%</w:t>
            </w:r>
          </w:p>
        </w:tc>
      </w:tr>
      <w:tr>
        <w:trPr>
          <w:trHeight w:val="120" w:hRule="atLeast"/>
        </w:trPr>
        <w:tc>
          <w:tcPr>
            <w:tcW w:w="1706" w:type="dxa"/>
            <w:tcBorders/>
            <w:vAlign w:val="center"/>
          </w:tcPr>
          <w:p>
            <w:pPr>
              <w:pStyle w:val="TableContents"/>
              <w:bidi w:val="0"/>
              <w:spacing w:before="0" w:after="283"/>
              <w:jc w:val="left"/>
              <w:rPr>
                <w:sz w:val="4"/>
                <w:szCs w:val="4"/>
              </w:rPr>
            </w:pPr>
            <w:r>
              <w:rPr>
                <w:sz w:val="4"/>
                <w:szCs w:val="4"/>
              </w:rPr>
            </w:r>
          </w:p>
        </w:tc>
        <w:tc>
          <w:tcPr>
            <w:tcW w:w="8499" w:type="dxa"/>
            <w:gridSpan w:val="2"/>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i/>
              </w:rPr>
            </w:pPr>
            <w:r>
              <w:rPr>
                <w:i/>
              </w:rPr>
              <w:t>Redemption:</w:t>
            </w:r>
          </w:p>
        </w:tc>
        <w:tc>
          <w:tcPr>
            <w:tcW w:w="123" w:type="dxa"/>
            <w:tcBorders/>
            <w:vAlign w:val="bottom"/>
          </w:tcPr>
          <w:p>
            <w:pPr>
              <w:pStyle w:val="TableContents"/>
              <w:bidi w:val="0"/>
              <w:spacing w:before="0" w:after="283"/>
              <w:jc w:val="left"/>
              <w:rPr/>
            </w:pPr>
            <w:r>
              <w:rPr/>
              <w:t>  </w:t>
            </w:r>
          </w:p>
        </w:tc>
        <w:tc>
          <w:tcPr>
            <w:tcW w:w="8376" w:type="dxa"/>
            <w:tcBorders/>
          </w:tcPr>
          <w:p>
            <w:pPr>
              <w:pStyle w:val="TableContents"/>
              <w:bidi w:val="0"/>
              <w:spacing w:before="0" w:after="283"/>
              <w:jc w:val="left"/>
              <w:rPr/>
            </w:pPr>
            <w:r>
              <w:rPr/>
              <w:t>Prior to March 15, 2032 (two (2) months prior to the maturity date of the 2032 Notes) (the </w:t>
            </w:r>
            <w:r>
              <w:rPr>
                <w:b/>
              </w:rPr>
              <w:t>2032 Par Call Date</w:t>
            </w:r>
            <w:r>
              <w:rPr/>
              <w:t>), the Company may redeem the 2032 Notes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for this purpose, that the 2032 Notes matured on the 2032 Par Call Date) on a semi-annual basis (assuming a 360-day year consisting of twelve 30-day months) at the Treasury Rate (as defined in the 2032 Notes) plus 15 basis points, less (b) interest accrued to the date of redemption, and (2) 100% of the principal amount of the 2032 Notes to be redeemed, plus, in either case, accrued and unpaid interest thereon to the redemption date.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736"/>
        <w:gridCol w:w="121"/>
        <w:gridCol w:w="8348"/>
      </w:tblGrid>
      <w:tr>
        <w:trPr/>
        <w:tc>
          <w:tcPr>
            <w:tcW w:w="173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283"/>
              <w:jc w:val="left"/>
              <w:rPr/>
            </w:pPr>
            <w:r>
              <w:rPr/>
              <w:t>On or after the 2032 Par Call Date, the Company may redeem the 2032 Notes, in whole or in part, at any time and from time to time, at a redemption price equal to 100% of the principal amount of the 2032 Notes being redeemed, plus accrued and unpaid interest thereon to the redemption date.</w:t>
            </w:r>
          </w:p>
        </w:tc>
      </w:tr>
      <w:tr>
        <w:trPr>
          <w:trHeight w:val="120" w:hRule="atLeast"/>
        </w:trPr>
        <w:tc>
          <w:tcPr>
            <w:tcW w:w="1736" w:type="dxa"/>
            <w:tcBorders/>
            <w:vAlign w:val="center"/>
          </w:tcPr>
          <w:p>
            <w:pPr>
              <w:pStyle w:val="TableContents"/>
              <w:bidi w:val="0"/>
              <w:spacing w:before="0" w:after="283"/>
              <w:jc w:val="left"/>
              <w:rPr>
                <w:sz w:val="4"/>
                <w:szCs w:val="4"/>
              </w:rPr>
            </w:pPr>
            <w:r>
              <w:rPr>
                <w:sz w:val="4"/>
                <w:szCs w:val="4"/>
              </w:rPr>
            </w:r>
          </w:p>
        </w:tc>
        <w:tc>
          <w:tcPr>
            <w:tcW w:w="8469" w:type="dxa"/>
            <w:gridSpan w:val="2"/>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i/>
              </w:rPr>
            </w:pPr>
            <w:r>
              <w:rPr>
                <w:i/>
              </w:rPr>
              <w:t>Additional Issuances:</w:t>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283"/>
              <w:jc w:val="left"/>
              <w:rPr/>
            </w:pPr>
            <w:r>
              <w:rPr/>
              <w:t>The 2032 Notes need not be issued at the same time and the series may be reopened for issuance of an unlimited principal amount of additional 2032 Notes under this series. Additional 2032 Notes of this series may be consolidated with, and form a single series with, 2032 Notes then outstanding, including for purposes of determining whether the required percentage of the holders of record has given approval or consent to an amendment or waiver or joined in directing the Trustee to take certain actions on behalf of all holders; provided that if such additional 2032 Notes are not fungible with the 2032 Notes then outstanding for U.S. federal income tax purposes, such additional 2032 Notes will have one or more separate CUSIP numbers.</w:t>
            </w:r>
          </w:p>
        </w:tc>
      </w:tr>
      <w:tr>
        <w:trPr>
          <w:trHeight w:val="120" w:hRule="atLeast"/>
        </w:trPr>
        <w:tc>
          <w:tcPr>
            <w:tcW w:w="1736" w:type="dxa"/>
            <w:tcBorders/>
            <w:vAlign w:val="center"/>
          </w:tcPr>
          <w:p>
            <w:pPr>
              <w:pStyle w:val="TableContents"/>
              <w:bidi w:val="0"/>
              <w:spacing w:before="0" w:after="283"/>
              <w:jc w:val="left"/>
              <w:rPr>
                <w:sz w:val="4"/>
                <w:szCs w:val="4"/>
              </w:rPr>
            </w:pPr>
            <w:r>
              <w:rPr>
                <w:sz w:val="4"/>
                <w:szCs w:val="4"/>
              </w:rPr>
            </w:r>
          </w:p>
        </w:tc>
        <w:tc>
          <w:tcPr>
            <w:tcW w:w="8469" w:type="dxa"/>
            <w:gridSpan w:val="2"/>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i/>
              </w:rPr>
            </w:pPr>
            <w:r>
              <w:rPr>
                <w:i/>
              </w:rPr>
              <w:t>Conversion:</w:t>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283"/>
              <w:jc w:val="left"/>
              <w:rPr/>
            </w:pPr>
            <w:r>
              <w:rPr/>
              <w:t>None</w:t>
            </w:r>
          </w:p>
        </w:tc>
      </w:tr>
      <w:tr>
        <w:trPr>
          <w:trHeight w:val="120" w:hRule="atLeast"/>
        </w:trPr>
        <w:tc>
          <w:tcPr>
            <w:tcW w:w="1736" w:type="dxa"/>
            <w:tcBorders/>
            <w:vAlign w:val="center"/>
          </w:tcPr>
          <w:p>
            <w:pPr>
              <w:pStyle w:val="TableContents"/>
              <w:bidi w:val="0"/>
              <w:spacing w:before="0" w:after="283"/>
              <w:jc w:val="left"/>
              <w:rPr>
                <w:sz w:val="4"/>
                <w:szCs w:val="4"/>
              </w:rPr>
            </w:pPr>
            <w:r>
              <w:rPr>
                <w:sz w:val="4"/>
                <w:szCs w:val="4"/>
              </w:rPr>
            </w:r>
          </w:p>
        </w:tc>
        <w:tc>
          <w:tcPr>
            <w:tcW w:w="8469" w:type="dxa"/>
            <w:gridSpan w:val="2"/>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i/>
              </w:rPr>
            </w:pPr>
            <w:r>
              <w:rPr>
                <w:i/>
              </w:rPr>
              <w:t>Sinking Fund:</w:t>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283"/>
              <w:jc w:val="left"/>
              <w:rPr/>
            </w:pPr>
            <w:r>
              <w:rPr/>
              <w:t>None</w:t>
            </w:r>
          </w:p>
        </w:tc>
      </w:tr>
      <w:tr>
        <w:trPr>
          <w:trHeight w:val="120" w:hRule="atLeast"/>
        </w:trPr>
        <w:tc>
          <w:tcPr>
            <w:tcW w:w="1736" w:type="dxa"/>
            <w:tcBorders/>
            <w:vAlign w:val="center"/>
          </w:tcPr>
          <w:p>
            <w:pPr>
              <w:pStyle w:val="TableContents"/>
              <w:bidi w:val="0"/>
              <w:spacing w:before="0" w:after="283"/>
              <w:jc w:val="left"/>
              <w:rPr>
                <w:sz w:val="4"/>
                <w:szCs w:val="4"/>
              </w:rPr>
            </w:pPr>
            <w:r>
              <w:rPr>
                <w:sz w:val="4"/>
                <w:szCs w:val="4"/>
              </w:rPr>
            </w:r>
          </w:p>
        </w:tc>
        <w:tc>
          <w:tcPr>
            <w:tcW w:w="8469" w:type="dxa"/>
            <w:gridSpan w:val="2"/>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i/>
              </w:rPr>
            </w:pPr>
            <w:r>
              <w:rPr>
                <w:i/>
              </w:rPr>
              <w:t>Miscellaneous:</w:t>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283"/>
              <w:jc w:val="left"/>
              <w:rPr/>
            </w:pPr>
            <w:r>
              <w:rPr/>
              <w:t xml:space="preserve">The terms of the 2032 Notes shall include such other terms as are set forth in the Form of Note due 2032 attached hereto as </w:t>
            </w:r>
            <w:r>
              <w:rPr>
                <w:b/>
                <w:u w:val="single"/>
              </w:rPr>
              <w:t>Exhibit A</w:t>
            </w:r>
            <w:r>
              <w:rPr/>
              <w:t>.</w:t>
            </w:r>
          </w:p>
        </w:tc>
      </w:tr>
    </w:tbl>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5.300% Notes due 2035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6"/>
        <w:gridCol w:w="123"/>
        <w:gridCol w:w="8376"/>
      </w:tblGrid>
      <w:tr>
        <w:trPr/>
        <w:tc>
          <w:tcPr>
            <w:tcW w:w="170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376" w:type="dxa"/>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i/>
              </w:rPr>
            </w:pPr>
            <w:r>
              <w:rPr>
                <w:i/>
              </w:rPr>
              <w:t>Title:</w:t>
            </w:r>
          </w:p>
        </w:tc>
        <w:tc>
          <w:tcPr>
            <w:tcW w:w="123" w:type="dxa"/>
            <w:tcBorders/>
            <w:vAlign w:val="bottom"/>
          </w:tcPr>
          <w:p>
            <w:pPr>
              <w:pStyle w:val="TableContents"/>
              <w:bidi w:val="0"/>
              <w:spacing w:before="0" w:after="283"/>
              <w:jc w:val="left"/>
              <w:rPr/>
            </w:pPr>
            <w:r>
              <w:rPr/>
              <w:t>  </w:t>
            </w:r>
          </w:p>
        </w:tc>
        <w:tc>
          <w:tcPr>
            <w:tcW w:w="8376" w:type="dxa"/>
            <w:tcBorders/>
          </w:tcPr>
          <w:p>
            <w:pPr>
              <w:pStyle w:val="TableContents"/>
              <w:bidi w:val="0"/>
              <w:spacing w:before="0" w:after="283"/>
              <w:jc w:val="left"/>
              <w:rPr/>
            </w:pPr>
            <w:r>
              <w:rPr/>
              <w:t>5.300% Notes due 2035</w:t>
            </w:r>
          </w:p>
        </w:tc>
      </w:tr>
      <w:tr>
        <w:trPr>
          <w:trHeight w:val="120" w:hRule="atLeast"/>
        </w:trPr>
        <w:tc>
          <w:tcPr>
            <w:tcW w:w="1706" w:type="dxa"/>
            <w:tcBorders/>
            <w:vAlign w:val="center"/>
          </w:tcPr>
          <w:p>
            <w:pPr>
              <w:pStyle w:val="TableContents"/>
              <w:bidi w:val="0"/>
              <w:spacing w:before="0" w:after="283"/>
              <w:jc w:val="left"/>
              <w:rPr>
                <w:sz w:val="4"/>
                <w:szCs w:val="4"/>
              </w:rPr>
            </w:pPr>
            <w:r>
              <w:rPr>
                <w:sz w:val="4"/>
                <w:szCs w:val="4"/>
              </w:rPr>
            </w:r>
          </w:p>
        </w:tc>
        <w:tc>
          <w:tcPr>
            <w:tcW w:w="8499" w:type="dxa"/>
            <w:gridSpan w:val="2"/>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i/>
              </w:rPr>
            </w:pPr>
            <w:r>
              <w:rPr>
                <w:i/>
              </w:rPr>
              <w:t>Aggregate Principal Amount at Maturity:</w:t>
            </w:r>
          </w:p>
        </w:tc>
        <w:tc>
          <w:tcPr>
            <w:tcW w:w="123" w:type="dxa"/>
            <w:tcBorders/>
            <w:vAlign w:val="bottom"/>
          </w:tcPr>
          <w:p>
            <w:pPr>
              <w:pStyle w:val="TableContents"/>
              <w:bidi w:val="0"/>
              <w:spacing w:before="0" w:after="283"/>
              <w:jc w:val="left"/>
              <w:rPr/>
            </w:pPr>
            <w:r>
              <w:rPr/>
              <w:t>  </w:t>
            </w:r>
          </w:p>
        </w:tc>
        <w:tc>
          <w:tcPr>
            <w:tcW w:w="8376" w:type="dxa"/>
            <w:tcBorders/>
            <w:vAlign w:val="bottom"/>
          </w:tcPr>
          <w:p>
            <w:pPr>
              <w:pStyle w:val="TableContents"/>
              <w:bidi w:val="0"/>
              <w:spacing w:before="0" w:after="283"/>
              <w:jc w:val="left"/>
              <w:rPr/>
            </w:pPr>
            <w:r>
              <w:rPr/>
              <w:t>$850,000,000</w:t>
            </w:r>
          </w:p>
        </w:tc>
      </w:tr>
      <w:tr>
        <w:trPr>
          <w:trHeight w:val="120" w:hRule="atLeast"/>
        </w:trPr>
        <w:tc>
          <w:tcPr>
            <w:tcW w:w="1706" w:type="dxa"/>
            <w:tcBorders/>
            <w:vAlign w:val="center"/>
          </w:tcPr>
          <w:p>
            <w:pPr>
              <w:pStyle w:val="TableContents"/>
              <w:bidi w:val="0"/>
              <w:spacing w:before="0" w:after="283"/>
              <w:jc w:val="left"/>
              <w:rPr>
                <w:sz w:val="4"/>
                <w:szCs w:val="4"/>
              </w:rPr>
            </w:pPr>
            <w:r>
              <w:rPr>
                <w:sz w:val="4"/>
                <w:szCs w:val="4"/>
              </w:rPr>
            </w:r>
          </w:p>
        </w:tc>
        <w:tc>
          <w:tcPr>
            <w:tcW w:w="8499" w:type="dxa"/>
            <w:gridSpan w:val="2"/>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i/>
              </w:rPr>
            </w:pPr>
            <w:r>
              <w:rPr>
                <w:i/>
              </w:rPr>
              <w:t>Principal Payment Date:</w:t>
            </w:r>
          </w:p>
        </w:tc>
        <w:tc>
          <w:tcPr>
            <w:tcW w:w="123" w:type="dxa"/>
            <w:tcBorders/>
            <w:vAlign w:val="bottom"/>
          </w:tcPr>
          <w:p>
            <w:pPr>
              <w:pStyle w:val="TableContents"/>
              <w:bidi w:val="0"/>
              <w:spacing w:before="0" w:after="283"/>
              <w:jc w:val="left"/>
              <w:rPr/>
            </w:pPr>
            <w:r>
              <w:rPr/>
              <w:t>  </w:t>
            </w:r>
          </w:p>
        </w:tc>
        <w:tc>
          <w:tcPr>
            <w:tcW w:w="8376" w:type="dxa"/>
            <w:tcBorders/>
            <w:vAlign w:val="bottom"/>
          </w:tcPr>
          <w:p>
            <w:pPr>
              <w:pStyle w:val="TableContents"/>
              <w:bidi w:val="0"/>
              <w:spacing w:before="0" w:after="283"/>
              <w:jc w:val="left"/>
              <w:rPr/>
            </w:pPr>
            <w:r>
              <w:rPr/>
              <w:t>May 15, 2035</w:t>
            </w:r>
          </w:p>
        </w:tc>
      </w:tr>
      <w:tr>
        <w:trPr>
          <w:trHeight w:val="120" w:hRule="atLeast"/>
        </w:trPr>
        <w:tc>
          <w:tcPr>
            <w:tcW w:w="1706" w:type="dxa"/>
            <w:tcBorders/>
            <w:vAlign w:val="center"/>
          </w:tcPr>
          <w:p>
            <w:pPr>
              <w:pStyle w:val="TableContents"/>
              <w:bidi w:val="0"/>
              <w:spacing w:before="0" w:after="283"/>
              <w:jc w:val="left"/>
              <w:rPr>
                <w:sz w:val="4"/>
                <w:szCs w:val="4"/>
              </w:rPr>
            </w:pPr>
            <w:r>
              <w:rPr>
                <w:sz w:val="4"/>
                <w:szCs w:val="4"/>
              </w:rPr>
            </w:r>
          </w:p>
        </w:tc>
        <w:tc>
          <w:tcPr>
            <w:tcW w:w="8499" w:type="dxa"/>
            <w:gridSpan w:val="2"/>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i/>
              </w:rPr>
            </w:pPr>
            <w:r>
              <w:rPr>
                <w:i/>
              </w:rPr>
              <w:t>Interest:</w:t>
            </w:r>
          </w:p>
        </w:tc>
        <w:tc>
          <w:tcPr>
            <w:tcW w:w="123" w:type="dxa"/>
            <w:tcBorders/>
            <w:vAlign w:val="bottom"/>
          </w:tcPr>
          <w:p>
            <w:pPr>
              <w:pStyle w:val="TableContents"/>
              <w:bidi w:val="0"/>
              <w:spacing w:before="0" w:after="283"/>
              <w:jc w:val="left"/>
              <w:rPr/>
            </w:pPr>
            <w:r>
              <w:rPr/>
              <w:t>  </w:t>
            </w:r>
          </w:p>
        </w:tc>
        <w:tc>
          <w:tcPr>
            <w:tcW w:w="8376" w:type="dxa"/>
            <w:tcBorders/>
          </w:tcPr>
          <w:p>
            <w:pPr>
              <w:pStyle w:val="TableContents"/>
              <w:bidi w:val="0"/>
              <w:spacing w:before="0" w:after="283"/>
              <w:jc w:val="left"/>
              <w:rPr/>
            </w:pPr>
            <w:r>
              <w:rPr/>
              <w:t>5.300%</w:t>
            </w:r>
          </w:p>
        </w:tc>
      </w:tr>
      <w:tr>
        <w:trPr>
          <w:trHeight w:val="120" w:hRule="atLeast"/>
        </w:trPr>
        <w:tc>
          <w:tcPr>
            <w:tcW w:w="1706" w:type="dxa"/>
            <w:tcBorders/>
            <w:vAlign w:val="center"/>
          </w:tcPr>
          <w:p>
            <w:pPr>
              <w:pStyle w:val="TableContents"/>
              <w:bidi w:val="0"/>
              <w:spacing w:before="0" w:after="283"/>
              <w:jc w:val="left"/>
              <w:rPr>
                <w:sz w:val="4"/>
                <w:szCs w:val="4"/>
              </w:rPr>
            </w:pPr>
            <w:r>
              <w:rPr>
                <w:sz w:val="4"/>
                <w:szCs w:val="4"/>
              </w:rPr>
            </w:r>
          </w:p>
        </w:tc>
        <w:tc>
          <w:tcPr>
            <w:tcW w:w="8499" w:type="dxa"/>
            <w:gridSpan w:val="2"/>
            <w:tcBorders/>
            <w:vAlign w:val="center"/>
          </w:tcPr>
          <w:p>
            <w:pPr>
              <w:pStyle w:val="TableContents"/>
              <w:bidi w:val="0"/>
              <w:spacing w:before="0" w:after="283"/>
              <w:jc w:val="left"/>
              <w:rPr>
                <w:sz w:val="4"/>
                <w:szCs w:val="4"/>
              </w:rPr>
            </w:pPr>
            <w:r>
              <w:rPr>
                <w:sz w:val="4"/>
                <w:szCs w:val="4"/>
              </w:rPr>
            </w:r>
          </w:p>
        </w:tc>
      </w:tr>
      <w:tr>
        <w:trPr/>
        <w:tc>
          <w:tcPr>
            <w:tcW w:w="1706" w:type="dxa"/>
            <w:tcBorders/>
          </w:tcPr>
          <w:p>
            <w:pPr>
              <w:pStyle w:val="TableContents"/>
              <w:bidi w:val="0"/>
              <w:spacing w:before="0" w:after="283"/>
              <w:jc w:val="left"/>
              <w:rPr>
                <w:i/>
              </w:rPr>
            </w:pPr>
            <w:r>
              <w:rPr>
                <w:i/>
              </w:rPr>
              <w:t>Redemption:</w:t>
            </w:r>
          </w:p>
        </w:tc>
        <w:tc>
          <w:tcPr>
            <w:tcW w:w="123" w:type="dxa"/>
            <w:tcBorders/>
            <w:vAlign w:val="bottom"/>
          </w:tcPr>
          <w:p>
            <w:pPr>
              <w:pStyle w:val="TableContents"/>
              <w:bidi w:val="0"/>
              <w:spacing w:before="0" w:after="283"/>
              <w:jc w:val="left"/>
              <w:rPr/>
            </w:pPr>
            <w:r>
              <w:rPr/>
              <w:t>  </w:t>
            </w:r>
          </w:p>
        </w:tc>
        <w:tc>
          <w:tcPr>
            <w:tcW w:w="8376" w:type="dxa"/>
            <w:tcBorders/>
          </w:tcPr>
          <w:p>
            <w:pPr>
              <w:pStyle w:val="TableContents"/>
              <w:bidi w:val="0"/>
              <w:spacing w:before="0" w:after="283"/>
              <w:jc w:val="left"/>
              <w:rPr/>
            </w:pPr>
            <w:r>
              <w:rPr/>
              <w:t>Prior to February 15, 2035 (three (3) months prior to the maturity date of the 2035 Notes) (the </w:t>
            </w:r>
            <w:r>
              <w:rPr>
                <w:b/>
              </w:rPr>
              <w:t>2035 Par Call Date</w:t>
            </w:r>
            <w:r>
              <w:rPr/>
              <w:t>), the Company may redeem the 2035 Notes at its option, in whole or in part, at any time and from time to time, at a redemption price (expressed as a percentage of the principal amount and rounded to three decimal places) equal to the greater of: (1) (a) the sum of the present values of the remaining scheduled payments of</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736"/>
        <w:gridCol w:w="121"/>
        <w:gridCol w:w="8348"/>
      </w:tblGrid>
      <w:tr>
        <w:trPr/>
        <w:tc>
          <w:tcPr>
            <w:tcW w:w="173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736" w:type="dxa"/>
            <w:tcBorders/>
            <w:vAlign w:val="center"/>
          </w:tcPr>
          <w:p>
            <w:pPr>
              <w:pStyle w:val="TableContents"/>
              <w:bidi w:val="0"/>
              <w:spacing w:before="0" w:after="283"/>
              <w:jc w:val="left"/>
              <w:rPr>
                <w:sz w:val="4"/>
                <w:szCs w:val="4"/>
              </w:rPr>
            </w:pPr>
            <w:r>
              <w:rPr>
                <w:sz w:val="4"/>
                <w:szCs w:val="4"/>
              </w:rPr>
            </w:r>
          </w:p>
        </w:tc>
        <w:tc>
          <w:tcPr>
            <w:tcW w:w="8469" w:type="dxa"/>
            <w:gridSpan w:val="2"/>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0"/>
              <w:jc w:val="left"/>
              <w:rPr>
                <w:rFonts w:ascii="Times New Roman" w:hAnsi="Times New Roman"/>
                <w:sz w:val="20"/>
              </w:rPr>
            </w:pPr>
            <w:r>
              <w:rPr>
                <w:rFonts w:ascii="Times New Roman" w:hAnsi="Times New Roman"/>
                <w:sz w:val="20"/>
              </w:rPr>
              <w:t>principal and interest thereon discounted to the redemption date (assuming, for this purpose, that the 2035 Notes matured on the 2035 Par Call Date) on a semi-annual basis (assuming a 360-day year consisting of twelve 30-day months) at the Treasury Rate (as defined in the 2035 Notes) plus 15 basis points, less (b) interest accrued to the date of redemption, and (2) 100% of the principal amount of the 2035 Notes to be redeemed, plus, in either case, accrued and unpaid interest thereon to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the 2035 Par Call Date, the Company may redeem the 2035 Notes, in whole or in part, at any time and from time to time, at a redemption price equal to 100% of the principal amount of the 2035 Notes being redeemed, plus accrued and unpaid interest thereon to the redemption date.</w:t>
            </w:r>
          </w:p>
        </w:tc>
      </w:tr>
      <w:tr>
        <w:trPr>
          <w:trHeight w:val="120" w:hRule="atLeast"/>
        </w:trPr>
        <w:tc>
          <w:tcPr>
            <w:tcW w:w="1736" w:type="dxa"/>
            <w:tcBorders/>
            <w:vAlign w:val="center"/>
          </w:tcPr>
          <w:p>
            <w:pPr>
              <w:pStyle w:val="TableContents"/>
              <w:bidi w:val="0"/>
              <w:spacing w:before="0" w:after="283"/>
              <w:jc w:val="left"/>
              <w:rPr>
                <w:sz w:val="4"/>
                <w:szCs w:val="4"/>
              </w:rPr>
            </w:pPr>
            <w:r>
              <w:rPr>
                <w:sz w:val="4"/>
                <w:szCs w:val="4"/>
              </w:rPr>
            </w:r>
          </w:p>
        </w:tc>
        <w:tc>
          <w:tcPr>
            <w:tcW w:w="8469" w:type="dxa"/>
            <w:gridSpan w:val="2"/>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i/>
              </w:rPr>
            </w:pPr>
            <w:r>
              <w:rPr>
                <w:i/>
              </w:rPr>
              <w:t>Additional Issuances:</w:t>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283"/>
              <w:jc w:val="left"/>
              <w:rPr/>
            </w:pPr>
            <w:r>
              <w:rPr/>
              <w:t>The 2035 Notes need not be issued at the same time and the series may be reopened for issuance of an unlimited principal amount of additional 2035 Notes under this series. Additional 2035 Notes of this series may be consolidated with, and form a single series with, 2035 Notes then outstanding, including for purposes of determining whether the required percentage of the holders of record has given approval or consent to an amendment or waiver or joined in directing the Trustee to take certain actions on behalf of all holders; provided that if such additional 2035 Notes are not fungible with the 2035 Notes then outstanding for U.S. federal income tax purposes, such additional 2035 Notes will have one or more separate CUSIP numbers.</w:t>
            </w:r>
          </w:p>
        </w:tc>
      </w:tr>
      <w:tr>
        <w:trPr>
          <w:trHeight w:val="120" w:hRule="atLeast"/>
        </w:trPr>
        <w:tc>
          <w:tcPr>
            <w:tcW w:w="1736" w:type="dxa"/>
            <w:tcBorders/>
            <w:vAlign w:val="center"/>
          </w:tcPr>
          <w:p>
            <w:pPr>
              <w:pStyle w:val="TableContents"/>
              <w:bidi w:val="0"/>
              <w:spacing w:before="0" w:after="283"/>
              <w:jc w:val="left"/>
              <w:rPr>
                <w:sz w:val="4"/>
                <w:szCs w:val="4"/>
              </w:rPr>
            </w:pPr>
            <w:r>
              <w:rPr>
                <w:sz w:val="4"/>
                <w:szCs w:val="4"/>
              </w:rPr>
            </w:r>
          </w:p>
        </w:tc>
        <w:tc>
          <w:tcPr>
            <w:tcW w:w="8469" w:type="dxa"/>
            <w:gridSpan w:val="2"/>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i/>
              </w:rPr>
            </w:pPr>
            <w:r>
              <w:rPr>
                <w:i/>
              </w:rPr>
              <w:t>Conversion:</w:t>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283"/>
              <w:jc w:val="left"/>
              <w:rPr/>
            </w:pPr>
            <w:r>
              <w:rPr/>
              <w:t>None</w:t>
            </w:r>
          </w:p>
        </w:tc>
      </w:tr>
      <w:tr>
        <w:trPr>
          <w:trHeight w:val="120" w:hRule="atLeast"/>
        </w:trPr>
        <w:tc>
          <w:tcPr>
            <w:tcW w:w="1736" w:type="dxa"/>
            <w:tcBorders/>
            <w:vAlign w:val="center"/>
          </w:tcPr>
          <w:p>
            <w:pPr>
              <w:pStyle w:val="TableContents"/>
              <w:bidi w:val="0"/>
              <w:spacing w:before="0" w:after="283"/>
              <w:jc w:val="left"/>
              <w:rPr>
                <w:sz w:val="4"/>
                <w:szCs w:val="4"/>
              </w:rPr>
            </w:pPr>
            <w:r>
              <w:rPr>
                <w:sz w:val="4"/>
                <w:szCs w:val="4"/>
              </w:rPr>
            </w:r>
          </w:p>
        </w:tc>
        <w:tc>
          <w:tcPr>
            <w:tcW w:w="8469" w:type="dxa"/>
            <w:gridSpan w:val="2"/>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i/>
              </w:rPr>
            </w:pPr>
            <w:r>
              <w:rPr>
                <w:i/>
              </w:rPr>
              <w:t>Sinking Fund:</w:t>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283"/>
              <w:jc w:val="left"/>
              <w:rPr/>
            </w:pPr>
            <w:r>
              <w:rPr/>
              <w:t>None</w:t>
            </w:r>
          </w:p>
        </w:tc>
      </w:tr>
      <w:tr>
        <w:trPr>
          <w:trHeight w:val="120" w:hRule="atLeast"/>
        </w:trPr>
        <w:tc>
          <w:tcPr>
            <w:tcW w:w="1736" w:type="dxa"/>
            <w:tcBorders/>
            <w:vAlign w:val="center"/>
          </w:tcPr>
          <w:p>
            <w:pPr>
              <w:pStyle w:val="TableContents"/>
              <w:bidi w:val="0"/>
              <w:spacing w:before="0" w:after="283"/>
              <w:jc w:val="left"/>
              <w:rPr>
                <w:sz w:val="4"/>
                <w:szCs w:val="4"/>
              </w:rPr>
            </w:pPr>
            <w:r>
              <w:rPr>
                <w:sz w:val="4"/>
                <w:szCs w:val="4"/>
              </w:rPr>
            </w:r>
          </w:p>
        </w:tc>
        <w:tc>
          <w:tcPr>
            <w:tcW w:w="8469" w:type="dxa"/>
            <w:gridSpan w:val="2"/>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i/>
              </w:rPr>
            </w:pPr>
            <w:r>
              <w:rPr>
                <w:i/>
              </w:rPr>
              <w:t>Miscellaneous:</w:t>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283"/>
              <w:jc w:val="left"/>
              <w:rPr/>
            </w:pPr>
            <w:r>
              <w:rPr/>
              <w:t xml:space="preserve">The terms of the 2035 Notes shall include such other terms as are set forth in the Form of Note due 2035 attached hereto as </w:t>
            </w:r>
            <w:r>
              <w:rPr>
                <w:b/>
                <w:u w:val="single"/>
              </w:rPr>
              <w:t>Exhibit B</w:t>
            </w:r>
            <w:r>
              <w:rPr/>
              <w:t>.</w:t>
            </w:r>
          </w:p>
        </w:tc>
      </w:tr>
    </w:tbl>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6.050% Notes due 2055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49"/>
        <w:gridCol w:w="120"/>
        <w:gridCol w:w="8436"/>
      </w:tblGrid>
      <w:tr>
        <w:trPr/>
        <w:tc>
          <w:tcPr>
            <w:tcW w:w="164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436" w:type="dxa"/>
            <w:tcBorders/>
            <w:vAlign w:val="center"/>
          </w:tcPr>
          <w:p>
            <w:pPr>
              <w:pStyle w:val="TableContents"/>
              <w:bidi w:val="0"/>
              <w:spacing w:before="0" w:after="283"/>
              <w:jc w:val="left"/>
              <w:rPr>
                <w:sz w:val="4"/>
                <w:szCs w:val="4"/>
              </w:rPr>
            </w:pPr>
            <w:r>
              <w:rPr>
                <w:sz w:val="4"/>
                <w:szCs w:val="4"/>
              </w:rPr>
            </w:r>
          </w:p>
        </w:tc>
      </w:tr>
      <w:tr>
        <w:trPr/>
        <w:tc>
          <w:tcPr>
            <w:tcW w:w="1649" w:type="dxa"/>
            <w:tcBorders/>
          </w:tcPr>
          <w:p>
            <w:pPr>
              <w:pStyle w:val="TableContents"/>
              <w:bidi w:val="0"/>
              <w:spacing w:before="0" w:after="283"/>
              <w:jc w:val="left"/>
              <w:rPr>
                <w:i/>
              </w:rPr>
            </w:pPr>
            <w:r>
              <w:rPr>
                <w:i/>
              </w:rPr>
              <w:t>Title:</w:t>
            </w:r>
          </w:p>
        </w:tc>
        <w:tc>
          <w:tcPr>
            <w:tcW w:w="120" w:type="dxa"/>
            <w:tcBorders/>
            <w:vAlign w:val="bottom"/>
          </w:tcPr>
          <w:p>
            <w:pPr>
              <w:pStyle w:val="TableContents"/>
              <w:bidi w:val="0"/>
              <w:spacing w:before="0" w:after="283"/>
              <w:jc w:val="left"/>
              <w:rPr/>
            </w:pPr>
            <w:r>
              <w:rPr/>
              <w:t>  </w:t>
            </w:r>
          </w:p>
        </w:tc>
        <w:tc>
          <w:tcPr>
            <w:tcW w:w="8436" w:type="dxa"/>
            <w:tcBorders/>
          </w:tcPr>
          <w:p>
            <w:pPr>
              <w:pStyle w:val="TableContents"/>
              <w:bidi w:val="0"/>
              <w:spacing w:before="0" w:after="283"/>
              <w:jc w:val="left"/>
              <w:rPr/>
            </w:pPr>
            <w:r>
              <w:rPr/>
              <w:t>6.050% Notes due 2055</w:t>
            </w:r>
          </w:p>
        </w:tc>
      </w:tr>
      <w:tr>
        <w:trPr>
          <w:trHeight w:val="120" w:hRule="atLeast"/>
        </w:trPr>
        <w:tc>
          <w:tcPr>
            <w:tcW w:w="1649" w:type="dxa"/>
            <w:tcBorders/>
            <w:vAlign w:val="center"/>
          </w:tcPr>
          <w:p>
            <w:pPr>
              <w:pStyle w:val="TableContents"/>
              <w:bidi w:val="0"/>
              <w:spacing w:before="0" w:after="283"/>
              <w:jc w:val="left"/>
              <w:rPr>
                <w:sz w:val="4"/>
                <w:szCs w:val="4"/>
              </w:rPr>
            </w:pPr>
            <w:r>
              <w:rPr>
                <w:sz w:val="4"/>
                <w:szCs w:val="4"/>
              </w:rPr>
            </w:r>
          </w:p>
        </w:tc>
        <w:tc>
          <w:tcPr>
            <w:tcW w:w="8556" w:type="dxa"/>
            <w:gridSpan w:val="2"/>
            <w:tcBorders/>
            <w:vAlign w:val="center"/>
          </w:tcPr>
          <w:p>
            <w:pPr>
              <w:pStyle w:val="TableContents"/>
              <w:bidi w:val="0"/>
              <w:spacing w:before="0" w:after="283"/>
              <w:jc w:val="left"/>
              <w:rPr>
                <w:sz w:val="4"/>
                <w:szCs w:val="4"/>
              </w:rPr>
            </w:pPr>
            <w:r>
              <w:rPr>
                <w:sz w:val="4"/>
                <w:szCs w:val="4"/>
              </w:rPr>
            </w:r>
          </w:p>
        </w:tc>
      </w:tr>
      <w:tr>
        <w:trPr/>
        <w:tc>
          <w:tcPr>
            <w:tcW w:w="1649" w:type="dxa"/>
            <w:tcBorders/>
          </w:tcPr>
          <w:p>
            <w:pPr>
              <w:pStyle w:val="TableContents"/>
              <w:bidi w:val="0"/>
              <w:spacing w:before="0" w:after="283"/>
              <w:jc w:val="left"/>
              <w:rPr>
                <w:i/>
              </w:rPr>
            </w:pPr>
            <w:r>
              <w:rPr>
                <w:i/>
              </w:rPr>
              <w:t>Aggregate Principal Amount at Maturity:</w:t>
            </w:r>
          </w:p>
        </w:tc>
        <w:tc>
          <w:tcPr>
            <w:tcW w:w="120" w:type="dxa"/>
            <w:tcBorders/>
            <w:vAlign w:val="bottom"/>
          </w:tcPr>
          <w:p>
            <w:pPr>
              <w:pStyle w:val="TableContents"/>
              <w:bidi w:val="0"/>
              <w:spacing w:before="0" w:after="283"/>
              <w:jc w:val="left"/>
              <w:rPr/>
            </w:pPr>
            <w:r>
              <w:rPr/>
              <w:t>  </w:t>
            </w:r>
          </w:p>
        </w:tc>
        <w:tc>
          <w:tcPr>
            <w:tcW w:w="8436" w:type="dxa"/>
            <w:tcBorders/>
            <w:vAlign w:val="bottom"/>
          </w:tcPr>
          <w:p>
            <w:pPr>
              <w:pStyle w:val="TableContents"/>
              <w:bidi w:val="0"/>
              <w:spacing w:before="0" w:after="283"/>
              <w:jc w:val="left"/>
              <w:rPr/>
            </w:pPr>
            <w:r>
              <w:rPr/>
              <w:t>$1,000,000,000</w:t>
            </w:r>
          </w:p>
        </w:tc>
      </w:tr>
      <w:tr>
        <w:trPr>
          <w:trHeight w:val="120" w:hRule="atLeast"/>
        </w:trPr>
        <w:tc>
          <w:tcPr>
            <w:tcW w:w="1649" w:type="dxa"/>
            <w:tcBorders/>
            <w:vAlign w:val="center"/>
          </w:tcPr>
          <w:p>
            <w:pPr>
              <w:pStyle w:val="TableContents"/>
              <w:bidi w:val="0"/>
              <w:spacing w:before="0" w:after="283"/>
              <w:jc w:val="left"/>
              <w:rPr>
                <w:sz w:val="4"/>
                <w:szCs w:val="4"/>
              </w:rPr>
            </w:pPr>
            <w:r>
              <w:rPr>
                <w:sz w:val="4"/>
                <w:szCs w:val="4"/>
              </w:rPr>
            </w:r>
          </w:p>
        </w:tc>
        <w:tc>
          <w:tcPr>
            <w:tcW w:w="8556" w:type="dxa"/>
            <w:gridSpan w:val="2"/>
            <w:tcBorders/>
            <w:vAlign w:val="center"/>
          </w:tcPr>
          <w:p>
            <w:pPr>
              <w:pStyle w:val="TableContents"/>
              <w:bidi w:val="0"/>
              <w:spacing w:before="0" w:after="283"/>
              <w:jc w:val="left"/>
              <w:rPr>
                <w:sz w:val="4"/>
                <w:szCs w:val="4"/>
              </w:rPr>
            </w:pPr>
            <w:r>
              <w:rPr>
                <w:sz w:val="4"/>
                <w:szCs w:val="4"/>
              </w:rPr>
            </w:r>
          </w:p>
        </w:tc>
      </w:tr>
      <w:tr>
        <w:trPr/>
        <w:tc>
          <w:tcPr>
            <w:tcW w:w="1649" w:type="dxa"/>
            <w:tcBorders/>
          </w:tcPr>
          <w:p>
            <w:pPr>
              <w:pStyle w:val="TableContents"/>
              <w:bidi w:val="0"/>
              <w:spacing w:before="0" w:after="283"/>
              <w:jc w:val="left"/>
              <w:rPr>
                <w:i/>
              </w:rPr>
            </w:pPr>
            <w:r>
              <w:rPr>
                <w:i/>
              </w:rPr>
              <w:t>Principal Payment Date:</w:t>
            </w:r>
          </w:p>
        </w:tc>
        <w:tc>
          <w:tcPr>
            <w:tcW w:w="120" w:type="dxa"/>
            <w:tcBorders/>
            <w:vAlign w:val="bottom"/>
          </w:tcPr>
          <w:p>
            <w:pPr>
              <w:pStyle w:val="TableContents"/>
              <w:bidi w:val="0"/>
              <w:spacing w:before="0" w:after="283"/>
              <w:jc w:val="left"/>
              <w:rPr/>
            </w:pPr>
            <w:r>
              <w:rPr/>
              <w:t>  </w:t>
            </w:r>
          </w:p>
        </w:tc>
        <w:tc>
          <w:tcPr>
            <w:tcW w:w="8436" w:type="dxa"/>
            <w:tcBorders/>
            <w:vAlign w:val="bottom"/>
          </w:tcPr>
          <w:p>
            <w:pPr>
              <w:pStyle w:val="TableContents"/>
              <w:bidi w:val="0"/>
              <w:spacing w:before="0" w:after="283"/>
              <w:jc w:val="left"/>
              <w:rPr/>
            </w:pPr>
            <w:r>
              <w:rPr/>
              <w:t>May 15, 2055</w:t>
            </w:r>
          </w:p>
        </w:tc>
      </w:tr>
      <w:tr>
        <w:trPr>
          <w:trHeight w:val="120" w:hRule="atLeast"/>
        </w:trPr>
        <w:tc>
          <w:tcPr>
            <w:tcW w:w="1649" w:type="dxa"/>
            <w:tcBorders/>
            <w:vAlign w:val="center"/>
          </w:tcPr>
          <w:p>
            <w:pPr>
              <w:pStyle w:val="TableContents"/>
              <w:bidi w:val="0"/>
              <w:spacing w:before="0" w:after="283"/>
              <w:jc w:val="left"/>
              <w:rPr>
                <w:sz w:val="4"/>
                <w:szCs w:val="4"/>
              </w:rPr>
            </w:pPr>
            <w:r>
              <w:rPr>
                <w:sz w:val="4"/>
                <w:szCs w:val="4"/>
              </w:rPr>
            </w:r>
          </w:p>
        </w:tc>
        <w:tc>
          <w:tcPr>
            <w:tcW w:w="8556" w:type="dxa"/>
            <w:gridSpan w:val="2"/>
            <w:tcBorders/>
            <w:vAlign w:val="center"/>
          </w:tcPr>
          <w:p>
            <w:pPr>
              <w:pStyle w:val="TableContents"/>
              <w:bidi w:val="0"/>
              <w:spacing w:before="0" w:after="283"/>
              <w:jc w:val="left"/>
              <w:rPr>
                <w:sz w:val="4"/>
                <w:szCs w:val="4"/>
              </w:rPr>
            </w:pPr>
            <w:r>
              <w:rPr>
                <w:sz w:val="4"/>
                <w:szCs w:val="4"/>
              </w:rPr>
            </w:r>
          </w:p>
        </w:tc>
      </w:tr>
      <w:tr>
        <w:trPr/>
        <w:tc>
          <w:tcPr>
            <w:tcW w:w="1649" w:type="dxa"/>
            <w:tcBorders/>
          </w:tcPr>
          <w:p>
            <w:pPr>
              <w:pStyle w:val="TableContents"/>
              <w:bidi w:val="0"/>
              <w:spacing w:before="0" w:after="283"/>
              <w:jc w:val="left"/>
              <w:rPr>
                <w:i/>
              </w:rPr>
            </w:pPr>
            <w:r>
              <w:rPr>
                <w:i/>
              </w:rPr>
              <w:t>Interest:</w:t>
            </w:r>
          </w:p>
        </w:tc>
        <w:tc>
          <w:tcPr>
            <w:tcW w:w="120" w:type="dxa"/>
            <w:tcBorders/>
            <w:vAlign w:val="bottom"/>
          </w:tcPr>
          <w:p>
            <w:pPr>
              <w:pStyle w:val="TableContents"/>
              <w:bidi w:val="0"/>
              <w:spacing w:before="0" w:after="283"/>
              <w:jc w:val="left"/>
              <w:rPr/>
            </w:pPr>
            <w:r>
              <w:rPr/>
              <w:t>  </w:t>
            </w:r>
          </w:p>
        </w:tc>
        <w:tc>
          <w:tcPr>
            <w:tcW w:w="8436" w:type="dxa"/>
            <w:tcBorders/>
          </w:tcPr>
          <w:p>
            <w:pPr>
              <w:pStyle w:val="TableContents"/>
              <w:bidi w:val="0"/>
              <w:spacing w:before="0" w:after="283"/>
              <w:jc w:val="left"/>
              <w:rPr/>
            </w:pPr>
            <w:r>
              <w:rPr/>
              <w:t>6.050%</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1736"/>
        <w:gridCol w:w="121"/>
        <w:gridCol w:w="8348"/>
      </w:tblGrid>
      <w:tr>
        <w:trPr/>
        <w:tc>
          <w:tcPr>
            <w:tcW w:w="173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i/>
              </w:rPr>
            </w:pPr>
            <w:r>
              <w:rPr>
                <w:i/>
              </w:rPr>
              <w:t>Redemption:</w:t>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0"/>
              <w:jc w:val="left"/>
              <w:rPr>
                <w:rFonts w:ascii="Times New Roman" w:hAnsi="Times New Roman"/>
                <w:sz w:val="20"/>
              </w:rPr>
            </w:pPr>
            <w:r>
              <w:rPr>
                <w:rFonts w:ascii="Times New Roman" w:hAnsi="Times New Roman"/>
                <w:sz w:val="20"/>
              </w:rPr>
              <w:t>Prior to November 15, 2054 (six (6) months prior to the maturity date of the 2055 Notes) (the </w:t>
            </w:r>
            <w:r>
              <w:rPr>
                <w:rFonts w:ascii="Times New Roman" w:hAnsi="Times New Roman"/>
                <w:b/>
                <w:sz w:val="20"/>
              </w:rPr>
              <w:t>2055 Par Call Date</w:t>
            </w:r>
            <w:r>
              <w:rPr>
                <w:rFonts w:ascii="Times New Roman" w:hAnsi="Times New Roman"/>
                <w:sz w:val="20"/>
              </w:rPr>
              <w:t>), the Company may redeem the 2055 Notes at its option, in whole or in part, at any time and from time to time, at a redemption price (expressed as a percentage of the principal amount and rounded to three decimal places) equal to the greater of: (1) (a) the sum of the present values of the remaining scheduled payments of principal and interest thereon discounted to the redemption date (assuming, for this purpose, that the 2055 Notes matured on the 2055 Par Call Date) on a semi-annual basis (assuming a 360-day year consisting of twelve 30-day months) at the Treasury Rate (as defined in the 2055 Notes) plus 20 basis points, less (b) interest accrued to the date of redemption, and (2) 100% of the principal amount of the 2055 Notes to be redeemed, plus, in either case, accrued and unpaid interest thereon to the redemption date.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On or after the 2055 Par Call Date, the Company may redeem the 2055 Notes, in whole or in part, at any time and from time to time, at a redemption price equal to 100% of the principal amount of the 2055 Notes being redeemed, plus accrued and unpaid interest thereon to the redemption date.</w:t>
            </w:r>
          </w:p>
        </w:tc>
      </w:tr>
      <w:tr>
        <w:trPr>
          <w:trHeight w:val="120" w:hRule="atLeast"/>
        </w:trPr>
        <w:tc>
          <w:tcPr>
            <w:tcW w:w="1736" w:type="dxa"/>
            <w:tcBorders/>
            <w:vAlign w:val="center"/>
          </w:tcPr>
          <w:p>
            <w:pPr>
              <w:pStyle w:val="TableContents"/>
              <w:bidi w:val="0"/>
              <w:spacing w:before="0" w:after="283"/>
              <w:jc w:val="left"/>
              <w:rPr>
                <w:sz w:val="4"/>
                <w:szCs w:val="4"/>
              </w:rPr>
            </w:pPr>
            <w:r>
              <w:rPr>
                <w:sz w:val="4"/>
                <w:szCs w:val="4"/>
              </w:rPr>
            </w:r>
          </w:p>
        </w:tc>
        <w:tc>
          <w:tcPr>
            <w:tcW w:w="8469" w:type="dxa"/>
            <w:gridSpan w:val="2"/>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i/>
              </w:rPr>
            </w:pPr>
            <w:r>
              <w:rPr>
                <w:i/>
              </w:rPr>
              <w:t>Additional Issuances:</w:t>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283"/>
              <w:jc w:val="left"/>
              <w:rPr/>
            </w:pPr>
            <w:r>
              <w:rPr/>
              <w:t>The 2055 Notes need not be issued at the same time and the series may be reopened for issuance of an unlimited principal amount of additional 2055 Notes under this series. Additional 2055 Notes of this series may be consolidated with, and form a single series with, 2055 Notes then outstanding, including for purposes of determining whether the required percentage of the holders of record has given approval or consent to an amendment or waiver or joined in directing the Trustee to take certain actions on behalf of all holders; provided that if such additional 2055 Notes are not fungible with the 2055 Notes then outstanding for U.S. federal income tax purposes, such additional 2055 Notes will have one or more separate CUSIP numbers.</w:t>
            </w:r>
          </w:p>
        </w:tc>
      </w:tr>
      <w:tr>
        <w:trPr>
          <w:trHeight w:val="120" w:hRule="atLeast"/>
        </w:trPr>
        <w:tc>
          <w:tcPr>
            <w:tcW w:w="1736" w:type="dxa"/>
            <w:tcBorders/>
            <w:vAlign w:val="center"/>
          </w:tcPr>
          <w:p>
            <w:pPr>
              <w:pStyle w:val="TableContents"/>
              <w:bidi w:val="0"/>
              <w:spacing w:before="0" w:after="283"/>
              <w:jc w:val="left"/>
              <w:rPr>
                <w:sz w:val="4"/>
                <w:szCs w:val="4"/>
              </w:rPr>
            </w:pPr>
            <w:r>
              <w:rPr>
                <w:sz w:val="4"/>
                <w:szCs w:val="4"/>
              </w:rPr>
            </w:r>
          </w:p>
        </w:tc>
        <w:tc>
          <w:tcPr>
            <w:tcW w:w="8469" w:type="dxa"/>
            <w:gridSpan w:val="2"/>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i/>
              </w:rPr>
            </w:pPr>
            <w:r>
              <w:rPr>
                <w:i/>
              </w:rPr>
              <w:t>Conversion:</w:t>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283"/>
              <w:jc w:val="left"/>
              <w:rPr/>
            </w:pPr>
            <w:r>
              <w:rPr/>
              <w:t>None</w:t>
            </w:r>
          </w:p>
        </w:tc>
      </w:tr>
      <w:tr>
        <w:trPr>
          <w:trHeight w:val="120" w:hRule="atLeast"/>
        </w:trPr>
        <w:tc>
          <w:tcPr>
            <w:tcW w:w="1736" w:type="dxa"/>
            <w:tcBorders/>
            <w:vAlign w:val="center"/>
          </w:tcPr>
          <w:p>
            <w:pPr>
              <w:pStyle w:val="TableContents"/>
              <w:bidi w:val="0"/>
              <w:spacing w:before="0" w:after="283"/>
              <w:jc w:val="left"/>
              <w:rPr>
                <w:sz w:val="4"/>
                <w:szCs w:val="4"/>
              </w:rPr>
            </w:pPr>
            <w:r>
              <w:rPr>
                <w:sz w:val="4"/>
                <w:szCs w:val="4"/>
              </w:rPr>
            </w:r>
          </w:p>
        </w:tc>
        <w:tc>
          <w:tcPr>
            <w:tcW w:w="8469" w:type="dxa"/>
            <w:gridSpan w:val="2"/>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i/>
              </w:rPr>
            </w:pPr>
            <w:r>
              <w:rPr>
                <w:i/>
              </w:rPr>
              <w:t>Sinking Fund:</w:t>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283"/>
              <w:jc w:val="left"/>
              <w:rPr/>
            </w:pPr>
            <w:r>
              <w:rPr/>
              <w:t>None</w:t>
            </w:r>
          </w:p>
        </w:tc>
      </w:tr>
      <w:tr>
        <w:trPr>
          <w:trHeight w:val="120" w:hRule="atLeast"/>
        </w:trPr>
        <w:tc>
          <w:tcPr>
            <w:tcW w:w="1736" w:type="dxa"/>
            <w:tcBorders/>
            <w:vAlign w:val="center"/>
          </w:tcPr>
          <w:p>
            <w:pPr>
              <w:pStyle w:val="TableContents"/>
              <w:bidi w:val="0"/>
              <w:spacing w:before="0" w:after="283"/>
              <w:jc w:val="left"/>
              <w:rPr>
                <w:sz w:val="4"/>
                <w:szCs w:val="4"/>
              </w:rPr>
            </w:pPr>
            <w:r>
              <w:rPr>
                <w:sz w:val="4"/>
                <w:szCs w:val="4"/>
              </w:rPr>
            </w:r>
          </w:p>
        </w:tc>
        <w:tc>
          <w:tcPr>
            <w:tcW w:w="8469" w:type="dxa"/>
            <w:gridSpan w:val="2"/>
            <w:tcBorders/>
            <w:vAlign w:val="center"/>
          </w:tcPr>
          <w:p>
            <w:pPr>
              <w:pStyle w:val="TableContents"/>
              <w:bidi w:val="0"/>
              <w:spacing w:before="0" w:after="283"/>
              <w:jc w:val="left"/>
              <w:rPr>
                <w:sz w:val="4"/>
                <w:szCs w:val="4"/>
              </w:rPr>
            </w:pPr>
            <w:r>
              <w:rPr>
                <w:sz w:val="4"/>
                <w:szCs w:val="4"/>
              </w:rPr>
            </w:r>
          </w:p>
        </w:tc>
      </w:tr>
      <w:tr>
        <w:trPr/>
        <w:tc>
          <w:tcPr>
            <w:tcW w:w="1736" w:type="dxa"/>
            <w:tcBorders/>
          </w:tcPr>
          <w:p>
            <w:pPr>
              <w:pStyle w:val="TableContents"/>
              <w:bidi w:val="0"/>
              <w:spacing w:before="0" w:after="283"/>
              <w:jc w:val="left"/>
              <w:rPr>
                <w:i/>
              </w:rPr>
            </w:pPr>
            <w:r>
              <w:rPr>
                <w:i/>
              </w:rPr>
              <w:t>Miscellaneous:</w:t>
            </w:r>
          </w:p>
        </w:tc>
        <w:tc>
          <w:tcPr>
            <w:tcW w:w="121" w:type="dxa"/>
            <w:tcBorders/>
            <w:vAlign w:val="bottom"/>
          </w:tcPr>
          <w:p>
            <w:pPr>
              <w:pStyle w:val="TableContents"/>
              <w:bidi w:val="0"/>
              <w:spacing w:before="0" w:after="283"/>
              <w:jc w:val="left"/>
              <w:rPr/>
            </w:pPr>
            <w:r>
              <w:rPr/>
              <w:t>  </w:t>
            </w:r>
          </w:p>
        </w:tc>
        <w:tc>
          <w:tcPr>
            <w:tcW w:w="8348" w:type="dxa"/>
            <w:tcBorders/>
          </w:tcPr>
          <w:p>
            <w:pPr>
              <w:pStyle w:val="TableContents"/>
              <w:bidi w:val="0"/>
              <w:spacing w:before="0" w:after="283"/>
              <w:jc w:val="left"/>
              <w:rPr/>
            </w:pPr>
            <w:r>
              <w:rPr/>
              <w:t xml:space="preserve">The terms of the 2055 Notes shall include such other terms as are set forth in the Form of Note due 2055 attached hereto as </w:t>
            </w:r>
            <w:r>
              <w:rPr>
                <w:b/>
                <w:u w:val="single"/>
              </w:rPr>
              <w:t>Exhibit C</w:t>
            </w: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undersigned officers of the Company have duly executed this certificate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6"/>
        <w:gridCol w:w="60"/>
        <w:gridCol w:w="664"/>
        <w:gridCol w:w="60"/>
        <w:gridCol w:w="2932"/>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32" w:type="dxa"/>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gridSpan w:val="3"/>
            <w:tcBorders>
              <w:bottom w:val="single" w:sz="2" w:space="0" w:color="000000"/>
            </w:tcBorders>
            <w:tcMar>
              <w:bottom w:w="28" w:type="dxa"/>
            </w:tcMar>
          </w:tcPr>
          <w:p>
            <w:pPr>
              <w:pStyle w:val="TableContents"/>
              <w:bidi w:val="0"/>
              <w:spacing w:before="0" w:after="283"/>
              <w:jc w:val="left"/>
              <w:rPr/>
            </w:pPr>
            <w:r>
              <w:rPr/>
              <w:t>/s/ Elizabeth Wideman</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2" w:type="dxa"/>
            <w:tcBorders/>
          </w:tcPr>
          <w:p>
            <w:pPr>
              <w:pStyle w:val="TableContents"/>
              <w:bidi w:val="0"/>
              <w:spacing w:before="0" w:after="283"/>
              <w:jc w:val="left"/>
              <w:rPr/>
            </w:pPr>
            <w:r>
              <w:rPr/>
              <w:t>Elizabeth Wideman</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2" w:type="dxa"/>
            <w:tcBorders/>
          </w:tcPr>
          <w:p>
            <w:pPr>
              <w:pStyle w:val="TableContents"/>
              <w:bidi w:val="0"/>
              <w:spacing w:before="0" w:after="283"/>
              <w:jc w:val="left"/>
              <w:rPr/>
            </w:pPr>
            <w:r>
              <w:rPr/>
              <w:t>Senior Vice President, Senior Deputy General Counsel and Assistant Secretary</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gridSpan w:val="3"/>
            <w:tcBorders>
              <w:bottom w:val="single" w:sz="2" w:space="0" w:color="000000"/>
            </w:tcBorders>
            <w:tcMar>
              <w:bottom w:w="28" w:type="dxa"/>
            </w:tcMar>
          </w:tcPr>
          <w:p>
            <w:pPr>
              <w:pStyle w:val="TableContents"/>
              <w:bidi w:val="0"/>
              <w:spacing w:before="0" w:after="283"/>
              <w:jc w:val="left"/>
              <w:rPr/>
            </w:pPr>
            <w:r>
              <w:rPr/>
              <w:t>/s/ James P. McCue</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32" w:type="dxa"/>
            <w:tcBorders/>
          </w:tcPr>
          <w:p>
            <w:pPr>
              <w:pStyle w:val="TableContents"/>
              <w:bidi w:val="0"/>
              <w:spacing w:before="0" w:after="283"/>
              <w:jc w:val="left"/>
              <w:rPr/>
            </w:pPr>
            <w:r>
              <w:rPr/>
              <w:t>James P. McCue</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32" w:type="dxa"/>
            <w:tcBorders/>
          </w:tcPr>
          <w:p>
            <w:pPr>
              <w:pStyle w:val="TableContents"/>
              <w:bidi w:val="0"/>
              <w:spacing w:before="0" w:after="283"/>
              <w:jc w:val="left"/>
              <w:rPr/>
            </w:pPr>
            <w:r>
              <w:rPr/>
              <w:t>Vice President and Assistant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Officers Certificate Pursuant to the Indenture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hAnsi="Times New Roman"/>
          <w:b/>
          <w:sz w:val="20"/>
        </w:rPr>
        <w:t>DTC</w:t>
      </w:r>
      <w:r>
        <w:rPr>
          <w:rFonts w:ascii="Times New Roman" w:hAnsi="Times New Roman"/>
          <w:sz w:val="20"/>
        </w:rPr>
        <w:t xml:space="preserve">),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COMCAST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4.950% Note due 2032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2"/>
        <w:gridCol w:w="120"/>
        <w:gridCol w:w="4923"/>
      </w:tblGrid>
      <w:tr>
        <w:trPr/>
        <w:tc>
          <w:tcPr>
            <w:tcW w:w="51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left"/>
              <w:rPr>
                <w:sz w:val="4"/>
                <w:szCs w:val="4"/>
              </w:rPr>
            </w:pPr>
            <w:r>
              <w:rPr>
                <w:sz w:val="4"/>
                <w:szCs w:val="4"/>
              </w:rPr>
            </w:r>
          </w:p>
        </w:tc>
      </w:tr>
      <w:tr>
        <w:trPr/>
        <w:tc>
          <w:tcPr>
            <w:tcW w:w="5162" w:type="dxa"/>
            <w:tcBorders/>
            <w:vAlign w:val="bottom"/>
          </w:tcPr>
          <w:p>
            <w:pPr>
              <w:pStyle w:val="TableContents"/>
              <w:bidi w:val="0"/>
              <w:spacing w:before="0" w:after="283"/>
              <w:jc w:val="left"/>
              <w:rPr/>
            </w:pPr>
            <w:r>
              <w:rPr/>
              <w:t>No. [ ]</w:t>
            </w:r>
          </w:p>
        </w:tc>
        <w:tc>
          <w:tcPr>
            <w:tcW w:w="120" w:type="dxa"/>
            <w:tcBorders/>
            <w:vAlign w:val="bottom"/>
          </w:tcPr>
          <w:p>
            <w:pPr>
              <w:pStyle w:val="TableContents"/>
              <w:bidi w:val="0"/>
              <w:spacing w:before="0" w:after="283"/>
              <w:jc w:val="left"/>
              <w:rPr/>
            </w:pPr>
            <w:r>
              <w:rPr/>
              <w:t>  </w:t>
            </w:r>
          </w:p>
        </w:tc>
        <w:tc>
          <w:tcPr>
            <w:tcW w:w="4923" w:type="dxa"/>
            <w:tcBorders/>
            <w:vAlign w:val="bottom"/>
          </w:tcPr>
          <w:p>
            <w:pPr>
              <w:pStyle w:val="TableContents"/>
              <w:bidi w:val="0"/>
              <w:spacing w:before="0" w:after="283"/>
              <w:jc w:val="right"/>
              <w:rPr/>
            </w:pPr>
            <w:r>
              <w:rPr/>
              <w:t>CUSIP No.: 20030N ER8</w:t>
            </w:r>
          </w:p>
        </w:tc>
      </w:tr>
    </w:tbl>
    <w:p>
      <w:pPr>
        <w:pStyle w:val="TextBody"/>
        <w:bidi w:val="0"/>
        <w:spacing w:before="0" w:after="0"/>
        <w:jc w:val="right"/>
        <w:rPr>
          <w:rFonts w:ascii="Times New Roman" w:hAnsi="Times New Roman"/>
          <w:sz w:val="20"/>
        </w:rPr>
      </w:pPr>
      <w:r>
        <w:rPr>
          <w:rFonts w:ascii="Times New Roman" w:hAnsi="Times New Roman"/>
          <w:sz w:val="20"/>
        </w:rPr>
        <w:t xml:space="preserve">ISIN No.: US20030NER89 </w:t>
      </w:r>
    </w:p>
    <w:p>
      <w:pPr>
        <w:pStyle w:val="TextBody"/>
        <w:bidi w:val="0"/>
        <w:spacing w:before="240" w:after="0"/>
        <w:jc w:val="left"/>
        <w:rPr>
          <w:rFonts w:ascii="Times New Roman" w:hAnsi="Times New Roman"/>
          <w:sz w:val="20"/>
        </w:rPr>
      </w:pP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COMCAST CORPORATION, a Pennsylvania corporation (the </w:t>
      </w:r>
      <w:r>
        <w:rPr>
          <w:rFonts w:ascii="Times New Roman" w:hAnsi="Times New Roman"/>
          <w:b/>
          <w:sz w:val="20"/>
        </w:rPr>
        <w:t>Issuer</w:t>
      </w:r>
      <w:r>
        <w:rPr>
          <w:rFonts w:ascii="Times New Roman" w:hAnsi="Times New Roman"/>
          <w:sz w:val="20"/>
        </w:rPr>
        <w:t xml:space="preserve">, which term includes any successor corporation), for value received promises to pay to CEDE &amp; CO. or registered assigns, the principal sum of $[ ] ([ ]) on May 15, 2032. </w:t>
      </w:r>
    </w:p>
    <w:p>
      <w:pPr>
        <w:pStyle w:val="TextBody"/>
        <w:bidi w:val="0"/>
        <w:spacing w:before="240" w:after="0"/>
        <w:jc w:val="left"/>
        <w:rPr>
          <w:rFonts w:ascii="Times New Roman" w:hAnsi="Times New Roman"/>
          <w:sz w:val="20"/>
        </w:rPr>
      </w:pPr>
      <w:r>
        <w:rPr>
          <w:rFonts w:ascii="Times New Roman" w:hAnsi="Times New Roman"/>
          <w:sz w:val="20"/>
        </w:rPr>
        <w:t>Interest Payment Dates: May 15 and November 15 (each, an </w:t>
      </w:r>
      <w:r>
        <w:rPr>
          <w:rFonts w:ascii="Times New Roman" w:hAnsi="Times New Roman"/>
          <w:b/>
          <w:sz w:val="20"/>
        </w:rPr>
        <w:t>Interest Payment Date</w:t>
      </w:r>
      <w:r>
        <w:rPr>
          <w:rFonts w:ascii="Times New Roman" w:hAnsi="Times New Roman"/>
          <w:sz w:val="20"/>
        </w:rPr>
        <w:t xml:space="preserve">), commencing on November 15, 2025. </w:t>
      </w:r>
    </w:p>
    <w:p>
      <w:pPr>
        <w:pStyle w:val="TextBody"/>
        <w:bidi w:val="0"/>
        <w:spacing w:before="240" w:after="0"/>
        <w:jc w:val="left"/>
        <w:rPr>
          <w:rFonts w:ascii="Times New Roman" w:hAnsi="Times New Roman"/>
          <w:sz w:val="20"/>
        </w:rPr>
      </w:pPr>
      <w:r>
        <w:rPr>
          <w:rFonts w:ascii="Times New Roman" w:hAnsi="Times New Roman"/>
          <w:sz w:val="20"/>
        </w:rPr>
        <w:t>Interest Record Dates: May 1 and November 1 (each, an </w:t>
      </w:r>
      <w:r>
        <w:rPr>
          <w:rFonts w:ascii="Times New Roman" w:hAnsi="Times New Roman"/>
          <w:b/>
          <w:sz w:val="20"/>
        </w:rPr>
        <w:t>Interest 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Security contained herein, which will for all purposes have the same effect as if set forth at this place.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Security to be signed manually or by facsimile by its duly authorized officer under its corporate seal.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84"/>
        <w:gridCol w:w="263"/>
        <w:gridCol w:w="2435"/>
      </w:tblGrid>
      <w:tr>
        <w:trPr/>
        <w:tc>
          <w:tcPr>
            <w:tcW w:w="1384"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COMCAST CORPORATION</w:t>
            </w:r>
          </w:p>
        </w:tc>
      </w:tr>
      <w:tr>
        <w:trPr>
          <w:trHeight w:val="240" w:hRule="atLeast"/>
        </w:trPr>
        <w:tc>
          <w:tcPr>
            <w:tcW w:w="1384" w:type="dxa"/>
            <w:tcBorders/>
            <w:vAlign w:val="center"/>
          </w:tcPr>
          <w:p>
            <w:pPr>
              <w:pStyle w:val="TableContents"/>
              <w:bidi w:val="0"/>
              <w:spacing w:before="0" w:after="283"/>
              <w:jc w:val="left"/>
              <w:rPr>
                <w:sz w:val="4"/>
                <w:szCs w:val="4"/>
              </w:rPr>
            </w:pPr>
            <w:r>
              <w:rPr>
                <w:sz w:val="4"/>
                <w:szCs w:val="4"/>
              </w:rPr>
            </w:r>
          </w:p>
        </w:tc>
        <w:tc>
          <w:tcPr>
            <w:tcW w:w="2698" w:type="dxa"/>
            <w:gridSpan w:val="2"/>
            <w:tcBorders/>
            <w:vAlign w:val="center"/>
          </w:tcPr>
          <w:p>
            <w:pPr>
              <w:pStyle w:val="TableContents"/>
              <w:bidi w:val="0"/>
              <w:spacing w:before="0" w:after="283"/>
              <w:jc w:val="left"/>
              <w:rPr>
                <w:sz w:val="4"/>
                <w:szCs w:val="4"/>
              </w:rPr>
            </w:pPr>
            <w:r>
              <w:rPr>
                <w:sz w:val="4"/>
                <w:szCs w:val="4"/>
              </w:rPr>
            </w:r>
          </w:p>
        </w:tc>
      </w:tr>
      <w:tr>
        <w:trPr/>
        <w:tc>
          <w:tcPr>
            <w:tcW w:w="1384" w:type="dxa"/>
            <w:tcBorders/>
          </w:tcPr>
          <w:p>
            <w:pPr>
              <w:pStyle w:val="TableContents"/>
              <w:bidi w:val="0"/>
              <w:spacing w:before="0" w:after="283"/>
              <w:jc w:val="left"/>
              <w:rPr/>
            </w:pPr>
            <w:r>
              <w:rPr/>
              <w:t>By:</w:t>
            </w:r>
          </w:p>
        </w:tc>
        <w:tc>
          <w:tcPr>
            <w:tcW w:w="263"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 James P. McCue</w:t>
            </w:r>
          </w:p>
        </w:tc>
      </w:tr>
      <w:tr>
        <w:trPr/>
        <w:tc>
          <w:tcPr>
            <w:tcW w:w="4082" w:type="dxa"/>
            <w:gridSpan w:val="3"/>
            <w:tcBorders/>
            <w:vAlign w:val="bottom"/>
          </w:tcPr>
          <w:p>
            <w:pPr>
              <w:pStyle w:val="TableContents"/>
              <w:bidi w:val="0"/>
              <w:spacing w:before="0" w:after="283"/>
              <w:jc w:val="left"/>
              <w:rPr/>
            </w:pPr>
            <w:r>
              <w:rPr/>
              <w:t>Title:  Vice President and Assistant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6"/>
        <w:gridCol w:w="60"/>
        <w:gridCol w:w="695"/>
        <w:gridCol w:w="60"/>
        <w:gridCol w:w="2901"/>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[Seal of Comcast Corporation]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Attest:</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1" w:type="dxa"/>
            <w:tcBorders/>
          </w:tcPr>
          <w:p>
            <w:pPr>
              <w:pStyle w:val="TableContents"/>
              <w:bidi w:val="0"/>
              <w:spacing w:before="0" w:after="283"/>
              <w:jc w:val="left"/>
              <w:rPr/>
            </w:pPr>
            <w:r>
              <w:rPr/>
              <w:t>Elizabeth Wideman</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1" w:type="dxa"/>
            <w:tcBorders/>
          </w:tcPr>
          <w:p>
            <w:pPr>
              <w:pStyle w:val="TableContents"/>
              <w:bidi w:val="0"/>
              <w:spacing w:before="0" w:after="283"/>
              <w:jc w:val="left"/>
              <w:rPr/>
            </w:pPr>
            <w:r>
              <w:rPr/>
              <w:t>Senior Vice President, Senior Deputy General Counsel and Assistant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Note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series designated herein and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May 8,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as Trustee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Note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120" w:after="0"/>
        <w:jc w:val="center"/>
        <w:rPr>
          <w:rFonts w:ascii="Times New Roman" w:hAnsi="Times New Roman"/>
          <w:sz w:val="20"/>
        </w:rPr>
      </w:pPr>
      <w:r>
        <w:rPr>
          <w:rFonts w:ascii="Times New Roman" w:hAnsi="Times New Roman"/>
          <w:sz w:val="20"/>
        </w:rPr>
        <w:t xml:space="preserve">COMCAST CORPORATION </w:t>
      </w:r>
    </w:p>
    <w:p>
      <w:pPr>
        <w:pStyle w:val="TextBody"/>
        <w:bidi w:val="0"/>
        <w:spacing w:before="120" w:after="0"/>
        <w:jc w:val="center"/>
        <w:rPr>
          <w:rFonts w:ascii="Times New Roman" w:hAnsi="Times New Roman"/>
          <w:sz w:val="20"/>
        </w:rPr>
      </w:pPr>
      <w:r>
        <w:rPr>
          <w:rFonts w:ascii="Times New Roman" w:hAnsi="Times New Roman"/>
          <w:sz w:val="20"/>
        </w:rPr>
        <w:t xml:space="preserve">4.950% Note due 2032 </w:t>
      </w:r>
    </w:p>
    <w:p>
      <w:pPr>
        <w:pStyle w:val="TextBody"/>
        <w:bidi w:val="0"/>
        <w:spacing w:before="240" w:after="0"/>
        <w:jc w:val="left"/>
        <w:rPr>
          <w:rFonts w:ascii="Times New Roman" w:hAnsi="Times New Roman"/>
          <w:sz w:val="20"/>
        </w:rPr>
      </w:pPr>
      <w:r>
        <w:rPr>
          <w:rFonts w:ascii="Times New Roman" w:hAnsi="Times New Roman"/>
          <w:sz w:val="20"/>
        </w:rPr>
        <w:t xml:space="preserve">1. Interest. </w:t>
      </w:r>
    </w:p>
    <w:p>
      <w:pPr>
        <w:pStyle w:val="TextBody"/>
        <w:bidi w:val="0"/>
        <w:spacing w:before="240" w:after="0"/>
        <w:jc w:val="left"/>
        <w:rPr>
          <w:rFonts w:ascii="Times New Roman" w:hAnsi="Times New Roman"/>
          <w:sz w:val="20"/>
        </w:rPr>
      </w:pPr>
      <w:r>
        <w:rPr>
          <w:rFonts w:ascii="Times New Roman" w:hAnsi="Times New Roman"/>
          <w:sz w:val="20"/>
        </w:rPr>
        <w:t>COMCAST CORPORATION, a Pennsylvania corporation (the </w:t>
      </w:r>
      <w:r>
        <w:rPr>
          <w:rFonts w:ascii="Times New Roman" w:hAnsi="Times New Roman"/>
          <w:b/>
          <w:sz w:val="20"/>
        </w:rPr>
        <w:t>Issuer</w:t>
      </w:r>
      <w:r>
        <w:rPr>
          <w:rFonts w:ascii="Times New Roman" w:hAnsi="Times New Roman"/>
          <w:sz w:val="20"/>
        </w:rPr>
        <w:t xml:space="preserve">), promises to pay interest on the principal amount of this Security at the rate per annum shown above. Cash interest on the Securities will accrue from the most recent date to which interest has been paid or, if no interest has been paid, from May 8, 2025. The Issuer will pay interest semi-annually in arrears on each Interest Payment Date, commencing November 15, 2025.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pay interest on overdue principal from time to time on demand at the rate borne by the Securities and on overdue installments of interest (without regard to any applicable grace periods) to the extent lawful. </w:t>
      </w:r>
    </w:p>
    <w:p>
      <w:pPr>
        <w:pStyle w:val="TextBody"/>
        <w:bidi w:val="0"/>
        <w:spacing w:before="240" w:after="0"/>
        <w:jc w:val="left"/>
        <w:rPr>
          <w:rFonts w:ascii="Times New Roman" w:hAnsi="Times New Roman"/>
          <w:sz w:val="20"/>
        </w:rPr>
      </w:pPr>
      <w:r>
        <w:rPr>
          <w:rFonts w:ascii="Times New Roman" w:hAnsi="Times New Roman"/>
          <w:sz w:val="20"/>
        </w:rPr>
        <w:t xml:space="preserve">2. Method of Payment. </w:t>
      </w:r>
    </w:p>
    <w:p>
      <w:pPr>
        <w:pStyle w:val="TextBody"/>
        <w:bidi w:val="0"/>
        <w:spacing w:before="240" w:after="0"/>
        <w:jc w:val="left"/>
        <w:rPr>
          <w:rFonts w:ascii="Times New Roman" w:hAnsi="Times New Roman"/>
          <w:sz w:val="20"/>
        </w:rPr>
      </w:pPr>
      <w:r>
        <w:rPr>
          <w:rFonts w:ascii="Times New Roman" w:hAnsi="Times New Roman"/>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hAnsi="Times New Roman"/>
          <w:b/>
          <w:sz w:val="20"/>
        </w:rPr>
        <w:t>Trustee</w:t>
      </w:r>
      <w:r>
        <w:rPr>
          <w:rFonts w:ascii="Times New Roman" w:hAnsi="Times New Roman"/>
          <w:sz w:val="20"/>
        </w:rPr>
        <w:t>) to collect principal payments. The Issuer shall pay principal and interest in money of the United States that at the time of payment is legal tender for payment of public and private debts (</w:t>
      </w:r>
      <w:r>
        <w:rPr>
          <w:rFonts w:ascii="Times New Roman" w:hAnsi="Times New Roman"/>
          <w:b/>
          <w:sz w:val="20"/>
        </w:rPr>
        <w:t>U.S. Legal Tender</w:t>
      </w:r>
      <w:r>
        <w:rPr>
          <w:rFonts w:ascii="Times New Roman" w:hAnsi="Times New Roman"/>
          <w:sz w:val="20"/>
        </w:rPr>
        <w:t xml:space="preserve">).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w:t>
      </w:r>
    </w:p>
    <w:p>
      <w:pPr>
        <w:pStyle w:val="TextBody"/>
        <w:bidi w:val="0"/>
        <w:spacing w:before="240" w:after="0"/>
        <w:jc w:val="left"/>
        <w:rPr>
          <w:rFonts w:ascii="Times New Roman" w:hAnsi="Times New Roman"/>
          <w:sz w:val="20"/>
        </w:rPr>
      </w:pPr>
      <w:r>
        <w:rPr>
          <w:rFonts w:ascii="Times New Roman" w:hAnsi="Times New Roman"/>
          <w:sz w:val="20"/>
        </w:rPr>
        <w:t xml:space="preserve">3. Paying Agent. </w:t>
      </w:r>
    </w:p>
    <w:p>
      <w:pPr>
        <w:pStyle w:val="TextBody"/>
        <w:bidi w:val="0"/>
        <w:spacing w:before="240" w:after="0"/>
        <w:jc w:val="left"/>
        <w:rPr>
          <w:rFonts w:ascii="Times New Roman" w:hAnsi="Times New Roman"/>
          <w:sz w:val="20"/>
        </w:rPr>
      </w:pPr>
      <w:r>
        <w:rPr>
          <w:rFonts w:ascii="Times New Roman" w:hAnsi="Times New Roman"/>
          <w:sz w:val="20"/>
        </w:rPr>
        <w:t xml:space="preserve">Initially, the Trustee will act as Paying Agent. The Issuer may change any Paying Agent without notice to the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Indenture. </w:t>
      </w:r>
    </w:p>
    <w:p>
      <w:pPr>
        <w:pStyle w:val="TextBody"/>
        <w:bidi w:val="0"/>
        <w:spacing w:before="240" w:after="0"/>
        <w:jc w:val="left"/>
        <w:rPr>
          <w:rFonts w:ascii="Times New Roman" w:hAnsi="Times New Roman"/>
          <w:sz w:val="20"/>
        </w:rPr>
      </w:pPr>
      <w:r>
        <w:rPr>
          <w:rFonts w:ascii="Times New Roman" w:hAnsi="Times New Roman"/>
          <w:sz w:val="20"/>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 w:hAnsi="Times New Roman"/>
          <w:b/>
          <w:sz w:val="20"/>
        </w:rPr>
        <w:t>Guarantors</w:t>
      </w:r>
      <w:r>
        <w:rPr>
          <w:rFonts w:ascii="Times New Roman" w:hAnsi="Times New Roman"/>
          <w:sz w:val="20"/>
        </w:rPr>
        <w:t>) and the Trustee, and as further amended by the Second Supplemental Indenture dated as of July 29, 2022, by and among the Issuer, the Guarantors and the Trustee (as amended, the </w:t>
      </w:r>
      <w:r>
        <w:rPr>
          <w:rFonts w:ascii="Times New Roman" w:hAnsi="Times New Roman"/>
          <w:b/>
          <w:sz w:val="20"/>
        </w:rPr>
        <w:t>Indenture</w:t>
      </w:r>
      <w:r>
        <w:rPr>
          <w:rFonts w:ascii="Times New Roman" w:hAnsi="Times New Roman"/>
          <w:sz w:val="20"/>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 w:hAnsi="Times New Roman"/>
          <w:b/>
          <w:sz w:val="20"/>
        </w:rPr>
        <w:t>TIA</w:t>
      </w:r>
      <w:r>
        <w:rPr>
          <w:rFonts w:ascii="Times New Roman" w:hAnsi="Times New Roman"/>
          <w:sz w:val="20"/>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 w:hAnsi="Times New Roman"/>
          <w:b/>
          <w:sz w:val="20"/>
        </w:rPr>
        <w:t>Security</w:t>
      </w:r>
      <w:r>
        <w:rPr>
          <w:rFonts w:ascii="Times New Roman" w:hAnsi="Times New Roman"/>
          <w:sz w:val="20"/>
        </w:rPr>
        <w:t> and the notes are </w:t>
      </w:r>
      <w:r>
        <w:rPr>
          <w:rFonts w:ascii="Times New Roman" w:hAnsi="Times New Roman"/>
          <w:b/>
          <w:sz w:val="20"/>
        </w:rPr>
        <w:t>Securities</w:t>
      </w:r>
      <w:r>
        <w:rPr>
          <w:rFonts w:ascii="Times New Roman" w:hAnsi="Times New Roman"/>
          <w:sz w:val="20"/>
        </w:rPr>
        <w:t xml:space="preserve">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5. Guarantees.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6. Denominations; Transfer; Exchange.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7. Persons Deemed Owners.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a Security shall be treated as the owner of it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8. Unclaimed Funds. </w:t>
      </w:r>
    </w:p>
    <w:p>
      <w:pPr>
        <w:pStyle w:val="TextBody"/>
        <w:bidi w:val="0"/>
        <w:spacing w:before="240" w:after="0"/>
        <w:jc w:val="left"/>
        <w:rPr>
          <w:rFonts w:ascii="Times New Roman" w:hAnsi="Times New Roman"/>
          <w:sz w:val="20"/>
        </w:rPr>
      </w:pPr>
      <w:r>
        <w:rPr>
          <w:rFonts w:ascii="Times New Roman" w:hAnsi="Times New Roman"/>
          <w:sz w:val="20"/>
        </w:rPr>
        <w:t xml:space="preserve">If funds for the payment of principal or interest remain unclaimed for two years, the Trustee and the Paying Agent will repay the funds to the Issuer at its written request. After that, all liability of the Trustee and such Paying Agent with respect to such funds shall cease.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Legal Defeasance and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Amendment; Supplement; Waiver.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 </w:t>
      </w:r>
    </w:p>
    <w:p>
      <w:pPr>
        <w:pStyle w:val="TextBody"/>
        <w:bidi w:val="0"/>
        <w:spacing w:before="240" w:after="0"/>
        <w:jc w:val="left"/>
        <w:rPr>
          <w:rFonts w:ascii="Times New Roman" w:hAnsi="Times New Roman"/>
          <w:sz w:val="20"/>
        </w:rPr>
      </w:pPr>
      <w:r>
        <w:rPr>
          <w:rFonts w:ascii="Times New Roman" w:hAnsi="Times New Roman"/>
          <w:sz w:val="20"/>
        </w:rPr>
        <w:t xml:space="preserve">11. Restrictive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 </w:t>
      </w:r>
    </w:p>
    <w:p>
      <w:pPr>
        <w:pStyle w:val="TextBody"/>
        <w:bidi w:val="0"/>
        <w:spacing w:before="240" w:after="0"/>
        <w:jc w:val="left"/>
        <w:rPr>
          <w:rFonts w:ascii="Times New Roman" w:hAnsi="Times New Roman"/>
          <w:sz w:val="20"/>
        </w:rPr>
      </w:pPr>
      <w:r>
        <w:rPr>
          <w:rFonts w:ascii="Times New Roman" w:hAnsi="Times New Roman"/>
          <w:sz w:val="20"/>
        </w:rPr>
        <w:t xml:space="preserve">12. Redemption. </w:t>
      </w:r>
    </w:p>
    <w:p>
      <w:pPr>
        <w:pStyle w:val="TextBody"/>
        <w:bidi w:val="0"/>
        <w:spacing w:before="240" w:after="0"/>
        <w:jc w:val="left"/>
        <w:rPr>
          <w:rFonts w:ascii="Times New Roman" w:hAnsi="Times New Roman"/>
          <w:sz w:val="20"/>
        </w:rPr>
      </w:pPr>
      <w:r>
        <w:rPr>
          <w:rFonts w:ascii="Times New Roman" w:hAnsi="Times New Roman"/>
          <w:sz w:val="20"/>
        </w:rPr>
        <w:t>Prior to March 15, 2025 (two (2) months prior to the maturity date of the Securities) (the </w:t>
      </w:r>
      <w:r>
        <w:rPr>
          <w:rFonts w:ascii="Times New Roman" w:hAnsi="Times New Roman"/>
          <w:b/>
          <w:sz w:val="20"/>
        </w:rPr>
        <w:t>Par Call Date</w:t>
      </w:r>
      <w:r>
        <w:rPr>
          <w:rFonts w:ascii="Times New Roman" w:hAnsi="Times New Roman"/>
          <w:sz w:val="20"/>
        </w:rPr>
        <w:t xml:space="preserve">), the Issuer may redeem the Securities at its option, in whole or in part, at any time and from time to time, at a redemption price (expressed as a percentage of the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15 basis points, less (b) interest accrued to the date of redemption, and </w:t>
      </w:r>
    </w:p>
    <w:p>
      <w:pPr>
        <w:pStyle w:val="TextBody"/>
        <w:bidi w:val="0"/>
        <w:spacing w:before="240" w:after="0"/>
        <w:jc w:val="left"/>
        <w:rPr>
          <w:rFonts w:ascii="Times New Roman" w:hAnsi="Times New Roman"/>
          <w:sz w:val="20"/>
        </w:rPr>
      </w:pPr>
      <w:r>
        <w:rPr>
          <w:rFonts w:ascii="Times New Roman" w:hAnsi="Times New Roman"/>
          <w:sz w:val="20"/>
        </w:rPr>
        <w:t xml:space="preserve">(2) 100% of the principal amount of the Securities to be redeemed,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Issuer may redeem the Securities, in whole or in part, at any time and from time to time, at a redemption price equal to 100% of the principal amount of the Securities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Treasury Rate means, with respect to any redemption date, the yield determined by the Issuer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b/>
          <w:sz w:val="20"/>
        </w:rPr>
        <w:t>H.15 TCM</w:t>
      </w:r>
      <w:r>
        <w:rPr>
          <w:rFonts w:ascii="Times New Roman" w:hAnsi="Times New Roman"/>
          <w:sz w:val="20"/>
        </w:rPr>
        <w:t>). In determining the Treasury Rate, the Issuer shall select, as applicable: (1) the yield for the Treasury constant maturity on H.15 exactly equal to the period from the redemption date to the Par Call Date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Issuer defaults in payment of the redemption price, on and after the redemption date, interest will cease to accrue on the Securities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13. 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 </w:t>
      </w:r>
    </w:p>
    <w:p>
      <w:pPr>
        <w:pStyle w:val="TextBody"/>
        <w:bidi w:val="0"/>
        <w:spacing w:before="240" w:after="0"/>
        <w:jc w:val="left"/>
        <w:rPr>
          <w:rFonts w:ascii="Times New Roman" w:hAnsi="Times New Roman"/>
          <w:sz w:val="20"/>
        </w:rPr>
      </w:pPr>
      <w:r>
        <w:rPr>
          <w:rFonts w:ascii="Times New Roman" w:hAnsi="Times New Roman"/>
          <w:sz w:val="20"/>
        </w:rPr>
        <w:t xml:space="preserve">14. Trustee Dealings with Issuer. </w:t>
      </w:r>
    </w:p>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Securities and may otherwise deal with the Issuer as if it were not the Trustee.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No Recourse Against Others. </w:t>
      </w:r>
    </w:p>
    <w:p>
      <w:pPr>
        <w:pStyle w:val="TextBody"/>
        <w:bidi w:val="0"/>
        <w:spacing w:before="240" w:after="0"/>
        <w:jc w:val="left"/>
        <w:rPr>
          <w:rFonts w:ascii="Times New Roman" w:hAnsi="Times New Roman"/>
          <w:sz w:val="20"/>
        </w:rPr>
      </w:pPr>
      <w:r>
        <w:rPr>
          <w:rFonts w:ascii="Times New Roman" w:hAnsi="Times New Roman"/>
          <w:sz w:val="20"/>
        </w:rPr>
        <w:t xml:space="preserve">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16.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until the Trustee electronically or manually signs the certificate of authentication 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17. Abbreviations and Defined Terms. </w:t>
      </w:r>
    </w:p>
    <w:p>
      <w:pPr>
        <w:pStyle w:val="TextBody"/>
        <w:bidi w:val="0"/>
        <w:spacing w:before="240" w:after="0"/>
        <w:jc w:val="left"/>
        <w:rPr>
          <w:rFonts w:ascii="Times New Roman" w:hAnsi="Times New Roman"/>
          <w:sz w:val="20"/>
        </w:rPr>
      </w:pPr>
      <w:r>
        <w:rPr>
          <w:rFonts w:ascii="Times New Roman" w:hAnsi="Times New Roman"/>
          <w:sz w:val="20"/>
        </w:rPr>
        <w:t xml:space="preserve">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18. CUSIP Numbers.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 </w:t>
      </w:r>
    </w:p>
    <w:p>
      <w:pPr>
        <w:pStyle w:val="TextBody"/>
        <w:bidi w:val="0"/>
        <w:spacing w:before="240" w:after="0"/>
        <w:jc w:val="left"/>
        <w:rPr>
          <w:rFonts w:ascii="Times New Roman" w:hAnsi="Times New Roman"/>
          <w:sz w:val="20"/>
        </w:rPr>
      </w:pPr>
      <w:r>
        <w:rPr>
          <w:rFonts w:ascii="Times New Roman" w:hAnsi="Times New Roman"/>
          <w:sz w:val="20"/>
        </w:rPr>
        <w:t xml:space="preserve">19. Governing Law. </w:t>
      </w:r>
    </w:p>
    <w:p>
      <w:pPr>
        <w:pStyle w:val="TextBody"/>
        <w:bidi w:val="0"/>
        <w:spacing w:before="240" w:after="0"/>
        <w:jc w:val="left"/>
        <w:rPr>
          <w:rFonts w:ascii="Times New Roman" w:hAnsi="Times New Roman"/>
          <w:sz w:val="20"/>
        </w:rPr>
      </w:pPr>
      <w:r>
        <w:rPr>
          <w:rFonts w:ascii="Times New Roman" w:hAnsi="Times New Roman"/>
          <w:sz w:val="20"/>
        </w:rPr>
        <w:t xml:space="preserve">The laws of the State of New York shall govern the Indenture and this Security thereof.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and transfer this Security to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name, address and zip code of assignee or transferee)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Social Security or other identifying number of assignee or transferee)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appoint_________________________________________ agent to transfer this Security on the books of the Issuer. The agent may substitute another to act for him.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5"/>
        <w:gridCol w:w="108"/>
        <w:gridCol w:w="3919"/>
        <w:gridCol w:w="108"/>
        <w:gridCol w:w="394"/>
        <w:gridCol w:w="108"/>
        <w:gridCol w:w="710"/>
        <w:gridCol w:w="108"/>
        <w:gridCol w:w="4155"/>
      </w:tblGrid>
      <w:tr>
        <w:trPr/>
        <w:tc>
          <w:tcPr>
            <w:tcW w:w="59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155" w:type="dxa"/>
            <w:tcBorders/>
            <w:vAlign w:val="center"/>
          </w:tcPr>
          <w:p>
            <w:pPr>
              <w:pStyle w:val="TableContents"/>
              <w:bidi w:val="0"/>
              <w:spacing w:before="0" w:after="283"/>
              <w:jc w:val="left"/>
              <w:rPr>
                <w:sz w:val="4"/>
                <w:szCs w:val="4"/>
              </w:rPr>
            </w:pPr>
            <w:r>
              <w:rPr>
                <w:sz w:val="4"/>
                <w:szCs w:val="4"/>
              </w:rPr>
            </w:r>
          </w:p>
        </w:tc>
      </w:tr>
      <w:tr>
        <w:trPr/>
        <w:tc>
          <w:tcPr>
            <w:tcW w:w="595" w:type="dxa"/>
            <w:tcBorders/>
          </w:tcPr>
          <w:p>
            <w:pPr>
              <w:pStyle w:val="TableContents"/>
              <w:bidi w:val="0"/>
              <w:spacing w:before="0" w:after="283"/>
              <w:jc w:val="left"/>
              <w:rPr/>
            </w:pPr>
            <w:r>
              <w:rPr/>
              <w:t>Dated:</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3919" w:type="dxa"/>
            <w:tcBorders>
              <w:bottom w:val="single" w:sz="2" w:space="0" w:color="000000"/>
            </w:tcBorders>
            <w:tcMar>
              <w:bottom w:w="28" w:type="dxa"/>
            </w:tcMa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left"/>
              <w:rPr/>
            </w:pPr>
            <w:r>
              <w:rPr/>
              <w:t>Signed:</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155" w:type="dxa"/>
            <w:tcBorders>
              <w:bottom w:val="single" w:sz="2" w:space="0" w:color="000000"/>
            </w:tcBorders>
            <w:tcMar>
              <w:bottom w:w="28" w:type="dxa"/>
            </w:tcMar>
          </w:tcPr>
          <w:p>
            <w:pPr>
              <w:pStyle w:val="TableContents"/>
              <w:bidi w:val="0"/>
              <w:spacing w:before="0" w:after="283"/>
              <w:jc w:val="left"/>
              <w:rPr/>
            </w:pPr>
            <w:r>
              <w:rPr/>
              <w:t> </w:t>
            </w:r>
          </w:p>
        </w:tc>
      </w:tr>
      <w:tr>
        <w:trPr/>
        <w:tc>
          <w:tcPr>
            <w:tcW w:w="59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155" w:type="dxa"/>
            <w:tcBorders/>
          </w:tcPr>
          <w:p>
            <w:pPr>
              <w:pStyle w:val="TableContents"/>
              <w:bidi w:val="0"/>
              <w:spacing w:before="0" w:after="283"/>
              <w:jc w:val="left"/>
              <w:rPr/>
            </w:pPr>
            <w:r>
              <w:rPr/>
              <w:t>(Signed exactly as name appears on the other side of this Security)</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1955"/>
        <w:gridCol w:w="60"/>
        <w:gridCol w:w="4595"/>
      </w:tblGrid>
      <w:tr>
        <w:trPr/>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1955" w:type="dxa"/>
            <w:tcBorders/>
          </w:tcPr>
          <w:p>
            <w:pPr>
              <w:pStyle w:val="TableContents"/>
              <w:bidi w:val="0"/>
              <w:spacing w:before="0" w:after="283"/>
              <w:jc w:val="left"/>
              <w:rPr/>
            </w:pPr>
            <w:r>
              <w:rPr/>
              <w:t>Signature Guarantee: 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595" w:type="dxa"/>
            <w:tcBorders>
              <w:bottom w:val="single" w:sz="2" w:space="0" w:color="000000"/>
            </w:tcBorders>
            <w:tcMar>
              <w:bottom w:w="28" w:type="dxa"/>
            </w:tcMar>
          </w:tcPr>
          <w:p>
            <w:pPr>
              <w:pStyle w:val="TableContents"/>
              <w:bidi w:val="0"/>
              <w:spacing w:before="0" w:after="283"/>
              <w:jc w:val="left"/>
              <w:rPr/>
            </w:pPr>
            <w:r>
              <w:rPr/>
              <w:t> </w:t>
            </w:r>
          </w:p>
        </w:tc>
      </w:tr>
      <w:tr>
        <w:trPr/>
        <w:tc>
          <w:tcPr>
            <w:tcW w:w="19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Participant in a recognized Signature Guarantee</w:t>
            </w:r>
          </w:p>
        </w:tc>
      </w:tr>
      <w:tr>
        <w:trPr/>
        <w:tc>
          <w:tcPr>
            <w:tcW w:w="19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Medallion Program (or other signature guarantor</w:t>
            </w:r>
          </w:p>
        </w:tc>
      </w:tr>
      <w:tr>
        <w:trPr/>
        <w:tc>
          <w:tcPr>
            <w:tcW w:w="19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program reasonably acceptable to the Trustee)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hAnsi="Times New Roman"/>
          <w:b/>
          <w:sz w:val="20"/>
        </w:rPr>
        <w:t>DTC</w:t>
      </w:r>
      <w:r>
        <w:rPr>
          <w:rFonts w:ascii="Times New Roman" w:hAnsi="Times New Roman"/>
          <w:sz w:val="20"/>
        </w:rPr>
        <w:t xml:space="preserve">),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COMCAST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5.300% Note due 2035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46"/>
        <w:gridCol w:w="124"/>
        <w:gridCol w:w="4935"/>
      </w:tblGrid>
      <w:tr>
        <w:trPr/>
        <w:tc>
          <w:tcPr>
            <w:tcW w:w="514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4935" w:type="dxa"/>
            <w:tcBorders/>
            <w:vAlign w:val="center"/>
          </w:tcPr>
          <w:p>
            <w:pPr>
              <w:pStyle w:val="TableContents"/>
              <w:bidi w:val="0"/>
              <w:spacing w:before="0" w:after="283"/>
              <w:jc w:val="left"/>
              <w:rPr>
                <w:sz w:val="4"/>
                <w:szCs w:val="4"/>
              </w:rPr>
            </w:pPr>
            <w:r>
              <w:rPr>
                <w:sz w:val="4"/>
                <w:szCs w:val="4"/>
              </w:rPr>
            </w:r>
          </w:p>
        </w:tc>
      </w:tr>
      <w:tr>
        <w:trPr/>
        <w:tc>
          <w:tcPr>
            <w:tcW w:w="5146" w:type="dxa"/>
            <w:tcBorders/>
            <w:vAlign w:val="bottom"/>
          </w:tcPr>
          <w:p>
            <w:pPr>
              <w:pStyle w:val="TableContents"/>
              <w:bidi w:val="0"/>
              <w:spacing w:before="0" w:after="283"/>
              <w:jc w:val="left"/>
              <w:rPr>
                <w:sz w:val="20"/>
              </w:rPr>
            </w:pPr>
            <w:r>
              <w:rPr>
                <w:sz w:val="20"/>
              </w:rPr>
              <w:t>No. [ ]</w:t>
            </w:r>
          </w:p>
        </w:tc>
        <w:tc>
          <w:tcPr>
            <w:tcW w:w="124" w:type="dxa"/>
            <w:tcBorders/>
            <w:vAlign w:val="bottom"/>
          </w:tcPr>
          <w:p>
            <w:pPr>
              <w:pStyle w:val="TableContents"/>
              <w:bidi w:val="0"/>
              <w:spacing w:before="0" w:after="283"/>
              <w:jc w:val="left"/>
              <w:rPr/>
            </w:pPr>
            <w:r>
              <w:rPr/>
              <w:t>  </w:t>
            </w:r>
          </w:p>
        </w:tc>
        <w:tc>
          <w:tcPr>
            <w:tcW w:w="4935" w:type="dxa"/>
            <w:tcBorders/>
            <w:vAlign w:val="bottom"/>
          </w:tcPr>
          <w:p>
            <w:pPr>
              <w:pStyle w:val="TableContents"/>
              <w:bidi w:val="0"/>
              <w:spacing w:before="0" w:after="283"/>
              <w:jc w:val="right"/>
              <w:rPr/>
            </w:pPr>
            <w:r>
              <w:rPr/>
              <w:t>CUSIP No.: 20030N EP2</w:t>
            </w:r>
          </w:p>
        </w:tc>
      </w:tr>
    </w:tbl>
    <w:p>
      <w:pPr>
        <w:pStyle w:val="TextBody"/>
        <w:bidi w:val="0"/>
        <w:spacing w:before="0" w:after="0"/>
        <w:jc w:val="right"/>
        <w:rPr>
          <w:rFonts w:ascii="Times New Roman" w:hAnsi="Times New Roman"/>
          <w:sz w:val="20"/>
        </w:rPr>
      </w:pPr>
      <w:r>
        <w:rPr>
          <w:rFonts w:ascii="Times New Roman" w:hAnsi="Times New Roman"/>
          <w:sz w:val="20"/>
        </w:rPr>
        <w:t xml:space="preserve">ISIN No.: US20030NEP24 </w:t>
      </w:r>
    </w:p>
    <w:p>
      <w:pPr>
        <w:pStyle w:val="TextBody"/>
        <w:bidi w:val="0"/>
        <w:spacing w:before="240" w:after="0"/>
        <w:jc w:val="left"/>
        <w:rPr>
          <w:rFonts w:ascii="Times New Roman" w:hAnsi="Times New Roman"/>
          <w:sz w:val="20"/>
        </w:rPr>
      </w:pP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COMCAST CORPORATION, a Pennsylvania corporation (the </w:t>
      </w:r>
      <w:r>
        <w:rPr>
          <w:rFonts w:ascii="Times New Roman" w:hAnsi="Times New Roman"/>
          <w:b/>
          <w:sz w:val="20"/>
        </w:rPr>
        <w:t>Issuer</w:t>
      </w:r>
      <w:r>
        <w:rPr>
          <w:rFonts w:ascii="Times New Roman" w:hAnsi="Times New Roman"/>
          <w:sz w:val="20"/>
        </w:rPr>
        <w:t xml:space="preserve">, which term includes any successor corporation), for value received promises to pay to CEDE &amp; CO. or registered assigns, the principal sum of $[ ] ([ ]) on May 15, 2035. </w:t>
      </w:r>
    </w:p>
    <w:p>
      <w:pPr>
        <w:pStyle w:val="TextBody"/>
        <w:bidi w:val="0"/>
        <w:spacing w:before="240" w:after="0"/>
        <w:jc w:val="left"/>
        <w:rPr>
          <w:rFonts w:ascii="Times New Roman" w:hAnsi="Times New Roman"/>
          <w:sz w:val="20"/>
        </w:rPr>
      </w:pPr>
      <w:r>
        <w:rPr>
          <w:rFonts w:ascii="Times New Roman" w:hAnsi="Times New Roman"/>
          <w:sz w:val="20"/>
        </w:rPr>
        <w:t>Interest Payment Dates: May 15 and November 15 (each, an </w:t>
      </w:r>
      <w:r>
        <w:rPr>
          <w:rFonts w:ascii="Times New Roman" w:hAnsi="Times New Roman"/>
          <w:b/>
          <w:sz w:val="20"/>
        </w:rPr>
        <w:t>Interest Payment Date</w:t>
      </w:r>
      <w:r>
        <w:rPr>
          <w:rFonts w:ascii="Times New Roman" w:hAnsi="Times New Roman"/>
          <w:sz w:val="20"/>
        </w:rPr>
        <w:t xml:space="preserve">), commencing on November 15, 2025. </w:t>
      </w:r>
    </w:p>
    <w:p>
      <w:pPr>
        <w:pStyle w:val="TextBody"/>
        <w:bidi w:val="0"/>
        <w:spacing w:before="240" w:after="0"/>
        <w:jc w:val="left"/>
        <w:rPr>
          <w:rFonts w:ascii="Times New Roman" w:hAnsi="Times New Roman"/>
          <w:sz w:val="20"/>
        </w:rPr>
      </w:pPr>
      <w:r>
        <w:rPr>
          <w:rFonts w:ascii="Times New Roman" w:hAnsi="Times New Roman"/>
          <w:sz w:val="20"/>
        </w:rPr>
        <w:t>Interest Record Dates: May 1 and November 1 (each, an </w:t>
      </w:r>
      <w:r>
        <w:rPr>
          <w:rFonts w:ascii="Times New Roman" w:hAnsi="Times New Roman"/>
          <w:b/>
          <w:sz w:val="20"/>
        </w:rPr>
        <w:t>Interest 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Security contained herein, which will for all purposes have the same effect as if set forth at this place.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Security to be signed manually or by facsimile by its duly authorized officer under its corporate seal.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84"/>
        <w:gridCol w:w="263"/>
        <w:gridCol w:w="2435"/>
      </w:tblGrid>
      <w:tr>
        <w:trPr/>
        <w:tc>
          <w:tcPr>
            <w:tcW w:w="1384"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COMCAST CORPORATION</w:t>
            </w:r>
          </w:p>
        </w:tc>
      </w:tr>
      <w:tr>
        <w:trPr>
          <w:trHeight w:val="240" w:hRule="atLeast"/>
        </w:trPr>
        <w:tc>
          <w:tcPr>
            <w:tcW w:w="1384" w:type="dxa"/>
            <w:tcBorders/>
            <w:vAlign w:val="center"/>
          </w:tcPr>
          <w:p>
            <w:pPr>
              <w:pStyle w:val="TableContents"/>
              <w:bidi w:val="0"/>
              <w:spacing w:before="0" w:after="283"/>
              <w:jc w:val="left"/>
              <w:rPr>
                <w:sz w:val="4"/>
                <w:szCs w:val="4"/>
              </w:rPr>
            </w:pPr>
            <w:r>
              <w:rPr>
                <w:sz w:val="4"/>
                <w:szCs w:val="4"/>
              </w:rPr>
            </w:r>
          </w:p>
        </w:tc>
        <w:tc>
          <w:tcPr>
            <w:tcW w:w="2698" w:type="dxa"/>
            <w:gridSpan w:val="2"/>
            <w:tcBorders/>
            <w:vAlign w:val="center"/>
          </w:tcPr>
          <w:p>
            <w:pPr>
              <w:pStyle w:val="TableContents"/>
              <w:bidi w:val="0"/>
              <w:spacing w:before="0" w:after="283"/>
              <w:jc w:val="left"/>
              <w:rPr>
                <w:sz w:val="4"/>
                <w:szCs w:val="4"/>
              </w:rPr>
            </w:pPr>
            <w:r>
              <w:rPr>
                <w:sz w:val="4"/>
                <w:szCs w:val="4"/>
              </w:rPr>
            </w:r>
          </w:p>
        </w:tc>
      </w:tr>
      <w:tr>
        <w:trPr/>
        <w:tc>
          <w:tcPr>
            <w:tcW w:w="1384" w:type="dxa"/>
            <w:tcBorders/>
          </w:tcPr>
          <w:p>
            <w:pPr>
              <w:pStyle w:val="TableContents"/>
              <w:bidi w:val="0"/>
              <w:spacing w:before="0" w:after="283"/>
              <w:jc w:val="left"/>
              <w:rPr/>
            </w:pPr>
            <w:r>
              <w:rPr/>
              <w:t>By:</w:t>
            </w:r>
          </w:p>
        </w:tc>
        <w:tc>
          <w:tcPr>
            <w:tcW w:w="263"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 James P. McCue</w:t>
            </w:r>
          </w:p>
        </w:tc>
      </w:tr>
      <w:tr>
        <w:trPr/>
        <w:tc>
          <w:tcPr>
            <w:tcW w:w="4082" w:type="dxa"/>
            <w:gridSpan w:val="3"/>
            <w:tcBorders/>
            <w:vAlign w:val="bottom"/>
          </w:tcPr>
          <w:p>
            <w:pPr>
              <w:pStyle w:val="TableContents"/>
              <w:bidi w:val="0"/>
              <w:spacing w:before="0" w:after="283"/>
              <w:jc w:val="left"/>
              <w:rPr/>
            </w:pPr>
            <w:r>
              <w:rPr/>
              <w:t>Title:  Vice President and Assistant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6"/>
        <w:gridCol w:w="60"/>
        <w:gridCol w:w="695"/>
        <w:gridCol w:w="60"/>
        <w:gridCol w:w="2901"/>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[Seal of Comcast Corporation]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Attest:</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1" w:type="dxa"/>
            <w:tcBorders/>
          </w:tcPr>
          <w:p>
            <w:pPr>
              <w:pStyle w:val="TableContents"/>
              <w:bidi w:val="0"/>
              <w:spacing w:before="0" w:after="283"/>
              <w:jc w:val="left"/>
              <w:rPr/>
            </w:pPr>
            <w:r>
              <w:rPr/>
              <w:t>Elizabeth Wideman</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1" w:type="dxa"/>
            <w:tcBorders/>
          </w:tcPr>
          <w:p>
            <w:pPr>
              <w:pStyle w:val="TableContents"/>
              <w:bidi w:val="0"/>
              <w:spacing w:before="0" w:after="283"/>
              <w:jc w:val="left"/>
              <w:rPr/>
            </w:pPr>
            <w:r>
              <w:rPr/>
              <w:t>Senior Vice President, Senior Deputy General Counsel and Assistant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Note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series designated herein and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May 8,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as Trustee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Note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120" w:after="0"/>
        <w:jc w:val="center"/>
        <w:rPr>
          <w:rFonts w:ascii="Times New Roman" w:hAnsi="Times New Roman"/>
          <w:sz w:val="20"/>
        </w:rPr>
      </w:pPr>
      <w:r>
        <w:rPr>
          <w:rFonts w:ascii="Times New Roman" w:hAnsi="Times New Roman"/>
          <w:sz w:val="20"/>
        </w:rPr>
        <w:t xml:space="preserve">COMCAST CORPORATION </w:t>
      </w:r>
    </w:p>
    <w:p>
      <w:pPr>
        <w:pStyle w:val="TextBody"/>
        <w:bidi w:val="0"/>
        <w:spacing w:before="120" w:after="0"/>
        <w:jc w:val="center"/>
        <w:rPr>
          <w:rFonts w:ascii="Times New Roman" w:hAnsi="Times New Roman"/>
          <w:sz w:val="20"/>
        </w:rPr>
      </w:pPr>
      <w:r>
        <w:rPr>
          <w:rFonts w:ascii="Times New Roman" w:hAnsi="Times New Roman"/>
          <w:sz w:val="20"/>
        </w:rPr>
        <w:t xml:space="preserve">5.300% Note due 2035 </w:t>
      </w:r>
    </w:p>
    <w:p>
      <w:pPr>
        <w:pStyle w:val="TextBody"/>
        <w:bidi w:val="0"/>
        <w:spacing w:before="240" w:after="0"/>
        <w:jc w:val="left"/>
        <w:rPr>
          <w:rFonts w:ascii="Times New Roman" w:hAnsi="Times New Roman"/>
          <w:sz w:val="20"/>
        </w:rPr>
      </w:pPr>
      <w:r>
        <w:rPr>
          <w:rFonts w:ascii="Times New Roman" w:hAnsi="Times New Roman"/>
          <w:sz w:val="20"/>
        </w:rPr>
        <w:t xml:space="preserve">1. Interest. </w:t>
      </w:r>
    </w:p>
    <w:p>
      <w:pPr>
        <w:pStyle w:val="TextBody"/>
        <w:bidi w:val="0"/>
        <w:spacing w:before="240" w:after="0"/>
        <w:jc w:val="left"/>
        <w:rPr>
          <w:rFonts w:ascii="Times New Roman" w:hAnsi="Times New Roman"/>
          <w:sz w:val="20"/>
        </w:rPr>
      </w:pPr>
      <w:r>
        <w:rPr>
          <w:rFonts w:ascii="Times New Roman" w:hAnsi="Times New Roman"/>
          <w:sz w:val="20"/>
        </w:rPr>
        <w:t>COMCAST CORPORATION, a Pennsylvania corporation (the </w:t>
      </w:r>
      <w:r>
        <w:rPr>
          <w:rFonts w:ascii="Times New Roman" w:hAnsi="Times New Roman"/>
          <w:b/>
          <w:sz w:val="20"/>
        </w:rPr>
        <w:t>Issuer</w:t>
      </w:r>
      <w:r>
        <w:rPr>
          <w:rFonts w:ascii="Times New Roman" w:hAnsi="Times New Roman"/>
          <w:sz w:val="20"/>
        </w:rPr>
        <w:t xml:space="preserve">), promises to pay interest on the principal amount of this Security at the rate per annum shown above. Cash interest on the Securities will accrue from the most recent date to which interest has been paid or, if no interest has been paid, from May 8, 2025. The Issuer will pay interest semi-annually in arrears on each Interest Payment Date, commencing November 15, 2025.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pay interest on overdue principal from time to time on demand at the rate borne by the Securities and on overdue installments of interest (without regard to any applicable grace periods) to the extent lawful. </w:t>
      </w:r>
    </w:p>
    <w:p>
      <w:pPr>
        <w:pStyle w:val="TextBody"/>
        <w:bidi w:val="0"/>
        <w:spacing w:before="240" w:after="0"/>
        <w:jc w:val="left"/>
        <w:rPr>
          <w:rFonts w:ascii="Times New Roman" w:hAnsi="Times New Roman"/>
          <w:sz w:val="20"/>
        </w:rPr>
      </w:pPr>
      <w:r>
        <w:rPr>
          <w:rFonts w:ascii="Times New Roman" w:hAnsi="Times New Roman"/>
          <w:sz w:val="20"/>
        </w:rPr>
        <w:t xml:space="preserve">2. Method of Payment. </w:t>
      </w:r>
    </w:p>
    <w:p>
      <w:pPr>
        <w:pStyle w:val="TextBody"/>
        <w:bidi w:val="0"/>
        <w:spacing w:before="240" w:after="0"/>
        <w:jc w:val="left"/>
        <w:rPr>
          <w:rFonts w:ascii="Times New Roman" w:hAnsi="Times New Roman"/>
          <w:sz w:val="20"/>
        </w:rPr>
      </w:pPr>
      <w:r>
        <w:rPr>
          <w:rFonts w:ascii="Times New Roman" w:hAnsi="Times New Roman"/>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hAnsi="Times New Roman"/>
          <w:b/>
          <w:sz w:val="20"/>
        </w:rPr>
        <w:t>Trustee</w:t>
      </w:r>
      <w:r>
        <w:rPr>
          <w:rFonts w:ascii="Times New Roman" w:hAnsi="Times New Roman"/>
          <w:sz w:val="20"/>
        </w:rPr>
        <w:t>) to collect principal payments. The Issuer shall pay principal and interest in money of the United States that at the time of payment is legal tender for payment of public and private debts (</w:t>
      </w:r>
      <w:r>
        <w:rPr>
          <w:rFonts w:ascii="Times New Roman" w:hAnsi="Times New Roman"/>
          <w:b/>
          <w:sz w:val="20"/>
        </w:rPr>
        <w:t>U.S. Legal Tender</w:t>
      </w:r>
      <w:r>
        <w:rPr>
          <w:rFonts w:ascii="Times New Roman" w:hAnsi="Times New Roman"/>
          <w:sz w:val="20"/>
        </w:rPr>
        <w:t xml:space="preserve">).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w:t>
      </w:r>
    </w:p>
    <w:p>
      <w:pPr>
        <w:pStyle w:val="TextBody"/>
        <w:bidi w:val="0"/>
        <w:spacing w:before="240" w:after="0"/>
        <w:jc w:val="left"/>
        <w:rPr>
          <w:rFonts w:ascii="Times New Roman" w:hAnsi="Times New Roman"/>
          <w:sz w:val="20"/>
        </w:rPr>
      </w:pPr>
      <w:r>
        <w:rPr>
          <w:rFonts w:ascii="Times New Roman" w:hAnsi="Times New Roman"/>
          <w:sz w:val="20"/>
        </w:rPr>
        <w:t xml:space="preserve">3. Paying Agent. </w:t>
      </w:r>
    </w:p>
    <w:p>
      <w:pPr>
        <w:pStyle w:val="TextBody"/>
        <w:bidi w:val="0"/>
        <w:spacing w:before="240" w:after="0"/>
        <w:jc w:val="left"/>
        <w:rPr>
          <w:rFonts w:ascii="Times New Roman" w:hAnsi="Times New Roman"/>
          <w:sz w:val="20"/>
        </w:rPr>
      </w:pPr>
      <w:r>
        <w:rPr>
          <w:rFonts w:ascii="Times New Roman" w:hAnsi="Times New Roman"/>
          <w:sz w:val="20"/>
        </w:rPr>
        <w:t xml:space="preserve">Initially, the Trustee will act as Paying Agent. The Issuer may change any Paying Agent without notice to the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Indenture. </w:t>
      </w:r>
    </w:p>
    <w:p>
      <w:pPr>
        <w:pStyle w:val="TextBody"/>
        <w:bidi w:val="0"/>
        <w:spacing w:before="240" w:after="0"/>
        <w:jc w:val="left"/>
        <w:rPr>
          <w:rFonts w:ascii="Times New Roman" w:hAnsi="Times New Roman"/>
          <w:sz w:val="20"/>
        </w:rPr>
      </w:pPr>
      <w:r>
        <w:rPr>
          <w:rFonts w:ascii="Times New Roman" w:hAnsi="Times New Roman"/>
          <w:sz w:val="20"/>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 w:hAnsi="Times New Roman"/>
          <w:b/>
          <w:sz w:val="20"/>
        </w:rPr>
        <w:t>Guarantors</w:t>
      </w:r>
      <w:r>
        <w:rPr>
          <w:rFonts w:ascii="Times New Roman" w:hAnsi="Times New Roman"/>
          <w:sz w:val="20"/>
        </w:rPr>
        <w:t>) and the Trustee, and as further amended by the Second Supplemental Indenture dated as of July 29, 2022, by and among the Issuer, the Guarantors and the Trustee (as amended, the </w:t>
      </w:r>
      <w:r>
        <w:rPr>
          <w:rFonts w:ascii="Times New Roman" w:hAnsi="Times New Roman"/>
          <w:b/>
          <w:sz w:val="20"/>
        </w:rPr>
        <w:t>Indenture</w:t>
      </w:r>
      <w:r>
        <w:rPr>
          <w:rFonts w:ascii="Times New Roman" w:hAnsi="Times New Roman"/>
          <w:sz w:val="20"/>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 w:hAnsi="Times New Roman"/>
          <w:b/>
          <w:sz w:val="20"/>
        </w:rPr>
        <w:t>TIA</w:t>
      </w:r>
      <w:r>
        <w:rPr>
          <w:rFonts w:ascii="Times New Roman" w:hAnsi="Times New Roman"/>
          <w:sz w:val="20"/>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 w:hAnsi="Times New Roman"/>
          <w:b/>
          <w:sz w:val="20"/>
        </w:rPr>
        <w:t>Security</w:t>
      </w:r>
      <w:r>
        <w:rPr>
          <w:rFonts w:ascii="Times New Roman" w:hAnsi="Times New Roman"/>
          <w:sz w:val="20"/>
        </w:rPr>
        <w:t> and the notes are </w:t>
      </w:r>
      <w:r>
        <w:rPr>
          <w:rFonts w:ascii="Times New Roman" w:hAnsi="Times New Roman"/>
          <w:b/>
          <w:sz w:val="20"/>
        </w:rPr>
        <w:t>Securities</w:t>
      </w:r>
      <w:r>
        <w:rPr>
          <w:rFonts w:ascii="Times New Roman" w:hAnsi="Times New Roman"/>
          <w:sz w:val="20"/>
        </w:rPr>
        <w:t xml:space="preserve">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5. Guarantees.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6. Denominations; Transfer; Exchange.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7. Persons Deemed Owners.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a Security shall be treated as the owner of it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8. Unclaimed Funds. </w:t>
      </w:r>
    </w:p>
    <w:p>
      <w:pPr>
        <w:pStyle w:val="TextBody"/>
        <w:bidi w:val="0"/>
        <w:spacing w:before="240" w:after="0"/>
        <w:jc w:val="left"/>
        <w:rPr>
          <w:rFonts w:ascii="Times New Roman" w:hAnsi="Times New Roman"/>
          <w:sz w:val="20"/>
        </w:rPr>
      </w:pPr>
      <w:r>
        <w:rPr>
          <w:rFonts w:ascii="Times New Roman" w:hAnsi="Times New Roman"/>
          <w:sz w:val="20"/>
        </w:rPr>
        <w:t xml:space="preserve">If funds for the payment of principal or interest remain unclaimed for two years, the Trustee and the Paying Agent will repay the funds to the Issuer at its written request. After that, all liability of the Trustee and such Paying Agent with respect to such funds shall cease.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Legal Defeasance and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Amendment; Supplement; Waiver.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 </w:t>
      </w:r>
    </w:p>
    <w:p>
      <w:pPr>
        <w:pStyle w:val="TextBody"/>
        <w:bidi w:val="0"/>
        <w:spacing w:before="240" w:after="0"/>
        <w:jc w:val="left"/>
        <w:rPr>
          <w:rFonts w:ascii="Times New Roman" w:hAnsi="Times New Roman"/>
          <w:sz w:val="20"/>
        </w:rPr>
      </w:pPr>
      <w:r>
        <w:rPr>
          <w:rFonts w:ascii="Times New Roman" w:hAnsi="Times New Roman"/>
          <w:sz w:val="20"/>
        </w:rPr>
        <w:t xml:space="preserve">11. Restrictive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 </w:t>
      </w:r>
    </w:p>
    <w:p>
      <w:pPr>
        <w:pStyle w:val="TextBody"/>
        <w:bidi w:val="0"/>
        <w:spacing w:before="240" w:after="0"/>
        <w:jc w:val="left"/>
        <w:rPr>
          <w:rFonts w:ascii="Times New Roman" w:hAnsi="Times New Roman"/>
          <w:sz w:val="20"/>
        </w:rPr>
      </w:pPr>
      <w:r>
        <w:rPr>
          <w:rFonts w:ascii="Times New Roman" w:hAnsi="Times New Roman"/>
          <w:sz w:val="20"/>
        </w:rPr>
        <w:t xml:space="preserve">12. Redemption. </w:t>
      </w:r>
    </w:p>
    <w:p>
      <w:pPr>
        <w:pStyle w:val="TextBody"/>
        <w:bidi w:val="0"/>
        <w:spacing w:before="240" w:after="0"/>
        <w:jc w:val="left"/>
        <w:rPr>
          <w:rFonts w:ascii="Times New Roman" w:hAnsi="Times New Roman"/>
          <w:sz w:val="20"/>
        </w:rPr>
      </w:pPr>
      <w:r>
        <w:rPr>
          <w:rFonts w:ascii="Times New Roman" w:hAnsi="Times New Roman"/>
          <w:sz w:val="20"/>
        </w:rPr>
        <w:t>Prior to February 15, 2035 (three (3) months prior to the maturity date of the Securities) (the </w:t>
      </w:r>
      <w:r>
        <w:rPr>
          <w:rFonts w:ascii="Times New Roman" w:hAnsi="Times New Roman"/>
          <w:b/>
          <w:sz w:val="20"/>
        </w:rPr>
        <w:t>Par Call Date</w:t>
      </w:r>
      <w:r>
        <w:rPr>
          <w:rFonts w:ascii="Times New Roman" w:hAnsi="Times New Roman"/>
          <w:sz w:val="20"/>
        </w:rPr>
        <w:t xml:space="preserve">), the Issuer may redeem the Securities at its option, in whole or in part, at any time and from time to time, at a redemption price (expressed as a percentage of the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15 basis points, less (b) interest accrued to the date of redemption, and </w:t>
      </w:r>
    </w:p>
    <w:p>
      <w:pPr>
        <w:pStyle w:val="TextBody"/>
        <w:bidi w:val="0"/>
        <w:spacing w:before="240" w:after="0"/>
        <w:jc w:val="left"/>
        <w:rPr>
          <w:rFonts w:ascii="Times New Roman" w:hAnsi="Times New Roman"/>
          <w:sz w:val="20"/>
        </w:rPr>
      </w:pPr>
      <w:r>
        <w:rPr>
          <w:rFonts w:ascii="Times New Roman" w:hAnsi="Times New Roman"/>
          <w:sz w:val="20"/>
        </w:rPr>
        <w:t xml:space="preserve">(2) 100% of the principal amount of the Securities to be redeemed,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Issuer may redeem the Securities, in whole or in part, at any time and from time to time, at a redemption price equal to 100% of the principal amount of the Securities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Treasury Rate means, with respect to any redemption date, the yield determined by the Issuer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b/>
          <w:sz w:val="20"/>
        </w:rPr>
        <w:t>H.15 TCM</w:t>
      </w:r>
      <w:r>
        <w:rPr>
          <w:rFonts w:ascii="Times New Roman" w:hAnsi="Times New Roman"/>
          <w:sz w:val="20"/>
        </w:rPr>
        <w:t>). In determining the Treasury Rate, the Issuer shall select, as applicable: (1) the yield for the Treasury constant maturity on H.15 exactly equal to the period from the redemption date to the Par Call Date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Issuer defaults in payment of the redemption price, on and after the redemption date, interest will cease to accrue on the Securities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13. 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 </w:t>
      </w:r>
    </w:p>
    <w:p>
      <w:pPr>
        <w:pStyle w:val="TextBody"/>
        <w:bidi w:val="0"/>
        <w:spacing w:before="240" w:after="0"/>
        <w:jc w:val="left"/>
        <w:rPr>
          <w:rFonts w:ascii="Times New Roman" w:hAnsi="Times New Roman"/>
          <w:sz w:val="20"/>
        </w:rPr>
      </w:pPr>
      <w:r>
        <w:rPr>
          <w:rFonts w:ascii="Times New Roman" w:hAnsi="Times New Roman"/>
          <w:sz w:val="20"/>
        </w:rPr>
        <w:t xml:space="preserve">14. Trustee Dealings with Issuer. </w:t>
      </w:r>
    </w:p>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Securities and may otherwise deal with the Issuer as if it were not the Trustee.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No Recourse Against Others. </w:t>
      </w:r>
    </w:p>
    <w:p>
      <w:pPr>
        <w:pStyle w:val="TextBody"/>
        <w:bidi w:val="0"/>
        <w:spacing w:before="240" w:after="0"/>
        <w:jc w:val="left"/>
        <w:rPr>
          <w:rFonts w:ascii="Times New Roman" w:hAnsi="Times New Roman"/>
          <w:sz w:val="20"/>
        </w:rPr>
      </w:pPr>
      <w:r>
        <w:rPr>
          <w:rFonts w:ascii="Times New Roman" w:hAnsi="Times New Roman"/>
          <w:sz w:val="20"/>
        </w:rPr>
        <w:t xml:space="preserve">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16.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until the Trustee electronically or manually signs the certificate of authentication 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17. Abbreviations and Defined Terms. </w:t>
      </w:r>
    </w:p>
    <w:p>
      <w:pPr>
        <w:pStyle w:val="TextBody"/>
        <w:bidi w:val="0"/>
        <w:spacing w:before="240" w:after="0"/>
        <w:jc w:val="left"/>
        <w:rPr>
          <w:rFonts w:ascii="Times New Roman" w:hAnsi="Times New Roman"/>
          <w:sz w:val="20"/>
        </w:rPr>
      </w:pPr>
      <w:r>
        <w:rPr>
          <w:rFonts w:ascii="Times New Roman" w:hAnsi="Times New Roman"/>
          <w:sz w:val="20"/>
        </w:rPr>
        <w:t xml:space="preserve">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18. CUSIP Numbers.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 </w:t>
      </w:r>
    </w:p>
    <w:p>
      <w:pPr>
        <w:pStyle w:val="TextBody"/>
        <w:bidi w:val="0"/>
        <w:spacing w:before="240" w:after="0"/>
        <w:jc w:val="left"/>
        <w:rPr>
          <w:rFonts w:ascii="Times New Roman" w:hAnsi="Times New Roman"/>
          <w:sz w:val="20"/>
        </w:rPr>
      </w:pPr>
      <w:r>
        <w:rPr>
          <w:rFonts w:ascii="Times New Roman" w:hAnsi="Times New Roman"/>
          <w:sz w:val="20"/>
        </w:rPr>
        <w:t xml:space="preserve">19. Governing Law. </w:t>
      </w:r>
    </w:p>
    <w:p>
      <w:pPr>
        <w:pStyle w:val="TextBody"/>
        <w:bidi w:val="0"/>
        <w:spacing w:before="240" w:after="0"/>
        <w:jc w:val="left"/>
        <w:rPr>
          <w:rFonts w:ascii="Times New Roman" w:hAnsi="Times New Roman"/>
          <w:sz w:val="20"/>
        </w:rPr>
      </w:pPr>
      <w:r>
        <w:rPr>
          <w:rFonts w:ascii="Times New Roman" w:hAnsi="Times New Roman"/>
          <w:sz w:val="20"/>
        </w:rPr>
        <w:t xml:space="preserve">The laws of the State of New York shall govern the Indenture and this Security thereof.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and transfer this Security to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name, address and zip code of assignee or transferee)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Social Security or other identifying number of assignee or transferee)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appoint_________________________________________ agent to transfer this Security on the books of the Issuer. The agent may substitute another to act for him.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5"/>
        <w:gridCol w:w="108"/>
        <w:gridCol w:w="3919"/>
        <w:gridCol w:w="108"/>
        <w:gridCol w:w="394"/>
        <w:gridCol w:w="108"/>
        <w:gridCol w:w="710"/>
        <w:gridCol w:w="108"/>
        <w:gridCol w:w="4155"/>
      </w:tblGrid>
      <w:tr>
        <w:trPr/>
        <w:tc>
          <w:tcPr>
            <w:tcW w:w="59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155" w:type="dxa"/>
            <w:tcBorders/>
            <w:vAlign w:val="center"/>
          </w:tcPr>
          <w:p>
            <w:pPr>
              <w:pStyle w:val="TableContents"/>
              <w:bidi w:val="0"/>
              <w:spacing w:before="0" w:after="283"/>
              <w:jc w:val="left"/>
              <w:rPr>
                <w:sz w:val="4"/>
                <w:szCs w:val="4"/>
              </w:rPr>
            </w:pPr>
            <w:r>
              <w:rPr>
                <w:sz w:val="4"/>
                <w:szCs w:val="4"/>
              </w:rPr>
            </w:r>
          </w:p>
        </w:tc>
      </w:tr>
      <w:tr>
        <w:trPr/>
        <w:tc>
          <w:tcPr>
            <w:tcW w:w="595" w:type="dxa"/>
            <w:tcBorders/>
          </w:tcPr>
          <w:p>
            <w:pPr>
              <w:pStyle w:val="TableContents"/>
              <w:bidi w:val="0"/>
              <w:spacing w:before="0" w:after="283"/>
              <w:jc w:val="left"/>
              <w:rPr/>
            </w:pPr>
            <w:r>
              <w:rPr/>
              <w:t>Dated:</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3919" w:type="dxa"/>
            <w:tcBorders>
              <w:bottom w:val="single" w:sz="2" w:space="0" w:color="000000"/>
            </w:tcBorders>
            <w:tcMar>
              <w:bottom w:w="28" w:type="dxa"/>
            </w:tcMa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left"/>
              <w:rPr/>
            </w:pPr>
            <w:r>
              <w:rPr/>
              <w:t>Signed:</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155" w:type="dxa"/>
            <w:tcBorders>
              <w:bottom w:val="single" w:sz="2" w:space="0" w:color="000000"/>
            </w:tcBorders>
            <w:tcMar>
              <w:bottom w:w="28" w:type="dxa"/>
            </w:tcMar>
          </w:tcPr>
          <w:p>
            <w:pPr>
              <w:pStyle w:val="TableContents"/>
              <w:bidi w:val="0"/>
              <w:spacing w:before="0" w:after="283"/>
              <w:jc w:val="left"/>
              <w:rPr/>
            </w:pPr>
            <w:r>
              <w:rPr/>
              <w:t> </w:t>
            </w:r>
          </w:p>
        </w:tc>
      </w:tr>
      <w:tr>
        <w:trPr/>
        <w:tc>
          <w:tcPr>
            <w:tcW w:w="59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155" w:type="dxa"/>
            <w:tcBorders/>
          </w:tcPr>
          <w:p>
            <w:pPr>
              <w:pStyle w:val="TableContents"/>
              <w:bidi w:val="0"/>
              <w:spacing w:before="0" w:after="283"/>
              <w:jc w:val="left"/>
              <w:rPr/>
            </w:pPr>
            <w:r>
              <w:rPr/>
              <w:t>(Signed exactly as name appears on the other side of this Security)</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1955"/>
        <w:gridCol w:w="60"/>
        <w:gridCol w:w="4595"/>
      </w:tblGrid>
      <w:tr>
        <w:trPr/>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1955" w:type="dxa"/>
            <w:tcBorders/>
          </w:tcPr>
          <w:p>
            <w:pPr>
              <w:pStyle w:val="TableContents"/>
              <w:bidi w:val="0"/>
              <w:spacing w:before="0" w:after="283"/>
              <w:jc w:val="left"/>
              <w:rPr/>
            </w:pPr>
            <w:r>
              <w:rPr/>
              <w:t>Signature Guarantee: 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595" w:type="dxa"/>
            <w:tcBorders>
              <w:bottom w:val="single" w:sz="2" w:space="0" w:color="000000"/>
            </w:tcBorders>
            <w:tcMar>
              <w:bottom w:w="28" w:type="dxa"/>
            </w:tcMar>
          </w:tcPr>
          <w:p>
            <w:pPr>
              <w:pStyle w:val="TableContents"/>
              <w:bidi w:val="0"/>
              <w:spacing w:before="0" w:after="283"/>
              <w:jc w:val="left"/>
              <w:rPr/>
            </w:pPr>
            <w:r>
              <w:rPr/>
              <w:t> </w:t>
            </w:r>
          </w:p>
        </w:tc>
      </w:tr>
      <w:tr>
        <w:trPr/>
        <w:tc>
          <w:tcPr>
            <w:tcW w:w="19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Participant in a recognized Signature Guarantee</w:t>
            </w:r>
          </w:p>
        </w:tc>
      </w:tr>
      <w:tr>
        <w:trPr/>
        <w:tc>
          <w:tcPr>
            <w:tcW w:w="19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Medallion Program (or other signature guarantor</w:t>
            </w:r>
          </w:p>
        </w:tc>
      </w:tr>
      <w:tr>
        <w:trPr/>
        <w:tc>
          <w:tcPr>
            <w:tcW w:w="19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program reasonably acceptable to the Trustee)</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Times New Roman" w:hAnsi="Times New Roman"/>
          <w:b/>
          <w:sz w:val="20"/>
        </w:rPr>
        <w:t>DTC</w:t>
      </w:r>
      <w:r>
        <w:rPr>
          <w:rFonts w:ascii="Times New Roman" w:hAnsi="Times New Roman"/>
          <w:sz w:val="20"/>
        </w:rPr>
        <w:t xml:space="preserve">),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COMCAST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6.050% Note due 2055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62"/>
        <w:gridCol w:w="120"/>
        <w:gridCol w:w="4923"/>
      </w:tblGrid>
      <w:tr>
        <w:trPr/>
        <w:tc>
          <w:tcPr>
            <w:tcW w:w="516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23" w:type="dxa"/>
            <w:tcBorders/>
            <w:vAlign w:val="center"/>
          </w:tcPr>
          <w:p>
            <w:pPr>
              <w:pStyle w:val="TableContents"/>
              <w:bidi w:val="0"/>
              <w:spacing w:before="0" w:after="283"/>
              <w:jc w:val="left"/>
              <w:rPr>
                <w:sz w:val="4"/>
                <w:szCs w:val="4"/>
              </w:rPr>
            </w:pPr>
            <w:r>
              <w:rPr>
                <w:sz w:val="4"/>
                <w:szCs w:val="4"/>
              </w:rPr>
            </w:r>
          </w:p>
        </w:tc>
      </w:tr>
      <w:tr>
        <w:trPr/>
        <w:tc>
          <w:tcPr>
            <w:tcW w:w="5162" w:type="dxa"/>
            <w:tcBorders/>
          </w:tcPr>
          <w:p>
            <w:pPr>
              <w:pStyle w:val="TableContents"/>
              <w:bidi w:val="0"/>
              <w:spacing w:before="0" w:after="283"/>
              <w:jc w:val="left"/>
              <w:rPr/>
            </w:pPr>
            <w:r>
              <w:rPr/>
              <w:t>No. [ ]</w:t>
            </w:r>
          </w:p>
        </w:tc>
        <w:tc>
          <w:tcPr>
            <w:tcW w:w="120" w:type="dxa"/>
            <w:tcBorders/>
            <w:vAlign w:val="bottom"/>
          </w:tcPr>
          <w:p>
            <w:pPr>
              <w:pStyle w:val="TableContents"/>
              <w:bidi w:val="0"/>
              <w:spacing w:before="0" w:after="283"/>
              <w:jc w:val="left"/>
              <w:rPr/>
            </w:pPr>
            <w:r>
              <w:rPr/>
              <w:t>  </w:t>
            </w:r>
          </w:p>
        </w:tc>
        <w:tc>
          <w:tcPr>
            <w:tcW w:w="4923" w:type="dxa"/>
            <w:tcBorders/>
          </w:tcPr>
          <w:p>
            <w:pPr>
              <w:pStyle w:val="TableContents"/>
              <w:bidi w:val="0"/>
              <w:spacing w:before="0" w:after="283"/>
              <w:jc w:val="right"/>
              <w:rPr/>
            </w:pPr>
            <w:r>
              <w:rPr/>
              <w:t>CUSIP No.: 20030N EQ0</w:t>
            </w:r>
          </w:p>
        </w:tc>
      </w:tr>
      <w:tr>
        <w:trPr/>
        <w:tc>
          <w:tcPr>
            <w:tcW w:w="516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923" w:type="dxa"/>
            <w:tcBorders/>
          </w:tcPr>
          <w:p>
            <w:pPr>
              <w:pStyle w:val="TableContents"/>
              <w:bidi w:val="0"/>
              <w:spacing w:before="0" w:after="283"/>
              <w:jc w:val="right"/>
              <w:rPr/>
            </w:pPr>
            <w:r>
              <w:rPr/>
              <w:t>ISIN No.: US20030NEQ07</w:t>
            </w:r>
          </w:p>
        </w:tc>
      </w:tr>
    </w:tbl>
    <w:p>
      <w:pPr>
        <w:pStyle w:val="TextBody"/>
        <w:bidi w:val="0"/>
        <w:spacing w:before="240" w:after="0"/>
        <w:jc w:val="left"/>
        <w:rPr>
          <w:rFonts w:ascii="Times New Roman" w:hAnsi="Times New Roman"/>
          <w:sz w:val="20"/>
        </w:rPr>
      </w:pPr>
      <w:r>
        <w:rPr>
          <w:rFonts w:ascii="Times New Roman" w:hAnsi="Times New Roman"/>
          <w:sz w:val="20"/>
        </w:rPr>
        <w:t xml:space="preserve">$[ ] </w:t>
      </w:r>
    </w:p>
    <w:p>
      <w:pPr>
        <w:pStyle w:val="TextBody"/>
        <w:bidi w:val="0"/>
        <w:spacing w:before="240" w:after="0"/>
        <w:jc w:val="left"/>
        <w:rPr>
          <w:rFonts w:ascii="Times New Roman" w:hAnsi="Times New Roman"/>
          <w:sz w:val="20"/>
        </w:rPr>
      </w:pPr>
      <w:r>
        <w:rPr>
          <w:rFonts w:ascii="Times New Roman" w:hAnsi="Times New Roman"/>
          <w:sz w:val="20"/>
        </w:rPr>
        <w:t>COMCAST CORPORATION, a Pennsylvania corporation (the </w:t>
      </w:r>
      <w:r>
        <w:rPr>
          <w:rFonts w:ascii="Times New Roman" w:hAnsi="Times New Roman"/>
          <w:b/>
          <w:sz w:val="20"/>
        </w:rPr>
        <w:t>Issuer</w:t>
      </w:r>
      <w:r>
        <w:rPr>
          <w:rFonts w:ascii="Times New Roman" w:hAnsi="Times New Roman"/>
          <w:sz w:val="20"/>
        </w:rPr>
        <w:t xml:space="preserve">, which term includes any successor corporation), for value received promises to pay to CEDE &amp; CO. or registered assigns, the principal sum of $[ ] ([ ]) on May 15, 2055. </w:t>
      </w:r>
    </w:p>
    <w:p>
      <w:pPr>
        <w:pStyle w:val="TextBody"/>
        <w:bidi w:val="0"/>
        <w:spacing w:before="240" w:after="0"/>
        <w:jc w:val="left"/>
        <w:rPr>
          <w:rFonts w:ascii="Times New Roman" w:hAnsi="Times New Roman"/>
          <w:sz w:val="20"/>
        </w:rPr>
      </w:pPr>
      <w:r>
        <w:rPr>
          <w:rFonts w:ascii="Times New Roman" w:hAnsi="Times New Roman"/>
          <w:sz w:val="20"/>
        </w:rPr>
        <w:t>Interest Payment Dates: May 15 and November 15 (each, an </w:t>
      </w:r>
      <w:r>
        <w:rPr>
          <w:rFonts w:ascii="Times New Roman" w:hAnsi="Times New Roman"/>
          <w:b/>
          <w:sz w:val="20"/>
        </w:rPr>
        <w:t>Interest Payment Date</w:t>
      </w:r>
      <w:r>
        <w:rPr>
          <w:rFonts w:ascii="Times New Roman" w:hAnsi="Times New Roman"/>
          <w:sz w:val="20"/>
        </w:rPr>
        <w:t xml:space="preserve">), commencing on November 15, 2025. </w:t>
      </w:r>
    </w:p>
    <w:p>
      <w:pPr>
        <w:pStyle w:val="TextBody"/>
        <w:bidi w:val="0"/>
        <w:spacing w:before="240" w:after="0"/>
        <w:jc w:val="left"/>
        <w:rPr>
          <w:rFonts w:ascii="Times New Roman" w:hAnsi="Times New Roman"/>
          <w:sz w:val="20"/>
        </w:rPr>
      </w:pPr>
      <w:r>
        <w:rPr>
          <w:rFonts w:ascii="Times New Roman" w:hAnsi="Times New Roman"/>
          <w:sz w:val="20"/>
        </w:rPr>
        <w:t>Interest Record Dates: May 1 and November 1 (each, an </w:t>
      </w:r>
      <w:r>
        <w:rPr>
          <w:rFonts w:ascii="Times New Roman" w:hAnsi="Times New Roman"/>
          <w:b/>
          <w:sz w:val="20"/>
        </w:rPr>
        <w:t>Interest Record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Reference is made to the further provisions of this Security contained herein, which will for all purposes have the same effect as if set forth at this place.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Issuer has caused this Security to be signed manually or by facsimile by its duly authorized officer under its corporate seal.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384"/>
        <w:gridCol w:w="263"/>
        <w:gridCol w:w="2435"/>
      </w:tblGrid>
      <w:tr>
        <w:trPr/>
        <w:tc>
          <w:tcPr>
            <w:tcW w:w="1384" w:type="dxa"/>
            <w:tcBorders/>
            <w:vAlign w:val="center"/>
          </w:tcPr>
          <w:p>
            <w:pPr>
              <w:pStyle w:val="TableContents"/>
              <w:bidi w:val="0"/>
              <w:spacing w:before="0" w:after="283"/>
              <w:jc w:val="left"/>
              <w:rPr>
                <w:sz w:val="4"/>
                <w:szCs w:val="4"/>
              </w:rPr>
            </w:pPr>
            <w:r>
              <w:rPr>
                <w:sz w:val="4"/>
                <w:szCs w:val="4"/>
              </w:rPr>
            </w:r>
          </w:p>
        </w:tc>
        <w:tc>
          <w:tcPr>
            <w:tcW w:w="263" w:type="dxa"/>
            <w:tcBorders/>
            <w:vAlign w:val="bottom"/>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COMCAST CORPORATION</w:t>
            </w:r>
          </w:p>
        </w:tc>
      </w:tr>
      <w:tr>
        <w:trPr>
          <w:trHeight w:val="240" w:hRule="atLeast"/>
        </w:trPr>
        <w:tc>
          <w:tcPr>
            <w:tcW w:w="1384" w:type="dxa"/>
            <w:tcBorders/>
            <w:vAlign w:val="center"/>
          </w:tcPr>
          <w:p>
            <w:pPr>
              <w:pStyle w:val="TableContents"/>
              <w:bidi w:val="0"/>
              <w:spacing w:before="0" w:after="283"/>
              <w:jc w:val="left"/>
              <w:rPr>
                <w:sz w:val="4"/>
                <w:szCs w:val="4"/>
              </w:rPr>
            </w:pPr>
            <w:r>
              <w:rPr>
                <w:sz w:val="4"/>
                <w:szCs w:val="4"/>
              </w:rPr>
            </w:r>
          </w:p>
        </w:tc>
        <w:tc>
          <w:tcPr>
            <w:tcW w:w="2698" w:type="dxa"/>
            <w:gridSpan w:val="2"/>
            <w:tcBorders/>
            <w:vAlign w:val="center"/>
          </w:tcPr>
          <w:p>
            <w:pPr>
              <w:pStyle w:val="TableContents"/>
              <w:bidi w:val="0"/>
              <w:spacing w:before="0" w:after="283"/>
              <w:jc w:val="left"/>
              <w:rPr>
                <w:sz w:val="4"/>
                <w:szCs w:val="4"/>
              </w:rPr>
            </w:pPr>
            <w:r>
              <w:rPr>
                <w:sz w:val="4"/>
                <w:szCs w:val="4"/>
              </w:rPr>
            </w:r>
          </w:p>
        </w:tc>
      </w:tr>
      <w:tr>
        <w:trPr/>
        <w:tc>
          <w:tcPr>
            <w:tcW w:w="1384" w:type="dxa"/>
            <w:tcBorders/>
          </w:tcPr>
          <w:p>
            <w:pPr>
              <w:pStyle w:val="TableContents"/>
              <w:bidi w:val="0"/>
              <w:spacing w:before="0" w:after="283"/>
              <w:jc w:val="left"/>
              <w:rPr/>
            </w:pPr>
            <w:r>
              <w:rPr/>
              <w:t>By:</w:t>
            </w:r>
          </w:p>
        </w:tc>
        <w:tc>
          <w:tcPr>
            <w:tcW w:w="263" w:type="dxa"/>
            <w:tcBorders>
              <w:bottom w:val="single" w:sz="2" w:space="0" w:color="000000"/>
            </w:tcBorders>
            <w:tcMar>
              <w:bottom w:w="28" w:type="dxa"/>
            </w:tcMar>
            <w:vAlign w:val="bottom"/>
          </w:tcPr>
          <w:p>
            <w:pPr>
              <w:pStyle w:val="TableContents"/>
              <w:bidi w:val="0"/>
              <w:spacing w:before="0" w:after="283"/>
              <w:jc w:val="left"/>
              <w:rPr/>
            </w:pPr>
            <w:r>
              <w:rPr/>
              <w:t> </w:t>
            </w:r>
          </w:p>
        </w:tc>
        <w:tc>
          <w:tcPr>
            <w:tcW w:w="2435"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Name: James P. McCue</w:t>
            </w:r>
          </w:p>
        </w:tc>
      </w:tr>
      <w:tr>
        <w:trPr/>
        <w:tc>
          <w:tcPr>
            <w:tcW w:w="4082" w:type="dxa"/>
            <w:gridSpan w:val="3"/>
            <w:tcBorders/>
            <w:vAlign w:val="bottom"/>
          </w:tcPr>
          <w:p>
            <w:pPr>
              <w:pStyle w:val="TableContents"/>
              <w:bidi w:val="0"/>
              <w:spacing w:before="0" w:after="283"/>
              <w:jc w:val="left"/>
              <w:rPr/>
            </w:pPr>
            <w:r>
              <w:rPr/>
              <w:t>Title:  Vice President and Assistant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66"/>
        <w:gridCol w:w="60"/>
        <w:gridCol w:w="695"/>
        <w:gridCol w:w="60"/>
        <w:gridCol w:w="2901"/>
      </w:tblGrid>
      <w:tr>
        <w:trPr/>
        <w:tc>
          <w:tcPr>
            <w:tcW w:w="3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[Seal of Comcast Corporation]</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Attest:</w:t>
            </w:r>
          </w:p>
        </w:tc>
      </w:tr>
      <w:tr>
        <w:trPr>
          <w:trHeight w:val="240" w:hRule="atLeast"/>
        </w:trPr>
        <w:tc>
          <w:tcPr>
            <w:tcW w:w="366" w:type="dxa"/>
            <w:tcBorders/>
            <w:vAlign w:val="center"/>
          </w:tcPr>
          <w:p>
            <w:pPr>
              <w:pStyle w:val="TableContents"/>
              <w:bidi w:val="0"/>
              <w:spacing w:before="0" w:after="283"/>
              <w:jc w:val="left"/>
              <w:rPr>
                <w:sz w:val="4"/>
                <w:szCs w:val="4"/>
              </w:rPr>
            </w:pPr>
            <w:r>
              <w:rPr>
                <w:sz w:val="4"/>
                <w:szCs w:val="4"/>
              </w:rPr>
            </w:r>
          </w:p>
        </w:tc>
        <w:tc>
          <w:tcPr>
            <w:tcW w:w="3716" w:type="dxa"/>
            <w:gridSpan w:val="4"/>
            <w:tcBorders/>
            <w:vAlign w:val="center"/>
          </w:tcPr>
          <w:p>
            <w:pPr>
              <w:pStyle w:val="TableContents"/>
              <w:bidi w:val="0"/>
              <w:spacing w:before="0" w:after="283"/>
              <w:jc w:val="left"/>
              <w:rPr>
                <w:sz w:val="4"/>
                <w:szCs w:val="4"/>
              </w:rPr>
            </w:pPr>
            <w:r>
              <w:rPr>
                <w:sz w:val="4"/>
                <w:szCs w:val="4"/>
              </w:rPr>
            </w:r>
          </w:p>
        </w:tc>
      </w:tr>
      <w:tr>
        <w:trPr/>
        <w:tc>
          <w:tcPr>
            <w:tcW w:w="36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6"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01" w:type="dxa"/>
            <w:tcBorders/>
          </w:tcPr>
          <w:p>
            <w:pPr>
              <w:pStyle w:val="TableContents"/>
              <w:bidi w:val="0"/>
              <w:spacing w:before="0" w:after="283"/>
              <w:jc w:val="left"/>
              <w:rPr/>
            </w:pPr>
            <w:r>
              <w:rPr/>
              <w:t>Elizabeth Wideman</w:t>
            </w:r>
          </w:p>
        </w:tc>
      </w:tr>
      <w:tr>
        <w:trPr/>
        <w:tc>
          <w:tcPr>
            <w:tcW w:w="3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01" w:type="dxa"/>
            <w:tcBorders/>
          </w:tcPr>
          <w:p>
            <w:pPr>
              <w:pStyle w:val="TableContents"/>
              <w:bidi w:val="0"/>
              <w:spacing w:before="0" w:after="283"/>
              <w:jc w:val="left"/>
              <w:rPr/>
            </w:pPr>
            <w:r>
              <w:rPr/>
              <w:t>Senior Vice President, Senior Deputy General Counsel and Assistant Secretary</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Note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series designated herein and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May 8,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as Trustee</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1" w:type="dxa"/>
            <w:tcBorders>
              <w:bottom w:val="single" w:sz="2" w:space="0" w:color="000000"/>
            </w:tcBorders>
            <w:tcMar>
              <w:bottom w:w="28" w:type="dxa"/>
            </w:tcMar>
          </w:tcPr>
          <w:p>
            <w:pPr>
              <w:pStyle w:val="TableContents"/>
              <w:bidi w:val="0"/>
              <w:spacing w:before="0" w:after="283"/>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Global Note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OF SECURITY) </w:t>
      </w:r>
    </w:p>
    <w:p>
      <w:pPr>
        <w:pStyle w:val="TextBody"/>
        <w:bidi w:val="0"/>
        <w:spacing w:before="120" w:after="0"/>
        <w:jc w:val="center"/>
        <w:rPr>
          <w:rFonts w:ascii="Times New Roman" w:hAnsi="Times New Roman"/>
          <w:sz w:val="20"/>
        </w:rPr>
      </w:pPr>
      <w:r>
        <w:rPr>
          <w:rFonts w:ascii="Times New Roman" w:hAnsi="Times New Roman"/>
          <w:sz w:val="20"/>
        </w:rPr>
        <w:t xml:space="preserve">COMCAST CORPORATION </w:t>
      </w:r>
    </w:p>
    <w:p>
      <w:pPr>
        <w:pStyle w:val="TextBody"/>
        <w:bidi w:val="0"/>
        <w:spacing w:before="120" w:after="0"/>
        <w:jc w:val="center"/>
        <w:rPr>
          <w:rFonts w:ascii="Times New Roman" w:hAnsi="Times New Roman"/>
          <w:sz w:val="20"/>
        </w:rPr>
      </w:pPr>
      <w:r>
        <w:rPr>
          <w:rFonts w:ascii="Times New Roman" w:hAnsi="Times New Roman"/>
          <w:sz w:val="20"/>
        </w:rPr>
        <w:t xml:space="preserve">6.050% Note due 2055 </w:t>
      </w:r>
    </w:p>
    <w:p>
      <w:pPr>
        <w:pStyle w:val="TextBody"/>
        <w:bidi w:val="0"/>
        <w:spacing w:before="240" w:after="0"/>
        <w:jc w:val="left"/>
        <w:rPr>
          <w:rFonts w:ascii="Times New Roman" w:hAnsi="Times New Roman"/>
          <w:sz w:val="20"/>
        </w:rPr>
      </w:pPr>
      <w:r>
        <w:rPr>
          <w:rFonts w:ascii="Times New Roman" w:hAnsi="Times New Roman"/>
          <w:sz w:val="20"/>
        </w:rPr>
        <w:t xml:space="preserve">1. Interest. </w:t>
      </w:r>
    </w:p>
    <w:p>
      <w:pPr>
        <w:pStyle w:val="TextBody"/>
        <w:bidi w:val="0"/>
        <w:spacing w:before="240" w:after="0"/>
        <w:jc w:val="left"/>
        <w:rPr>
          <w:rFonts w:ascii="Times New Roman" w:hAnsi="Times New Roman"/>
          <w:sz w:val="20"/>
        </w:rPr>
      </w:pPr>
      <w:r>
        <w:rPr>
          <w:rFonts w:ascii="Times New Roman" w:hAnsi="Times New Roman"/>
          <w:sz w:val="20"/>
        </w:rPr>
        <w:t>COMCAST CORPORATION, a Pennsylvania corporation (the </w:t>
      </w:r>
      <w:r>
        <w:rPr>
          <w:rFonts w:ascii="Times New Roman" w:hAnsi="Times New Roman"/>
          <w:b/>
          <w:sz w:val="20"/>
        </w:rPr>
        <w:t>Issuer</w:t>
      </w:r>
      <w:r>
        <w:rPr>
          <w:rFonts w:ascii="Times New Roman" w:hAnsi="Times New Roman"/>
          <w:sz w:val="20"/>
        </w:rPr>
        <w:t xml:space="preserve">), promises to pay interest on the principal amount of this Security at the rate per annum shown above. Cash interest on the Securities will accrue from the most recent date to which interest has been paid or, if no interest has been paid, from May 8, 2025. The Issuer will pay interest semi-annually in arrears on each Interest Payment Date, commencing November 15, 2025. Interest will be computed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pay interest on overdue principal from time to time on demand at the rate borne by the Securities and on overdue installments of interest (without regard to any applicable grace periods) to the extent lawful. </w:t>
      </w:r>
    </w:p>
    <w:p>
      <w:pPr>
        <w:pStyle w:val="TextBody"/>
        <w:bidi w:val="0"/>
        <w:spacing w:before="240" w:after="0"/>
        <w:jc w:val="left"/>
        <w:rPr>
          <w:rFonts w:ascii="Times New Roman" w:hAnsi="Times New Roman"/>
          <w:sz w:val="20"/>
        </w:rPr>
      </w:pPr>
      <w:r>
        <w:rPr>
          <w:rFonts w:ascii="Times New Roman" w:hAnsi="Times New Roman"/>
          <w:sz w:val="20"/>
        </w:rPr>
        <w:t xml:space="preserve">2. Method of Payment. </w:t>
      </w:r>
    </w:p>
    <w:p>
      <w:pPr>
        <w:pStyle w:val="TextBody"/>
        <w:bidi w:val="0"/>
        <w:spacing w:before="240" w:after="0"/>
        <w:jc w:val="left"/>
        <w:rPr>
          <w:rFonts w:ascii="Times New Roman" w:hAnsi="Times New Roman"/>
          <w:sz w:val="20"/>
        </w:rPr>
      </w:pPr>
      <w:r>
        <w:rPr>
          <w:rFonts w:ascii="Times New Roman" w:hAnsi="Times New Roman"/>
          <w:sz w:val="20"/>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Times New Roman" w:hAnsi="Times New Roman"/>
          <w:b/>
          <w:sz w:val="20"/>
        </w:rPr>
        <w:t>Trustee</w:t>
      </w:r>
      <w:r>
        <w:rPr>
          <w:rFonts w:ascii="Times New Roman" w:hAnsi="Times New Roman"/>
          <w:sz w:val="20"/>
        </w:rPr>
        <w:t>) to collect principal payments. The Issuer shall pay principal and interest in money of the United States that at the time of payment is legal tender for payment of public and private debts (</w:t>
      </w:r>
      <w:r>
        <w:rPr>
          <w:rFonts w:ascii="Times New Roman" w:hAnsi="Times New Roman"/>
          <w:b/>
          <w:sz w:val="20"/>
        </w:rPr>
        <w:t>U.S. Legal Tender</w:t>
      </w:r>
      <w:r>
        <w:rPr>
          <w:rFonts w:ascii="Times New Roman" w:hAnsi="Times New Roman"/>
          <w:sz w:val="20"/>
        </w:rPr>
        <w:t xml:space="preserve">).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w:t>
      </w:r>
    </w:p>
    <w:p>
      <w:pPr>
        <w:pStyle w:val="TextBody"/>
        <w:bidi w:val="0"/>
        <w:spacing w:before="240" w:after="0"/>
        <w:jc w:val="left"/>
        <w:rPr>
          <w:rFonts w:ascii="Times New Roman" w:hAnsi="Times New Roman"/>
          <w:sz w:val="20"/>
        </w:rPr>
      </w:pPr>
      <w:r>
        <w:rPr>
          <w:rFonts w:ascii="Times New Roman" w:hAnsi="Times New Roman"/>
          <w:sz w:val="20"/>
        </w:rPr>
        <w:t xml:space="preserve">3. Paying Agent. </w:t>
      </w:r>
    </w:p>
    <w:p>
      <w:pPr>
        <w:pStyle w:val="TextBody"/>
        <w:bidi w:val="0"/>
        <w:spacing w:before="240" w:after="0"/>
        <w:jc w:val="left"/>
        <w:rPr>
          <w:rFonts w:ascii="Times New Roman" w:hAnsi="Times New Roman"/>
          <w:sz w:val="20"/>
        </w:rPr>
      </w:pPr>
      <w:r>
        <w:rPr>
          <w:rFonts w:ascii="Times New Roman" w:hAnsi="Times New Roman"/>
          <w:sz w:val="20"/>
        </w:rPr>
        <w:t xml:space="preserve">Initially, the Trustee will act as Paying Agent. The Issuer may change any Paying Agent without notice to the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Indenture. </w:t>
      </w:r>
    </w:p>
    <w:p>
      <w:pPr>
        <w:pStyle w:val="TextBody"/>
        <w:bidi w:val="0"/>
        <w:spacing w:before="240" w:after="0"/>
        <w:jc w:val="left"/>
        <w:rPr>
          <w:rFonts w:ascii="Times New Roman" w:hAnsi="Times New Roman"/>
          <w:sz w:val="20"/>
        </w:rPr>
      </w:pPr>
      <w:r>
        <w:rPr>
          <w:rFonts w:ascii="Times New Roman" w:hAnsi="Times New Roman"/>
          <w:sz w:val="20"/>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Times New Roman" w:hAnsi="Times New Roman"/>
          <w:b/>
          <w:sz w:val="20"/>
        </w:rPr>
        <w:t>Guarantors</w:t>
      </w:r>
      <w:r>
        <w:rPr>
          <w:rFonts w:ascii="Times New Roman" w:hAnsi="Times New Roman"/>
          <w:sz w:val="20"/>
        </w:rPr>
        <w:t>) and the Trustee, and as further amended by the Second Supplemental Indenture dated as of July 29, 2022, by and among the Issuer, the Guarantors and the Trustee (as amended, the </w:t>
      </w:r>
      <w:r>
        <w:rPr>
          <w:rFonts w:ascii="Times New Roman" w:hAnsi="Times New Roman"/>
          <w:b/>
          <w:sz w:val="20"/>
        </w:rPr>
        <w:t>Indenture</w:t>
      </w:r>
      <w:r>
        <w:rPr>
          <w:rFonts w:ascii="Times New Roman" w:hAnsi="Times New Roman"/>
          <w:sz w:val="20"/>
        </w:rPr>
        <w:t>).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Times New Roman" w:hAnsi="Times New Roman"/>
          <w:b/>
          <w:sz w:val="20"/>
        </w:rPr>
        <w:t>TIA</w:t>
      </w:r>
      <w:r>
        <w:rPr>
          <w:rFonts w:ascii="Times New Roman" w:hAnsi="Times New Roman"/>
          <w:sz w:val="20"/>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Times New Roman" w:hAnsi="Times New Roman"/>
          <w:b/>
          <w:sz w:val="20"/>
        </w:rPr>
        <w:t>Security</w:t>
      </w:r>
      <w:r>
        <w:rPr>
          <w:rFonts w:ascii="Times New Roman" w:hAnsi="Times New Roman"/>
          <w:sz w:val="20"/>
        </w:rPr>
        <w:t> and the notes are </w:t>
      </w:r>
      <w:r>
        <w:rPr>
          <w:rFonts w:ascii="Times New Roman" w:hAnsi="Times New Roman"/>
          <w:b/>
          <w:sz w:val="20"/>
        </w:rPr>
        <w:t>Securities</w:t>
      </w:r>
      <w:r>
        <w:rPr>
          <w:rFonts w:ascii="Times New Roman" w:hAnsi="Times New Roman"/>
          <w:sz w:val="20"/>
        </w:rPr>
        <w:t xml:space="preserve">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5. Guarantees.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6. Denominations; Transfer; Exchange.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giving of a notice of redemption, nor need the Issuer register the transfer or exchange any security selected for redemption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7. Persons Deemed Owners.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a Security shall be treated as the owner of it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8. Unclaimed Funds. </w:t>
      </w:r>
    </w:p>
    <w:p>
      <w:pPr>
        <w:pStyle w:val="TextBody"/>
        <w:bidi w:val="0"/>
        <w:spacing w:before="240" w:after="0"/>
        <w:jc w:val="left"/>
        <w:rPr>
          <w:rFonts w:ascii="Times New Roman" w:hAnsi="Times New Roman"/>
          <w:sz w:val="20"/>
        </w:rPr>
      </w:pPr>
      <w:r>
        <w:rPr>
          <w:rFonts w:ascii="Times New Roman" w:hAnsi="Times New Roman"/>
          <w:sz w:val="20"/>
        </w:rPr>
        <w:t xml:space="preserve">If funds for the payment of principal or interest remain unclaimed for two years, the Trustee and the Paying Agent will repay the funds to the Issuer at its written request. After that, all liability of the Trustee and such Paying Agent with respect to such funds shall cease.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Legal Defeasance and Covenant Defeasance.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Amendment; Supplement; Waiver. </w:t>
      </w:r>
    </w:p>
    <w:p>
      <w:pPr>
        <w:pStyle w:val="TextBody"/>
        <w:bidi w:val="0"/>
        <w:spacing w:before="240" w:after="0"/>
        <w:jc w:val="left"/>
        <w:rPr>
          <w:rFonts w:ascii="Times New Roman" w:hAnsi="Times New Roman"/>
          <w:sz w:val="20"/>
        </w:rPr>
      </w:pPr>
      <w:r>
        <w:rPr>
          <w:rFonts w:ascii="Times New Roman" w:hAnsi="Times New Roman"/>
          <w:sz w:val="20"/>
        </w:rPr>
        <w:t xml:space="preserve">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 </w:t>
      </w:r>
    </w:p>
    <w:p>
      <w:pPr>
        <w:pStyle w:val="TextBody"/>
        <w:bidi w:val="0"/>
        <w:spacing w:before="240" w:after="0"/>
        <w:jc w:val="left"/>
        <w:rPr>
          <w:rFonts w:ascii="Times New Roman" w:hAnsi="Times New Roman"/>
          <w:sz w:val="20"/>
        </w:rPr>
      </w:pPr>
      <w:r>
        <w:rPr>
          <w:rFonts w:ascii="Times New Roman" w:hAnsi="Times New Roman"/>
          <w:sz w:val="20"/>
        </w:rPr>
        <w:t xml:space="preserve">11. Restrictive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 </w:t>
      </w:r>
    </w:p>
    <w:p>
      <w:pPr>
        <w:pStyle w:val="TextBody"/>
        <w:bidi w:val="0"/>
        <w:spacing w:before="240" w:after="0"/>
        <w:jc w:val="left"/>
        <w:rPr>
          <w:rFonts w:ascii="Times New Roman" w:hAnsi="Times New Roman"/>
          <w:sz w:val="20"/>
        </w:rPr>
      </w:pPr>
      <w:r>
        <w:rPr>
          <w:rFonts w:ascii="Times New Roman" w:hAnsi="Times New Roman"/>
          <w:sz w:val="20"/>
        </w:rPr>
        <w:t xml:space="preserve">12. Redemption. </w:t>
      </w:r>
    </w:p>
    <w:p>
      <w:pPr>
        <w:pStyle w:val="TextBody"/>
        <w:bidi w:val="0"/>
        <w:spacing w:before="240" w:after="0"/>
        <w:jc w:val="left"/>
        <w:rPr>
          <w:rFonts w:ascii="Times New Roman" w:hAnsi="Times New Roman"/>
          <w:sz w:val="20"/>
        </w:rPr>
      </w:pPr>
      <w:r>
        <w:rPr>
          <w:rFonts w:ascii="Times New Roman" w:hAnsi="Times New Roman"/>
          <w:sz w:val="20"/>
        </w:rPr>
        <w:t>Prior to November 15, 2054 (six (6) months prior to the maturity date of the Securities) (the </w:t>
      </w:r>
      <w:r>
        <w:rPr>
          <w:rFonts w:ascii="Times New Roman" w:hAnsi="Times New Roman"/>
          <w:b/>
          <w:sz w:val="20"/>
        </w:rPr>
        <w:t>Par Call Date</w:t>
      </w:r>
      <w:r>
        <w:rPr>
          <w:rFonts w:ascii="Times New Roman" w:hAnsi="Times New Roman"/>
          <w:sz w:val="20"/>
        </w:rPr>
        <w:t xml:space="preserve">), the Issuer may redeem the Securities at its option, in whole or in part, at any time and from time to time, at a redemption price (expressed as a percentage of the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for this purpose, that the Securities matured on the Par Call Date) on a semi-annual basis (assuming a 360-day year consisting of twelve 30-day months) at the Treasury Rate plus 20 basis points, less (b) interest accrued to the date of redemption, and </w:t>
      </w:r>
    </w:p>
    <w:p>
      <w:pPr>
        <w:pStyle w:val="TextBody"/>
        <w:bidi w:val="0"/>
        <w:spacing w:before="240" w:after="0"/>
        <w:jc w:val="left"/>
        <w:rPr>
          <w:rFonts w:ascii="Times New Roman" w:hAnsi="Times New Roman"/>
          <w:sz w:val="20"/>
        </w:rPr>
      </w:pPr>
      <w:r>
        <w:rPr>
          <w:rFonts w:ascii="Times New Roman" w:hAnsi="Times New Roman"/>
          <w:sz w:val="20"/>
        </w:rPr>
        <w:t xml:space="preserve">(2) 100% of the principal amount of the Securities to be redeemed,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Issuer may redeem the Securities, in whole or in part, at any time and from time to time, at a redemption price equal to 100% of the principal amount of the Securities being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Treasury Rate means, with respect to any redemption date, the yield determined by the Issuer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b/>
          <w:sz w:val="20"/>
        </w:rPr>
        <w:t>H.15 TCM</w:t>
      </w:r>
      <w:r>
        <w:rPr>
          <w:rFonts w:ascii="Times New Roman" w:hAnsi="Times New Roman"/>
          <w:sz w:val="20"/>
        </w:rPr>
        <w:t>). In determining the Treasury Rate, the Issuer shall select, as applicable: (1) the yield for the Treasury constant maturity on H.15 exactly equal to the period from the redemption date to the Par Call Date (the </w:t>
      </w:r>
      <w:r>
        <w:rPr>
          <w:rFonts w:ascii="Times New Roman" w:hAnsi="Times New Roman"/>
          <w:b/>
          <w:sz w:val="20"/>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Securities for redemption will be made in accordance with the procedures of the Depositary. No Securities of a principal amount of $2,000 or less will be redeemed in part. If the Security is to be redeemed in part only, the notice of redemption will state the portion of the principal amount of the Security to be redeemed. A new Security in a principal amount equal to the unredeemed portion of the Security will be issued in the name of the holder of such Security upon surrender for cancellation of such original Security. For so long as any Security is registered in the name of the Depositary, the redemption of any Security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the Issuer defaults in payment of the redemption price, on and after the redemption date, interest will cease to accrue on the Securities or portions thereof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13. 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 </w:t>
      </w:r>
    </w:p>
    <w:p>
      <w:pPr>
        <w:pStyle w:val="TextBody"/>
        <w:bidi w:val="0"/>
        <w:spacing w:before="240" w:after="0"/>
        <w:jc w:val="left"/>
        <w:rPr>
          <w:rFonts w:ascii="Times New Roman" w:hAnsi="Times New Roman"/>
          <w:sz w:val="20"/>
        </w:rPr>
      </w:pPr>
      <w:r>
        <w:rPr>
          <w:rFonts w:ascii="Times New Roman" w:hAnsi="Times New Roman"/>
          <w:sz w:val="20"/>
        </w:rPr>
        <w:t xml:space="preserve">14. Trustee Dealings with Issuer. </w:t>
      </w:r>
    </w:p>
    <w:p>
      <w:pPr>
        <w:pStyle w:val="TextBody"/>
        <w:bidi w:val="0"/>
        <w:spacing w:before="240" w:after="0"/>
        <w:jc w:val="left"/>
        <w:rPr>
          <w:rFonts w:ascii="Times New Roman" w:hAnsi="Times New Roman"/>
          <w:sz w:val="20"/>
        </w:rPr>
      </w:pPr>
      <w:r>
        <w:rPr>
          <w:rFonts w:ascii="Times New Roman" w:hAnsi="Times New Roman"/>
          <w:sz w:val="20"/>
        </w:rPr>
        <w:t xml:space="preserve">The Trustee under the Indenture, in its individual or any other capacity, may become the owner or pledgee of Securities and may otherwise deal with the Issuer as if it were not the Trustee.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No Recourse Against Others. </w:t>
      </w:r>
    </w:p>
    <w:p>
      <w:pPr>
        <w:pStyle w:val="TextBody"/>
        <w:bidi w:val="0"/>
        <w:spacing w:before="240" w:after="0"/>
        <w:jc w:val="left"/>
        <w:rPr>
          <w:rFonts w:ascii="Times New Roman" w:hAnsi="Times New Roman"/>
          <w:sz w:val="20"/>
        </w:rPr>
      </w:pPr>
      <w:r>
        <w:rPr>
          <w:rFonts w:ascii="Times New Roman" w:hAnsi="Times New Roman"/>
          <w:sz w:val="20"/>
        </w:rPr>
        <w:t xml:space="preserve">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16.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Security shall not be valid until the Trustee electronically or manually signs the certificate of authentication 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17. Abbreviations and Defined Terms. </w:t>
      </w:r>
    </w:p>
    <w:p>
      <w:pPr>
        <w:pStyle w:val="TextBody"/>
        <w:bidi w:val="0"/>
        <w:spacing w:before="240" w:after="0"/>
        <w:jc w:val="left"/>
        <w:rPr>
          <w:rFonts w:ascii="Times New Roman" w:hAnsi="Times New Roman"/>
          <w:sz w:val="20"/>
        </w:rPr>
      </w:pPr>
      <w:r>
        <w:rPr>
          <w:rFonts w:ascii="Times New Roman" w:hAnsi="Times New Roman"/>
          <w:sz w:val="20"/>
        </w:rPr>
        <w:t xml:space="preserve">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18. CUSIP Numbers. </w:t>
      </w:r>
    </w:p>
    <w:p>
      <w:pPr>
        <w:pStyle w:val="TextBody"/>
        <w:bidi w:val="0"/>
        <w:spacing w:before="240" w:after="0"/>
        <w:jc w:val="left"/>
        <w:rPr>
          <w:rFonts w:ascii="Times New Roman" w:hAnsi="Times New Roman"/>
          <w:sz w:val="20"/>
        </w:rPr>
      </w:pPr>
      <w:r>
        <w:rPr>
          <w:rFonts w:ascii="Times New Roman" w:hAnsi="Times New Roman"/>
          <w:sz w:val="20"/>
        </w:rPr>
        <w:t xml:space="preserve">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 </w:t>
      </w:r>
    </w:p>
    <w:p>
      <w:pPr>
        <w:pStyle w:val="TextBody"/>
        <w:bidi w:val="0"/>
        <w:spacing w:before="240" w:after="0"/>
        <w:jc w:val="left"/>
        <w:rPr>
          <w:rFonts w:ascii="Times New Roman" w:hAnsi="Times New Roman"/>
          <w:sz w:val="20"/>
        </w:rPr>
      </w:pPr>
      <w:r>
        <w:rPr>
          <w:rFonts w:ascii="Times New Roman" w:hAnsi="Times New Roman"/>
          <w:sz w:val="20"/>
        </w:rPr>
        <w:t xml:space="preserve">19. Governing Law. </w:t>
      </w:r>
    </w:p>
    <w:p>
      <w:pPr>
        <w:pStyle w:val="TextBody"/>
        <w:bidi w:val="0"/>
        <w:spacing w:before="240" w:after="0"/>
        <w:jc w:val="left"/>
        <w:rPr>
          <w:rFonts w:ascii="Times New Roman" w:hAnsi="Times New Roman"/>
          <w:sz w:val="20"/>
        </w:rPr>
      </w:pPr>
      <w:r>
        <w:rPr>
          <w:rFonts w:ascii="Times New Roman" w:hAnsi="Times New Roman"/>
          <w:sz w:val="20"/>
        </w:rPr>
        <w:t xml:space="preserve">The laws of the State of New York shall govern the Indenture and this Security thereof.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I or we assign and transfer this Security to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name, address and zip code of assignee or transferee)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Social Security or other identifying number of assignee or transferee) </w:t>
      </w:r>
    </w:p>
    <w:p>
      <w:pPr>
        <w:pStyle w:val="TextBody"/>
        <w:bidi w:val="0"/>
        <w:spacing w:before="240" w:after="0"/>
        <w:jc w:val="left"/>
        <w:rPr>
          <w:rFonts w:ascii="Times New Roman" w:hAnsi="Times New Roman"/>
          <w:sz w:val="20"/>
        </w:rPr>
      </w:pPr>
      <w:r>
        <w:rPr>
          <w:rFonts w:ascii="Times New Roman" w:hAnsi="Times New Roman"/>
          <w:sz w:val="20"/>
        </w:rPr>
        <w:t xml:space="preserve">and irrevocably appoint_________________________________________ agent to transfer this Security on the books of the Issuer. The agent may substitute another to act for him.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95"/>
        <w:gridCol w:w="108"/>
        <w:gridCol w:w="3919"/>
        <w:gridCol w:w="108"/>
        <w:gridCol w:w="394"/>
        <w:gridCol w:w="108"/>
        <w:gridCol w:w="710"/>
        <w:gridCol w:w="108"/>
        <w:gridCol w:w="4155"/>
      </w:tblGrid>
      <w:tr>
        <w:trPr/>
        <w:tc>
          <w:tcPr>
            <w:tcW w:w="59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4155" w:type="dxa"/>
            <w:tcBorders/>
            <w:vAlign w:val="center"/>
          </w:tcPr>
          <w:p>
            <w:pPr>
              <w:pStyle w:val="TableContents"/>
              <w:bidi w:val="0"/>
              <w:spacing w:before="0" w:after="283"/>
              <w:jc w:val="left"/>
              <w:rPr>
                <w:sz w:val="4"/>
                <w:szCs w:val="4"/>
              </w:rPr>
            </w:pPr>
            <w:r>
              <w:rPr>
                <w:sz w:val="4"/>
                <w:szCs w:val="4"/>
              </w:rPr>
            </w:r>
          </w:p>
        </w:tc>
      </w:tr>
      <w:tr>
        <w:trPr/>
        <w:tc>
          <w:tcPr>
            <w:tcW w:w="595" w:type="dxa"/>
            <w:tcBorders/>
          </w:tcPr>
          <w:p>
            <w:pPr>
              <w:pStyle w:val="TableContents"/>
              <w:bidi w:val="0"/>
              <w:spacing w:before="0" w:after="283"/>
              <w:jc w:val="left"/>
              <w:rPr/>
            </w:pPr>
            <w:r>
              <w:rPr/>
              <w:t>Dated:</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3919" w:type="dxa"/>
            <w:tcBorders>
              <w:bottom w:val="single" w:sz="2" w:space="0" w:color="000000"/>
            </w:tcBorders>
            <w:tcMar>
              <w:bottom w:w="28" w:type="dxa"/>
            </w:tcMa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left"/>
              <w:rPr/>
            </w:pPr>
            <w:r>
              <w:rPr/>
              <w:t>Signed:</w:t>
            </w:r>
          </w:p>
        </w:tc>
        <w:tc>
          <w:tcPr>
            <w:tcW w:w="108" w:type="dxa"/>
            <w:tcBorders>
              <w:bottom w:val="single" w:sz="2" w:space="0" w:color="000000"/>
            </w:tcBorders>
            <w:tcMar>
              <w:bottom w:w="28" w:type="dxa"/>
            </w:tcMar>
            <w:vAlign w:val="bottom"/>
          </w:tcPr>
          <w:p>
            <w:pPr>
              <w:pStyle w:val="TableContents"/>
              <w:bidi w:val="0"/>
              <w:spacing w:before="0" w:after="283"/>
              <w:jc w:val="left"/>
              <w:rPr/>
            </w:pPr>
            <w:r>
              <w:rPr/>
              <w:t> </w:t>
            </w:r>
          </w:p>
        </w:tc>
        <w:tc>
          <w:tcPr>
            <w:tcW w:w="4155" w:type="dxa"/>
            <w:tcBorders>
              <w:bottom w:val="single" w:sz="2" w:space="0" w:color="000000"/>
            </w:tcBorders>
            <w:tcMar>
              <w:bottom w:w="28" w:type="dxa"/>
            </w:tcMar>
          </w:tcPr>
          <w:p>
            <w:pPr>
              <w:pStyle w:val="TableContents"/>
              <w:bidi w:val="0"/>
              <w:spacing w:before="0" w:after="283"/>
              <w:jc w:val="left"/>
              <w:rPr/>
            </w:pPr>
            <w:r>
              <w:rPr/>
              <w:t> </w:t>
            </w:r>
          </w:p>
        </w:tc>
      </w:tr>
      <w:tr>
        <w:trPr/>
        <w:tc>
          <w:tcPr>
            <w:tcW w:w="595"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19"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94"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710"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4155" w:type="dxa"/>
            <w:tcBorders/>
          </w:tcPr>
          <w:p>
            <w:pPr>
              <w:pStyle w:val="TableContents"/>
              <w:bidi w:val="0"/>
              <w:spacing w:before="0" w:after="283"/>
              <w:jc w:val="left"/>
              <w:rPr/>
            </w:pPr>
            <w:r>
              <w:rPr/>
              <w:t>(Signed exactly as name appears on the other side of this Security)</w:t>
            </w:r>
          </w:p>
        </w:tc>
      </w:tr>
    </w:tbl>
    <w:p>
      <w:pPr>
        <w:pStyle w:val="TextBody"/>
        <w:bidi w:val="0"/>
        <w:spacing w:before="0" w:after="0"/>
        <w:jc w:val="left"/>
        <w:rPr/>
      </w:pPr>
      <w:r>
        <w:rPr/>
        <w:t> </w:t>
      </w:r>
    </w:p>
    <w:tbl>
      <w:tblPr>
        <w:tblW w:w="6610" w:type="dxa"/>
        <w:jc w:val="left"/>
        <w:tblInd w:w="0" w:type="dxa"/>
        <w:tblLayout w:type="fixed"/>
        <w:tblCellMar>
          <w:top w:w="0" w:type="dxa"/>
          <w:left w:w="0" w:type="dxa"/>
          <w:bottom w:w="0" w:type="dxa"/>
          <w:right w:w="0" w:type="dxa"/>
        </w:tblCellMar>
      </w:tblPr>
      <w:tblGrid>
        <w:gridCol w:w="1955"/>
        <w:gridCol w:w="60"/>
        <w:gridCol w:w="4595"/>
      </w:tblGrid>
      <w:tr>
        <w:trPr/>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left"/>
              <w:rPr>
                <w:sz w:val="4"/>
                <w:szCs w:val="4"/>
              </w:rPr>
            </w:pPr>
            <w:r>
              <w:rPr>
                <w:sz w:val="4"/>
                <w:szCs w:val="4"/>
              </w:rPr>
            </w:r>
          </w:p>
        </w:tc>
      </w:tr>
      <w:tr>
        <w:trPr/>
        <w:tc>
          <w:tcPr>
            <w:tcW w:w="1955" w:type="dxa"/>
            <w:tcBorders/>
          </w:tcPr>
          <w:p>
            <w:pPr>
              <w:pStyle w:val="TableContents"/>
              <w:bidi w:val="0"/>
              <w:spacing w:before="0" w:after="283"/>
              <w:jc w:val="left"/>
              <w:rPr/>
            </w:pPr>
            <w:r>
              <w:rPr/>
              <w:t>Signature Guarantee: 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595" w:type="dxa"/>
            <w:tcBorders>
              <w:bottom w:val="single" w:sz="2" w:space="0" w:color="000000"/>
            </w:tcBorders>
            <w:tcMar>
              <w:bottom w:w="28" w:type="dxa"/>
            </w:tcMar>
          </w:tcPr>
          <w:p>
            <w:pPr>
              <w:pStyle w:val="TableContents"/>
              <w:bidi w:val="0"/>
              <w:spacing w:before="0" w:after="283"/>
              <w:jc w:val="left"/>
              <w:rPr/>
            </w:pPr>
            <w:r>
              <w:rPr/>
              <w:t> </w:t>
            </w:r>
          </w:p>
        </w:tc>
      </w:tr>
      <w:tr>
        <w:trPr/>
        <w:tc>
          <w:tcPr>
            <w:tcW w:w="19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Participant in a recognized Signature Guarantee</w:t>
            </w:r>
          </w:p>
        </w:tc>
      </w:tr>
      <w:tr>
        <w:trPr/>
        <w:tc>
          <w:tcPr>
            <w:tcW w:w="19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Medallion Program (or other signature guarantor</w:t>
            </w:r>
          </w:p>
        </w:tc>
      </w:tr>
      <w:tr>
        <w:trPr/>
        <w:tc>
          <w:tcPr>
            <w:tcW w:w="195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595" w:type="dxa"/>
            <w:tcBorders/>
          </w:tcPr>
          <w:p>
            <w:pPr>
              <w:pStyle w:val="TableContents"/>
              <w:bidi w:val="0"/>
              <w:spacing w:before="0" w:after="283"/>
              <w:jc w:val="left"/>
              <w:rPr/>
            </w:pPr>
            <w:r>
              <w:rPr/>
              <w:t>program reasonably acceptable to the Trustee)</w:t>
            </w:r>
          </w:p>
        </w:tc>
      </w:tr>
    </w:tbl>
    <w:p>
      <w:pPr>
        <w:pStyle w:val="TextBody"/>
        <w:bidi w:val="0"/>
        <w:spacing w:before="0" w:after="0"/>
        <w:jc w:val="right"/>
        <w:rPr>
          <w:rFonts w:ascii="Times New Roman" w:hAnsi="Times New Roman"/>
          <w:b/>
          <w:sz w:val="20"/>
        </w:rPr>
      </w:pPr>
      <w:bookmarkStart w:id="4" w:name="d892809dex51.htm"/>
      <w:bookmarkStart w:id="5" w:name="ksd892809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952625" cy="110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1104900"/>
                    </a:xfrm>
                    <a:prstGeom prst="rect">
                      <a:avLst/>
                    </a:prstGeom>
                  </pic:spPr>
                </pic:pic>
              </a:graphicData>
            </a:graphic>
          </wp:inline>
        </w:drawing>
      </w:r>
      <w:r>
        <w:rPr/>
        <w:t xml:space="preserve"> </w:t>
      </w:r>
    </w:p>
    <w:p>
      <w:pPr>
        <w:pStyle w:val="TextBody"/>
        <w:bidi w:val="0"/>
        <w:spacing w:before="240" w:after="0"/>
        <w:jc w:val="right"/>
        <w:rPr>
          <w:rFonts w:ascii="Times New Roman" w:hAnsi="Times New Roman"/>
          <w:sz w:val="20"/>
        </w:rPr>
      </w:pPr>
      <w:r>
        <w:rPr>
          <w:rFonts w:ascii="Times New Roman" w:hAnsi="Times New Roman"/>
          <w:sz w:val="20"/>
        </w:rPr>
        <w:t xml:space="preserve">May 8, 2025 </w:t>
      </w:r>
    </w:p>
    <w:p>
      <w:pPr>
        <w:pStyle w:val="TextBody"/>
        <w:bidi w:val="0"/>
        <w:spacing w:before="240" w:after="0"/>
        <w:jc w:val="left"/>
        <w:rPr>
          <w:rFonts w:ascii="Times New Roman" w:hAnsi="Times New Roman"/>
          <w:sz w:val="20"/>
        </w:rPr>
      </w:pPr>
      <w:r>
        <w:rPr>
          <w:rFonts w:ascii="Times New Roman" w:hAnsi="Times New Roman"/>
          <w:sz w:val="20"/>
        </w:rPr>
        <w:t xml:space="preserve">Comcast Corporation </w:t>
      </w:r>
    </w:p>
    <w:p>
      <w:pPr>
        <w:pStyle w:val="TextBody"/>
        <w:bidi w:val="0"/>
        <w:spacing w:before="0" w:after="0"/>
        <w:jc w:val="left"/>
        <w:rPr>
          <w:rFonts w:ascii="Times New Roman" w:hAnsi="Times New Roman"/>
          <w:sz w:val="20"/>
        </w:rPr>
      </w:pPr>
      <w:r>
        <w:rPr>
          <w:rFonts w:ascii="Times New Roman" w:hAnsi="Times New Roman"/>
          <w:sz w:val="20"/>
        </w:rPr>
        <w:t xml:space="preserve">One Comcast Center </w:t>
      </w:r>
    </w:p>
    <w:p>
      <w:pPr>
        <w:pStyle w:val="TextBody"/>
        <w:bidi w:val="0"/>
        <w:spacing w:before="0" w:after="0"/>
        <w:jc w:val="left"/>
        <w:rPr>
          <w:rFonts w:ascii="Times New Roman" w:hAnsi="Times New Roman"/>
          <w:sz w:val="20"/>
        </w:rPr>
      </w:pPr>
      <w:r>
        <w:rPr>
          <w:rFonts w:ascii="Times New Roman" w:hAnsi="Times New Roman"/>
          <w:sz w:val="20"/>
        </w:rPr>
        <w:t xml:space="preserve">Philadelphia, Pennsylvania 19103-2838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I am Senior Vice President, Senior Deputy General Counsel and Assistant Secretary of Comcast Corporation, a Pennsylvania corporation (the </w:t>
      </w:r>
      <w:r>
        <w:rPr>
          <w:rFonts w:ascii="Times New Roman" w:hAnsi="Times New Roman"/>
          <w:b/>
          <w:sz w:val="20"/>
        </w:rPr>
        <w:t>Company</w:t>
      </w:r>
      <w:r>
        <w:rPr>
          <w:rFonts w:ascii="Times New Roman" w:hAnsi="Times New Roman"/>
          <w:sz w:val="20"/>
        </w:rPr>
        <w:t>), and have acted for the Company in connection with the issuance by the Company, pursuant to the Underwriting Agreement dated May 5, 2025 (the </w:t>
      </w:r>
      <w:r>
        <w:rPr>
          <w:rFonts w:ascii="Times New Roman" w:hAnsi="Times New Roman"/>
          <w:b/>
          <w:sz w:val="20"/>
        </w:rPr>
        <w:t>Underwriting Agreement</w:t>
      </w:r>
      <w:r>
        <w:rPr>
          <w:rFonts w:ascii="Times New Roman" w:hAnsi="Times New Roman"/>
          <w:sz w:val="20"/>
        </w:rPr>
        <w:t>) among the Company, the Guarantors (as defined below) and the several underwriters named therein (the </w:t>
      </w:r>
      <w:r>
        <w:rPr>
          <w:rFonts w:ascii="Times New Roman" w:hAnsi="Times New Roman"/>
          <w:b/>
          <w:sz w:val="20"/>
        </w:rPr>
        <w:t>Underwriters</w:t>
      </w:r>
      <w:r>
        <w:rPr>
          <w:rFonts w:ascii="Times New Roman" w:hAnsi="Times New Roman"/>
          <w:sz w:val="20"/>
        </w:rPr>
        <w:t>), of $650,000,000 aggregate principal amount of its 4.950% Notes due 2032, $850,000,000 aggregate principal amount of its 5.300% Notes due 2035 and $1,000,000,000 aggregate principal amount of its 6.050% Notes due 2055 (collectively, the </w:t>
      </w:r>
      <w:r>
        <w:rPr>
          <w:rFonts w:ascii="Times New Roman" w:hAnsi="Times New Roman"/>
          <w:b/>
          <w:sz w:val="20"/>
        </w:rPr>
        <w:t>Notes</w:t>
      </w:r>
      <w:r>
        <w:rPr>
          <w:rFonts w:ascii="Times New Roman" w:hAnsi="Times New Roman"/>
          <w:sz w:val="20"/>
        </w:rPr>
        <w:t>). The Notes are to be issued pursuant to the provisions of the Indenture dated as of September 18, 2013 (the </w:t>
      </w:r>
      <w:r>
        <w:rPr>
          <w:rFonts w:ascii="Times New Roman" w:hAnsi="Times New Roman"/>
          <w:b/>
          <w:sz w:val="20"/>
        </w:rPr>
        <w:t>Base Indenture</w:t>
      </w:r>
      <w:r>
        <w:rPr>
          <w:rFonts w:ascii="Times New Roman" w:hAnsi="Times New Roman"/>
          <w:sz w:val="20"/>
        </w:rPr>
        <w:t>), as amended by the First Supplemental Indenture thereto dated as of November 17, 2015 (the </w:t>
      </w:r>
      <w:r>
        <w:rPr>
          <w:rFonts w:ascii="Times New Roman" w:hAnsi="Times New Roman"/>
          <w:b/>
          <w:sz w:val="20"/>
        </w:rPr>
        <w:t>First Supplemental Indenture</w:t>
      </w:r>
      <w:r>
        <w:rPr>
          <w:rFonts w:ascii="Times New Roman" w:hAnsi="Times New Roman"/>
          <w:sz w:val="20"/>
        </w:rPr>
        <w:t>) and the Second Supplemental Indenture dated as of July 29, 2022 (the </w:t>
      </w:r>
      <w:r>
        <w:rPr>
          <w:rFonts w:ascii="Times New Roman" w:hAnsi="Times New Roman"/>
          <w:b/>
          <w:sz w:val="20"/>
        </w:rPr>
        <w:t>Second Supplemental Indenture</w:t>
      </w:r>
      <w:r>
        <w:rPr>
          <w:rFonts w:ascii="Times New Roman" w:hAnsi="Times New Roman"/>
          <w:sz w:val="20"/>
        </w:rPr>
        <w:t> and, together with the Base Indenture and the First Supplemental Indenture, the </w:t>
      </w:r>
      <w:r>
        <w:rPr>
          <w:rFonts w:ascii="Times New Roman" w:hAnsi="Times New Roman"/>
          <w:b/>
          <w:sz w:val="20"/>
        </w:rPr>
        <w:t>Indenture</w:t>
      </w:r>
      <w:r>
        <w:rPr>
          <w:rFonts w:ascii="Times New Roman" w:hAnsi="Times New Roman"/>
          <w:sz w:val="20"/>
        </w:rPr>
        <w:t>), each by and among the Company, the guarantors named therein (the </w:t>
      </w:r>
      <w:r>
        <w:rPr>
          <w:rFonts w:ascii="Times New Roman" w:hAnsi="Times New Roman"/>
          <w:b/>
          <w:sz w:val="20"/>
        </w:rPr>
        <w:t>Guarantors</w:t>
      </w:r>
      <w:r>
        <w:rPr>
          <w:rFonts w:ascii="Times New Roman" w:hAnsi="Times New Roman"/>
          <w:sz w:val="20"/>
        </w:rPr>
        <w:t>) and The Bank of New York Mellon, as trustee (the </w:t>
      </w:r>
      <w:r>
        <w:rPr>
          <w:rFonts w:ascii="Times New Roman" w:hAnsi="Times New Roman"/>
          <w:b/>
          <w:sz w:val="20"/>
        </w:rPr>
        <w:t>Trustee</w:t>
      </w:r>
      <w:r>
        <w:rPr>
          <w:rFonts w:ascii="Times New Roman" w:hAnsi="Times New Roman"/>
          <w:sz w:val="20"/>
        </w:rPr>
        <w:t xml:space="preserve">). The Notes are to be guaranteed on an unsecured and unsubordinated basis by the Guarantors. </w:t>
      </w:r>
    </w:p>
    <w:p>
      <w:pPr>
        <w:pStyle w:val="TextBody"/>
        <w:bidi w:val="0"/>
        <w:spacing w:before="240" w:after="0"/>
        <w:jc w:val="left"/>
        <w:rPr>
          <w:rFonts w:ascii="Times New Roman" w:hAnsi="Times New Roman"/>
          <w:sz w:val="20"/>
        </w:rPr>
      </w:pPr>
      <w:r>
        <w:rPr>
          <w:rFonts w:ascii="Times New Roman" w:hAnsi="Times New Roman"/>
          <w:sz w:val="20"/>
        </w:rPr>
        <w:t xml:space="preserve">I have examined originals or copies, certified or otherwise identified to my satisfaction, of such documents, corporate records, certificates of public officials and other instruments as I have deemed necessary or advisable for the purpose of rendering this opinion.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I am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Indenture has been duly authorized, executed and delivered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have been duly authorized by the Company.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235"/>
        <w:gridCol w:w="122"/>
        <w:gridCol w:w="4848"/>
      </w:tblGrid>
      <w:tr>
        <w:trPr/>
        <w:tc>
          <w:tcPr>
            <w:tcW w:w="523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48" w:type="dxa"/>
            <w:tcBorders/>
            <w:vAlign w:val="center"/>
          </w:tcPr>
          <w:p>
            <w:pPr>
              <w:pStyle w:val="TableContents"/>
              <w:bidi w:val="0"/>
              <w:spacing w:before="0" w:after="283"/>
              <w:jc w:val="left"/>
              <w:rPr>
                <w:sz w:val="4"/>
                <w:szCs w:val="4"/>
              </w:rPr>
            </w:pPr>
            <w:r>
              <w:rPr>
                <w:sz w:val="4"/>
                <w:szCs w:val="4"/>
              </w:rPr>
            </w:r>
          </w:p>
        </w:tc>
      </w:tr>
      <w:tr>
        <w:trPr/>
        <w:tc>
          <w:tcPr>
            <w:tcW w:w="5235" w:type="dxa"/>
            <w:tcBorders/>
          </w:tcPr>
          <w:p>
            <w:pPr>
              <w:pStyle w:val="TableContents"/>
              <w:bidi w:val="0"/>
              <w:spacing w:before="0" w:after="283"/>
              <w:jc w:val="left"/>
              <w:rPr/>
            </w:pPr>
            <w:r>
              <w:rPr/>
              <w:t>Comcast Corporation</w:t>
            </w:r>
          </w:p>
        </w:tc>
        <w:tc>
          <w:tcPr>
            <w:tcW w:w="122" w:type="dxa"/>
            <w:tcBorders/>
            <w:vAlign w:val="bottom"/>
          </w:tcPr>
          <w:p>
            <w:pPr>
              <w:pStyle w:val="TableContents"/>
              <w:bidi w:val="0"/>
              <w:spacing w:before="0" w:after="283"/>
              <w:jc w:val="left"/>
              <w:rPr/>
            </w:pPr>
            <w:r>
              <w:rPr/>
              <w:t>  </w:t>
            </w:r>
          </w:p>
        </w:tc>
        <w:tc>
          <w:tcPr>
            <w:tcW w:w="4848" w:type="dxa"/>
            <w:tcBorders/>
          </w:tcPr>
          <w:p>
            <w:pPr>
              <w:pStyle w:val="TableContents"/>
              <w:bidi w:val="0"/>
              <w:spacing w:before="0" w:after="283"/>
              <w:jc w:val="right"/>
              <w:rPr/>
            </w:pPr>
            <w:r>
              <w:rPr/>
              <w:t>May 8, 2025</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 am a member of the Bar of the Commonwealth of Pennsylvania and the foregoing opinion is limited to the laws of the Commonwealth of Pennsylvania and the federal laws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I hereby consent to the filing of this opinion as an exhibit to a report on Form 8-K filed by the Company on the date hereof and its incorporation by reference into the Companys registration statement on Form S-3 filed on February 28, 2025, as amended as of the date of the Underwriting Agreement (File No. 333-285428). In addition, I consent to the reference to my name under the caption Legal Matters in the prospectus supplement, which is a part of the registration statement. In giving this consent, I do not admit that I am in the category of persons whose consent is required under Section 7 of the Securities Act of 1933, as amended.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3" w:type="dxa"/>
            <w:tcBorders>
              <w:bottom w:val="single" w:sz="2" w:space="0" w:color="000000"/>
            </w:tcBorders>
            <w:tcMar>
              <w:bottom w:w="28" w:type="dxa"/>
            </w:tcMar>
          </w:tcPr>
          <w:p>
            <w:pPr>
              <w:pStyle w:val="TableContents"/>
              <w:bidi w:val="0"/>
              <w:spacing w:before="0" w:after="283"/>
              <w:jc w:val="left"/>
              <w:rPr/>
            </w:pPr>
            <w:r>
              <w:rPr/>
              <w:t>/s/ Elizabeth Wideman</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vAlign w:val="bottom"/>
          </w:tcPr>
          <w:p>
            <w:pPr>
              <w:pStyle w:val="TableContents"/>
              <w:bidi w:val="0"/>
              <w:spacing w:before="0" w:after="283"/>
              <w:jc w:val="left"/>
              <w:rPr/>
            </w:pPr>
            <w:r>
              <w:rPr/>
              <w:t>Name: Elizabeth Wideman</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vAlign w:val="bottom"/>
          </w:tcPr>
          <w:p>
            <w:pPr>
              <w:pStyle w:val="TableContents"/>
              <w:bidi w:val="0"/>
              <w:spacing w:before="0" w:after="283"/>
              <w:jc w:val="left"/>
              <w:rPr/>
            </w:pPr>
            <w:r>
              <w:rPr/>
              <w:t>Title: Senior Vice President, Senior Deputy General Counsel and Assistant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Companys Exhibit 5 Opinion (Closing)</w:t>
      </w:r>
      <w:r>
        <w:rPr>
          <w:rFonts w:ascii="Times New Roman" w:hAnsi="Times New Roman"/>
          <w:sz w:val="20"/>
        </w:rPr>
        <w:t xml:space="preserve">] </w:t>
      </w:r>
    </w:p>
    <w:p>
      <w:pPr>
        <w:pStyle w:val="Normal"/>
        <w:bidi w:val="0"/>
        <w:spacing w:before="0" w:after="0"/>
        <w:jc w:val="left"/>
        <w:rPr>
          <w:sz w:val="4"/>
          <w:szCs w:val="4"/>
        </w:rPr>
      </w:pPr>
      <w:r>
        <w:rPr>
          <w:sz w:val="4"/>
          <w:szCs w:val="4"/>
        </w:rPr>
      </w:r>
      <w:bookmarkStart w:id="6" w:name="d892809dex52.htm"/>
      <w:bookmarkStart w:id="7" w:name="ksd892809dex52"/>
      <w:bookmarkStart w:id="8" w:name="d892809dex52.htm"/>
      <w:bookmarkStart w:id="9" w:name="ksd892809dex52"/>
      <w:bookmarkEnd w:id="8"/>
      <w:bookmarkEnd w:id="9"/>
      <w:r>
        <w:br w:type="page"/>
      </w:r>
    </w:p>
    <w:tbl>
      <w:tblPr>
        <w:tblW w:w="5000" w:type="pct"/>
        <w:jc w:val="center"/>
        <w:tblInd w:w="0" w:type="dxa"/>
        <w:tblLayout w:type="fixed"/>
        <w:tblCellMar>
          <w:top w:w="0" w:type="dxa"/>
          <w:left w:w="0" w:type="dxa"/>
          <w:bottom w:w="0" w:type="dxa"/>
          <w:right w:w="0" w:type="dxa"/>
        </w:tblCellMar>
      </w:tblPr>
      <w:tblGrid>
        <w:gridCol w:w="1776"/>
        <w:gridCol w:w="107"/>
        <w:gridCol w:w="4318"/>
        <w:gridCol w:w="122"/>
        <w:gridCol w:w="3882"/>
      </w:tblGrid>
      <w:tr>
        <w:trPr/>
        <w:tc>
          <w:tcPr>
            <w:tcW w:w="177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31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882" w:type="dxa"/>
            <w:tcBorders/>
            <w:vAlign w:val="center"/>
          </w:tcPr>
          <w:p>
            <w:pPr>
              <w:pStyle w:val="TableContents"/>
              <w:bidi w:val="0"/>
              <w:spacing w:before="0" w:after="283"/>
              <w:jc w:val="left"/>
              <w:rPr>
                <w:sz w:val="4"/>
                <w:szCs w:val="4"/>
              </w:rPr>
            </w:pPr>
            <w:r>
              <w:rPr>
                <w:sz w:val="4"/>
                <w:szCs w:val="4"/>
              </w:rPr>
            </w:r>
          </w:p>
        </w:tc>
      </w:tr>
      <w:tr>
        <w:trPr/>
        <w:tc>
          <w:tcPr>
            <w:tcW w:w="177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31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882" w:type="dxa"/>
            <w:tcBorders/>
          </w:tcPr>
          <w:p>
            <w:pPr>
              <w:pStyle w:val="TableContents"/>
              <w:bidi w:val="0"/>
              <w:spacing w:before="0" w:after="283"/>
              <w:jc w:val="right"/>
              <w:rPr>
                <w:b/>
              </w:rPr>
            </w:pPr>
            <w:r>
              <w:rPr>
                <w:b/>
              </w:rPr>
              <w:t>Exhibit 5.2</w:t>
            </w:r>
          </w:p>
        </w:tc>
      </w:tr>
      <w:tr>
        <w:trPr>
          <w:trHeight w:val="240" w:hRule="atLeast"/>
        </w:trPr>
        <w:tc>
          <w:tcPr>
            <w:tcW w:w="1776" w:type="dxa"/>
            <w:tcBorders/>
            <w:vAlign w:val="center"/>
          </w:tcPr>
          <w:p>
            <w:pPr>
              <w:pStyle w:val="TableContents"/>
              <w:bidi w:val="0"/>
              <w:spacing w:before="0" w:after="283"/>
              <w:jc w:val="left"/>
              <w:rPr>
                <w:sz w:val="4"/>
                <w:szCs w:val="4"/>
              </w:rPr>
            </w:pPr>
            <w:r>
              <w:rPr>
                <w:sz w:val="4"/>
                <w:szCs w:val="4"/>
              </w:rPr>
            </w:r>
          </w:p>
        </w:tc>
        <w:tc>
          <w:tcPr>
            <w:tcW w:w="4425" w:type="dxa"/>
            <w:gridSpan w:val="2"/>
            <w:tcBorders/>
            <w:vAlign w:val="center"/>
          </w:tcPr>
          <w:p>
            <w:pPr>
              <w:pStyle w:val="TableContents"/>
              <w:bidi w:val="0"/>
              <w:spacing w:before="0" w:after="283"/>
              <w:jc w:val="left"/>
              <w:rPr>
                <w:sz w:val="4"/>
                <w:szCs w:val="4"/>
              </w:rPr>
            </w:pPr>
            <w:r>
              <w:rPr>
                <w:sz w:val="4"/>
                <w:szCs w:val="4"/>
              </w:rPr>
            </w:r>
          </w:p>
        </w:tc>
        <w:tc>
          <w:tcPr>
            <w:tcW w:w="4004" w:type="dxa"/>
            <w:gridSpan w:val="2"/>
            <w:tcBorders/>
            <w:vAlign w:val="center"/>
          </w:tcPr>
          <w:p>
            <w:pPr>
              <w:pStyle w:val="TableContents"/>
              <w:bidi w:val="0"/>
              <w:spacing w:before="0" w:after="283"/>
              <w:jc w:val="left"/>
              <w:rPr>
                <w:sz w:val="4"/>
                <w:szCs w:val="4"/>
              </w:rPr>
            </w:pPr>
            <w:r>
              <w:rPr>
                <w:sz w:val="4"/>
                <w:szCs w:val="4"/>
              </w:rPr>
            </w:r>
          </w:p>
        </w:tc>
      </w:tr>
      <w:tr>
        <w:trPr/>
        <w:tc>
          <w:tcPr>
            <w:tcW w:w="1776" w:type="dxa"/>
            <w:tcBorders/>
          </w:tcPr>
          <w:p>
            <w:pPr>
              <w:pStyle w:val="TableContents"/>
              <w:bidi w:val="0"/>
              <w:spacing w:before="0" w:after="283"/>
              <w:jc w:val="left"/>
              <w:rPr/>
            </w:pPr>
            <w:r>
              <w:rPr/>
              <w:drawing>
                <wp:inline distT="0" distB="0" distL="0" distR="0">
                  <wp:extent cx="1000125"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0125" cy="190500"/>
                          </a:xfrm>
                          <a:prstGeom prst="rect">
                            <a:avLst/>
                          </a:prstGeom>
                        </pic:spPr>
                      </pic:pic>
                    </a:graphicData>
                  </a:graphic>
                </wp:inline>
              </w:drawing>
            </w:r>
            <w:r>
              <w:rPr/>
              <w:t xml:space="preserve"> </w:t>
            </w:r>
          </w:p>
        </w:tc>
        <w:tc>
          <w:tcPr>
            <w:tcW w:w="107" w:type="dxa"/>
            <w:tcBorders/>
            <w:vAlign w:val="bottom"/>
          </w:tcPr>
          <w:p>
            <w:pPr>
              <w:pStyle w:val="TableContents"/>
              <w:bidi w:val="0"/>
              <w:spacing w:before="0" w:after="283"/>
              <w:jc w:val="left"/>
              <w:rPr/>
            </w:pPr>
            <w:r>
              <w:rPr/>
              <w:t> </w:t>
            </w:r>
          </w:p>
        </w:tc>
        <w:tc>
          <w:tcPr>
            <w:tcW w:w="4318" w:type="dxa"/>
            <w:tcBorders/>
          </w:tcPr>
          <w:p>
            <w:pPr>
              <w:pStyle w:val="TableContents"/>
              <w:bidi w:val="0"/>
              <w:spacing w:before="0" w:after="0"/>
              <w:jc w:val="left"/>
              <w:rPr>
                <w:rFonts w:ascii="Times New Roman" w:hAnsi="Times New Roman"/>
                <w:sz w:val="20"/>
              </w:rPr>
            </w:pPr>
            <w:r>
              <w:rPr>
                <w:rFonts w:ascii="Times New Roman" w:hAnsi="Times New Roman"/>
                <w:sz w:val="20"/>
              </w:rPr>
              <w:t>Davis Polk &amp; Wardwell LLP</w:t>
            </w:r>
          </w:p>
          <w:p>
            <w:pPr>
              <w:pStyle w:val="TableContents"/>
              <w:bidi w:val="0"/>
              <w:spacing w:before="0" w:after="0"/>
              <w:jc w:val="left"/>
              <w:rPr>
                <w:rFonts w:ascii="Times New Roman" w:hAnsi="Times New Roman"/>
                <w:sz w:val="20"/>
              </w:rPr>
            </w:pPr>
            <w:r>
              <w:rPr>
                <w:rFonts w:ascii="Times New Roman" w:hAnsi="Times New Roman"/>
                <w:sz w:val="20"/>
              </w:rPr>
              <w:t xml:space="preserve">450 Lexington Avenue </w:t>
              <w:br/>
              <w:t>New York, NY 10017</w:t>
            </w:r>
          </w:p>
          <w:p>
            <w:pPr>
              <w:pStyle w:val="TableContents"/>
              <w:bidi w:val="0"/>
              <w:spacing w:before="0" w:after="20"/>
              <w:jc w:val="left"/>
              <w:rPr>
                <w:rFonts w:ascii="Times New Roman" w:hAnsi="Times New Roman"/>
                <w:sz w:val="20"/>
              </w:rPr>
            </w:pPr>
            <w:r>
              <w:rPr>
                <w:rFonts w:ascii="Times New Roman" w:hAnsi="Times New Roman"/>
                <w:sz w:val="20"/>
              </w:rPr>
              <w:t>davispolk.com</w:t>
            </w:r>
          </w:p>
        </w:tc>
        <w:tc>
          <w:tcPr>
            <w:tcW w:w="122" w:type="dxa"/>
            <w:tcBorders/>
            <w:vAlign w:val="bottom"/>
          </w:tcPr>
          <w:p>
            <w:pPr>
              <w:pStyle w:val="TableContents"/>
              <w:bidi w:val="0"/>
              <w:spacing w:before="0" w:after="283"/>
              <w:jc w:val="left"/>
              <w:rPr/>
            </w:pPr>
            <w:r>
              <w:rPr/>
              <w:t>  </w:t>
            </w:r>
          </w:p>
        </w:tc>
        <w:tc>
          <w:tcPr>
            <w:tcW w:w="388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May 8, 2025</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 xml:space="preserve">Comcast Corporation </w:t>
              <w:br/>
              <w:t xml:space="preserve">One Comcast Center </w:t>
              <w:br/>
              <w:t>Philadelphia, Pennsylvania 19103-2838</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Comcast Corporation, a Pennsylvania corporation (the </w:t>
      </w:r>
      <w:r>
        <w:rPr>
          <w:rFonts w:ascii="Times New Roman" w:hAnsi="Times New Roman"/>
          <w:b/>
          <w:sz w:val="20"/>
        </w:rPr>
        <w:t>Company</w:t>
      </w:r>
      <w:r>
        <w:rPr>
          <w:rFonts w:ascii="Times New Roman" w:hAnsi="Times New Roman"/>
          <w:sz w:val="20"/>
        </w:rPr>
        <w:t>), Comcast Cable Communications, LLC, a Delaware limited liability company, and NBCUniversal Media, LLC, a Delaware limited liability company (together with Comcast Cable Communications, LLC, the </w:t>
      </w:r>
      <w:r>
        <w:rPr>
          <w:rFonts w:ascii="Times New Roman" w:hAnsi="Times New Roman"/>
          <w:b/>
          <w:sz w:val="20"/>
        </w:rPr>
        <w:t>Guarantors</w:t>
      </w:r>
      <w:r>
        <w:rPr>
          <w:rFonts w:ascii="Times New Roman" w:hAnsi="Times New Roman"/>
          <w:sz w:val="20"/>
        </w:rPr>
        <w:t> and, together with the Company, the </w:t>
      </w:r>
      <w:r>
        <w:rPr>
          <w:rFonts w:ascii="Times New Roman" w:hAnsi="Times New Roman"/>
          <w:b/>
          <w:sz w:val="20"/>
        </w:rPr>
        <w:t>Issuers</w:t>
      </w:r>
      <w:r>
        <w:rPr>
          <w:rFonts w:ascii="Times New Roman" w:hAnsi="Times New Roman"/>
          <w:sz w:val="20"/>
        </w:rPr>
        <w:t>), have filed with the Securities and Exchange Commission a Registration Statement on Form S-3 (File No. 333-285428) (the </w:t>
      </w:r>
      <w:r>
        <w:rPr>
          <w:rFonts w:ascii="Times New Roman" w:hAnsi="Times New Roman"/>
          <w:b/>
          <w:sz w:val="20"/>
        </w:rPr>
        <w:t>Registration Statement</w:t>
      </w:r>
      <w:r>
        <w:rPr>
          <w:rFonts w:ascii="Times New Roman" w:hAnsi="Times New Roman"/>
          <w:sz w:val="20"/>
        </w:rPr>
        <w:t>) for the purpose of registering under the Securities Act of 1933, as amended (the </w:t>
      </w:r>
      <w:r>
        <w:rPr>
          <w:rFonts w:ascii="Times New Roman" w:hAnsi="Times New Roman"/>
          <w:b/>
          <w:sz w:val="20"/>
        </w:rPr>
        <w:t>Securities Act</w:t>
      </w:r>
      <w:r>
        <w:rPr>
          <w:rFonts w:ascii="Times New Roman" w:hAnsi="Times New Roman"/>
          <w:sz w:val="20"/>
        </w:rPr>
        <w:t>), certain securities, including $650,000,000 aggregate principal amount of the Companys 4.950% Notes due 2032, $850,000,000 aggregate principal amount of the Companys 5.300% Notes due 2035 and $1,000,000,000 aggregate principal amount of the Companys 6.050% Notes due 2055 (collectively, the </w:t>
      </w:r>
      <w:r>
        <w:rPr>
          <w:rFonts w:ascii="Times New Roman" w:hAnsi="Times New Roman"/>
          <w:b/>
          <w:sz w:val="20"/>
        </w:rPr>
        <w:t>Notes</w:t>
      </w:r>
      <w:r>
        <w:rPr>
          <w:rFonts w:ascii="Times New Roman" w:hAnsi="Times New Roman"/>
          <w:sz w:val="20"/>
        </w:rPr>
        <w:t>). The Notes are to be issued pursuant to the provisions of the Indenture dated as of September 18, 2013 (the </w:t>
      </w:r>
      <w:r>
        <w:rPr>
          <w:rFonts w:ascii="Times New Roman" w:hAnsi="Times New Roman"/>
          <w:b/>
          <w:sz w:val="20"/>
        </w:rPr>
        <w:t>Base Indenture</w:t>
      </w:r>
      <w:r>
        <w:rPr>
          <w:rFonts w:ascii="Times New Roman" w:hAnsi="Times New Roman"/>
          <w:sz w:val="20"/>
        </w:rPr>
        <w:t>), as amended by the First Supplemental Indenture thereto dated as of November 17, 2015 (the </w:t>
      </w:r>
      <w:r>
        <w:rPr>
          <w:rFonts w:ascii="Times New Roman" w:hAnsi="Times New Roman"/>
          <w:b/>
          <w:sz w:val="20"/>
        </w:rPr>
        <w:t>First Supplemental Indenture</w:t>
      </w:r>
      <w:r>
        <w:rPr>
          <w:rFonts w:ascii="Times New Roman" w:hAnsi="Times New Roman"/>
          <w:sz w:val="20"/>
        </w:rPr>
        <w:t>) and the Second Supplemental Indenture dated as of July 29, 2022 (the </w:t>
      </w:r>
      <w:r>
        <w:rPr>
          <w:rFonts w:ascii="Times New Roman" w:hAnsi="Times New Roman"/>
          <w:b/>
          <w:sz w:val="20"/>
        </w:rPr>
        <w:t>Second Supplemental Indenture</w:t>
      </w:r>
      <w:r>
        <w:rPr>
          <w:rFonts w:ascii="Times New Roman" w:hAnsi="Times New Roman"/>
          <w:sz w:val="20"/>
        </w:rPr>
        <w:t> and, together with the Base Indenture and the First Supplemental Indenture, the </w:t>
      </w:r>
      <w:r>
        <w:rPr>
          <w:rFonts w:ascii="Times New Roman" w:hAnsi="Times New Roman"/>
          <w:b/>
          <w:sz w:val="20"/>
        </w:rPr>
        <w:t>Indenture</w:t>
      </w:r>
      <w:r>
        <w:rPr>
          <w:rFonts w:ascii="Times New Roman" w:hAnsi="Times New Roman"/>
          <w:sz w:val="20"/>
        </w:rPr>
        <w:t>) by and among the Company, the guarantors party thereto and The Bank of New York Mellon, as trustee (the </w:t>
      </w:r>
      <w:r>
        <w:rPr>
          <w:rFonts w:ascii="Times New Roman" w:hAnsi="Times New Roman"/>
          <w:b/>
          <w:sz w:val="20"/>
        </w:rPr>
        <w:t>Trustee</w:t>
      </w:r>
      <w:r>
        <w:rPr>
          <w:rFonts w:ascii="Times New Roman" w:hAnsi="Times New Roman"/>
          <w:sz w:val="20"/>
        </w:rPr>
        <w:t>). Pursuant to the terms of the Indenture, the Notes will be guaranteed by each of the Guarantors (the </w:t>
      </w:r>
      <w:r>
        <w:rPr>
          <w:rFonts w:ascii="Times New Roman" w:hAnsi="Times New Roman"/>
          <w:b/>
          <w:sz w:val="20"/>
        </w:rPr>
        <w:t>Guarantees</w:t>
      </w:r>
      <w:r>
        <w:rPr>
          <w:rFonts w:ascii="Times New Roman" w:hAnsi="Times New Roman"/>
          <w:sz w:val="20"/>
        </w:rPr>
        <w:t> and, together with the Notes, the </w:t>
      </w:r>
      <w:r>
        <w:rPr>
          <w:rFonts w:ascii="Times New Roman" w:hAnsi="Times New Roman"/>
          <w:b/>
          <w:sz w:val="20"/>
        </w:rPr>
        <w:t>Securities</w:t>
      </w:r>
      <w:r>
        <w:rPr>
          <w:rFonts w:ascii="Times New Roman" w:hAnsi="Times New Roman"/>
          <w:sz w:val="20"/>
        </w:rPr>
        <w:t>). The Securities are to be sold pursuant to the Underwriting Agreement dated May 5, 2025 (the </w:t>
      </w:r>
      <w:r>
        <w:rPr>
          <w:rFonts w:ascii="Times New Roman" w:hAnsi="Times New Roman"/>
          <w:b/>
          <w:sz w:val="20"/>
        </w:rPr>
        <w:t>Underwriting Agreement</w:t>
      </w:r>
      <w:r>
        <w:rPr>
          <w:rFonts w:ascii="Times New Roman" w:hAnsi="Times New Roman"/>
          <w:sz w:val="20"/>
        </w:rPr>
        <w:t>) among the Company, the Guarantors and the several underwriters named therein (the </w:t>
      </w:r>
      <w:r>
        <w:rPr>
          <w:rFonts w:ascii="Times New Roman" w:hAnsi="Times New Roman"/>
          <w:b/>
          <w:sz w:val="20"/>
        </w:rPr>
        <w:t>Underwriters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as your counsel, have examined originals or copies of such documents, corporate records, certificates of public officials and other instruments as we have deemed necessary or advisable for the purpose of rendering this opinion.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and the Guarantors that we reviewed were and are accurate and (vi) all representations made by the Company and the Guarantors as to matters of fact in the documents that we reviewed were and are accurate.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May 8,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the foregoing, and subject to the additional assumptions and qualifications set forth below, we advise you that, in our opinion: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the Notes have been duly executed and authenticated in accordance with the provisions of the Indenture and delivered to and paid for by the Underwriters pursuant to the Underwriting Agreement, the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(x)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any Guarantors obligation or (y) the validity, legally binding effect or enforceability of any provision that permits holders to collect any portion of stated principal amount upon acceleration of the Notes to the extent determined to constitute unearned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Guarantees, assuming the Notes have been duly executed and authenticated in accordance with the provisions of the Indenture and delivered to and paid for by the Underwriters pursuant to the Underwriting Agreement, will be valid and binding obligations of each Guarantor, enforceable in accordance with their terms, subject to applicable bankruptcy, insolvency and similar laws affecting creditors rights generally, concepts of reasonableness and equitable principles of general applicability; </w:t>
            </w:r>
            <w:r>
              <w:rPr>
                <w:rFonts w:ascii="Times New Roman" w:hAnsi="Times New Roman"/>
                <w:i/>
                <w:sz w:val="20"/>
              </w:rPr>
              <w:t xml:space="preserve">provided </w:t>
            </w:r>
            <w:r>
              <w:rPr>
                <w:rFonts w:ascii="Times New Roman" w:hAnsi="Times New Roman"/>
                <w:sz w:val="20"/>
              </w:rPr>
              <w:t xml:space="preserve">that we express no opinion as to (x) (i) the effect of fraudulent conveyance, fraudulent transfer or similar provision of applicable law on the conclusions expressed above or (ii) any provision of the Guarantee that purports to avoid the effect of fraudulent conveyance, fraudulent transfer or similar provision of applicable law by limiting the amount of any Guarantors obligation or (y) the validity, legally binding effect or enforceability of any provision that permits holders to collect any portion of stated principal amount upon acceleration of the Notes to the extent determined to constitute unearned interest. </w:t>
            </w:r>
          </w:p>
        </w:tc>
      </w:tr>
    </w:tbl>
    <w:p>
      <w:pPr>
        <w:pStyle w:val="TextBody"/>
        <w:bidi w:val="0"/>
        <w:spacing w:before="240" w:after="0"/>
        <w:jc w:val="left"/>
        <w:rPr>
          <w:rFonts w:ascii="Times New Roman" w:hAnsi="Times New Roman"/>
          <w:sz w:val="20"/>
        </w:rPr>
      </w:pPr>
      <w:r>
        <w:rPr>
          <w:rFonts w:ascii="Times New Roman" w:hAnsi="Times New Roman"/>
          <w:sz w:val="20"/>
        </w:rPr>
        <w:t>In connection with the opinions expressed above, we have assumed that the Company and each Guarantor is validly existing and in good standing under the laws of the Commonwealth of Pennsylvania or the State of Delaware, as applicable. In addition, we have assumed that the Indenture and the Securities (collectively, the </w:t>
      </w:r>
      <w:r>
        <w:rPr>
          <w:rFonts w:ascii="Times New Roman" w:hAnsi="Times New Roman"/>
          <w:b/>
          <w:sz w:val="20"/>
        </w:rPr>
        <w:t>Documents</w:t>
      </w:r>
      <w:r>
        <w:rPr>
          <w:rFonts w:ascii="Times New Roman" w:hAnsi="Times New Roman"/>
          <w:sz w:val="20"/>
        </w:rPr>
        <w:t xml:space="preserve">) are valid, binding and enforceable agreements of each party thereto (other than as expressly covered above in respect of the Company and the Guarantors). We have also assumed that the execution, delivery and performance by each party to each Document to which it is a party (a) are within their corporate or limited liability company powers, as applicable,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 provided that we make no such assumption to the extent that we have specifically opined as to such matters with respect to the Company and each Guarantor. </w:t>
      </w:r>
    </w:p>
    <w:p>
      <w:pPr>
        <w:pStyle w:val="TextBody"/>
        <w:bidi w:val="0"/>
        <w:spacing w:before="240" w:after="0"/>
        <w:jc w:val="left"/>
        <w:rPr>
          <w:rFonts w:ascii="Times New Roman" w:hAnsi="Times New Roman"/>
          <w:sz w:val="20"/>
        </w:rPr>
      </w:pPr>
      <w:r>
        <w:rPr>
          <w:rFonts w:ascii="Times New Roman" w:hAnsi="Times New Roman"/>
          <w:sz w:val="20"/>
        </w:rPr>
        <w:t xml:space="preserve">We are members of the Bar of the State of New York and the foregoing opinions are limited to the laws of the State of New York and the Limited Liability Company Act of the State of Delaware, except that we express no opinion as to any law, rule or regulation that is applicable to the Company or the Guarantors, the Documents or such transactions solely because such law, rule or regulation is part of a regulatory regime applicable to any party to any of the Documents or any of its affiliates due to the specific assets or business of such party or such affiliate. Insofar as the foregoing opinions involve matters governed by the laws of the Commonwealth of Pennsylvania, we have relied, without independent inquiry or investigation, on the opinions of the Senior Deputy General Counsel of the Company to be filed as an exhibit to a report on Form 8-K to be filed by the Company on the date hereof.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May 8, 2025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to a report on Form 8-K to be filed by the Company on the date hereof and its incorporation by reference into the Registration Statement and further consent to the reference to our name under the caption Legal Matters in the prospectus supplement which is a part of the Registration Statement. In giving this consent, we do not admit that we are in the category of persons whose consent is required under Section 7 of the Securities Act.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Davis Polk &amp; Wardwell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14473</Words>
  <Characters>72556</Characters>
  <CharactersWithSpaces>86773</CharactersWithSpaces>
  <Paragraphs>778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EX-5.2</dc:title>
</cp:coreProperties>
</file>