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February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5440" w:type="dxa"/>
            <w:vAlign w:val="bottom"/>
          </w:tcPr>
          <w:p>
            <w:pPr>
              <w:jc w:val="center"/>
              <w:ind w:right="241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5440" w:type="dxa"/>
            <w:vAlign w:val="bottom"/>
          </w:tcPr>
          <w:p>
            <w:pPr>
              <w:jc w:val="center"/>
              <w:ind w:right="2419"/>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right"/>
              <w:ind w:right="897"/>
              <w:spacing w:after="0"/>
              <w:rPr>
                <w:sz w:val="20"/>
                <w:szCs w:val="20"/>
                <w:color w:val="auto"/>
              </w:rPr>
            </w:pPr>
            <w:r>
              <w:rPr>
                <w:rFonts w:ascii="Arial" w:cs="Arial" w:eastAsia="Arial" w:hAnsi="Arial"/>
                <w:sz w:val="18"/>
                <w:szCs w:val="18"/>
                <w:b w:val="1"/>
                <w:bCs w:val="1"/>
                <w:color w:val="auto"/>
              </w:rPr>
              <w:t>001-32871</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27-0000798</w:t>
            </w:r>
          </w:p>
        </w:tc>
      </w:tr>
      <w:tr>
        <w:trPr>
          <w:trHeight w:val="186"/>
        </w:trPr>
        <w:tc>
          <w:tcPr>
            <w:tcW w:w="25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(Commission File Number)</w:t>
            </w:r>
          </w:p>
        </w:tc>
        <w:tc>
          <w:tcPr>
            <w:tcW w:w="5440" w:type="dxa"/>
            <w:vAlign w:val="bottom"/>
          </w:tcPr>
          <w:p>
            <w:pPr>
              <w:jc w:val="center"/>
              <w:ind w:left="325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26"/>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0"/>
              </w:rPr>
              <w:t>One Comcast Center</w:t>
            </w:r>
          </w:p>
        </w:tc>
        <w:tc>
          <w:tcPr>
            <w:tcW w:w="5440" w:type="dxa"/>
            <w:vAlign w:val="bottom"/>
          </w:tcPr>
          <w:p>
            <w:pPr>
              <w:spacing w:after="0"/>
              <w:rPr>
                <w:sz w:val="24"/>
                <w:szCs w:val="24"/>
                <w:color w:val="auto"/>
              </w:rPr>
            </w:pPr>
          </w:p>
        </w:tc>
      </w:tr>
      <w:tr>
        <w:trPr>
          <w:trHeight w:val="225"/>
        </w:trPr>
        <w:tc>
          <w:tcPr>
            <w:tcW w:w="2580" w:type="dxa"/>
            <w:vAlign w:val="bottom"/>
          </w:tcPr>
          <w:p>
            <w:pPr>
              <w:jc w:val="center"/>
              <w:ind w:right="37"/>
              <w:spacing w:after="0"/>
              <w:rPr>
                <w:sz w:val="20"/>
                <w:szCs w:val="20"/>
                <w:color w:val="auto"/>
              </w:rPr>
            </w:pPr>
            <w:r>
              <w:rPr>
                <w:rFonts w:ascii="Arial" w:cs="Arial" w:eastAsia="Arial" w:hAnsi="Arial"/>
                <w:sz w:val="18"/>
                <w:szCs w:val="18"/>
                <w:b w:val="1"/>
                <w:bCs w:val="1"/>
                <w:color w:val="auto"/>
                <w:w w:val="92"/>
              </w:rPr>
              <w:t>Philadelphia, PA</w:t>
            </w:r>
          </w:p>
        </w:tc>
        <w:tc>
          <w:tcPr>
            <w:tcW w:w="5440" w:type="dxa"/>
            <w:vAlign w:val="bottom"/>
          </w:tcPr>
          <w:p>
            <w:pPr>
              <w:jc w:val="right"/>
              <w:ind w:right="519"/>
              <w:spacing w:after="0"/>
              <w:rPr>
                <w:sz w:val="20"/>
                <w:szCs w:val="20"/>
                <w:color w:val="auto"/>
              </w:rPr>
            </w:pPr>
            <w:r>
              <w:rPr>
                <w:rFonts w:ascii="Arial" w:cs="Arial" w:eastAsia="Arial" w:hAnsi="Arial"/>
                <w:sz w:val="18"/>
                <w:szCs w:val="18"/>
                <w:b w:val="1"/>
                <w:bCs w:val="1"/>
                <w:color w:val="auto"/>
              </w:rPr>
              <w:t>19103-2838</w:t>
            </w:r>
          </w:p>
        </w:tc>
      </w:tr>
      <w:tr>
        <w:trPr>
          <w:trHeight w:val="186"/>
        </w:trPr>
        <w:tc>
          <w:tcPr>
            <w:tcW w:w="258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40" w:type="dxa"/>
            <w:vAlign w:val="bottom"/>
          </w:tcPr>
          <w:p>
            <w:pPr>
              <w:jc w:val="center"/>
              <w:ind w:left="329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23, 2016 Comcast Corporation (“Comcast”) consummated the issuance and sale of $750,000,000 aggregate principal amount of its 2.75% Notes due 2023 and $1,500,000,000 aggregate principal amount of its 3.15% Notes due 2026 (collectively, the “Notes”), pursuant to an underwriting agreement dated February 16, 2016 among Comcast, the Guarantors (defined below) and Merrill Lynch, Pierce, Fenner &amp; Smith Incorporated, RBC Capital Markets,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6"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September 18, 2013, as amended as of the date of the underwriting agreement (Reg. No. 333-191239), including the prospectus contained therein, and a related prospectus supplement dated February 16, 2016.</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material terms and conditions of the Notes are set forth in the Form of Officers’ Certificate filed herewith as Exhibit 4.1 and incorporated by reference herein and in the Base Indenture and First Supplemental Indenture, which are filed as Exhibit 4.3 to Comcast’s Registration Statement on Form S-3 filed on September 18, 2013 and Exhibit 4.4 to Post-Effective Amendment No. 2 to Comcast’s Registration Statement on Form S-3 filed on November 23, 2015, respectively, and incorporated by reference herein.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9.01(d)</w:t>
            </w:r>
          </w:p>
        </w:tc>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5"/>
              </w:rPr>
              <w:t>Form of Officers’ Certificate setting forth the terms of the Notes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Arthur R. Block, Esq.</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Consent of Arthur R. Block, Esq. (contained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3"/>
              </w:rPr>
              <w:t>Consent of Davis Polk &amp; Wardwell LLP (contained in Exhibit 5.2)</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60" w:val="left"/>
          <w:tab w:leader="none" w:pos="5900" w:val="left"/>
        </w:tabs>
        <w:rPr>
          <w:sz w:val="20"/>
          <w:szCs w:val="20"/>
          <w:color w:val="auto"/>
        </w:rPr>
      </w:pPr>
      <w:r>
        <w:rPr>
          <w:rFonts w:ascii="Arial" w:cs="Arial" w:eastAsia="Arial" w:hAnsi="Arial"/>
          <w:sz w:val="18"/>
          <w:szCs w:val="18"/>
          <w:color w:val="auto"/>
        </w:rPr>
        <w:t>Date:</w:t>
        <w:tab/>
        <w:t>February 23, 2016</w:t>
      </w:r>
      <w:r>
        <w:rPr>
          <w:sz w:val="20"/>
          <w:szCs w:val="20"/>
          <w:color w:val="auto"/>
        </w:rPr>
        <w:tab/>
      </w:r>
      <w:r>
        <w:rPr>
          <w:rFonts w:ascii="Arial" w:cs="Arial" w:eastAsia="Arial" w:hAnsi="Arial"/>
          <w:sz w:val="17"/>
          <w:szCs w:val="17"/>
          <w:color w:val="auto"/>
        </w:rPr>
        <w:t>By: /s/ Arthur R. Block</w:t>
      </w:r>
    </w:p>
    <w:p>
      <w:pPr>
        <w:spacing w:after="0" w:line="23" w:lineRule="exact"/>
        <w:rPr>
          <w:sz w:val="20"/>
          <w:szCs w:val="20"/>
          <w:color w:val="auto"/>
        </w:rPr>
      </w:pPr>
    </w:p>
    <w:tbl>
      <w:tblPr>
        <w:tblLayout w:type="fixed"/>
        <w:tblInd w:w="62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Arthur R. Block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8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58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23,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unsubordinated basis by Comcast Cable Communications, LLC and NBCUniversal Media, LLC, the undersigned officers of the Company do hereby certify,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issuance of the Company’s $750,000,000 aggregate principal amount of 2.75% Notes Due 2023 (the “</w:t>
      </w:r>
      <w:r>
        <w:rPr>
          <w:rFonts w:ascii="Arial" w:cs="Arial" w:eastAsia="Arial" w:hAnsi="Arial"/>
          <w:sz w:val="18"/>
          <w:szCs w:val="18"/>
          <w:b w:val="1"/>
          <w:bCs w:val="1"/>
          <w:color w:val="auto"/>
        </w:rPr>
        <w:t>2023 Notes</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$1,500,000,000 aggregate principal amount of 3.15%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and, together with the 2023 Notes,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2.</w:t>
            </w:r>
            <w:r>
              <w:rPr>
                <w:rFonts w:ascii="Arial" w:cs="Arial" w:eastAsia="Arial" w:hAnsi="Arial"/>
                <w:sz w:val="18"/>
                <w:szCs w:val="18"/>
                <w:b w:val="1"/>
                <w:bCs w:val="1"/>
                <w:u w:val="single" w:color="auto"/>
                <w:color w:val="auto"/>
                <w:w w:val="90"/>
              </w:rPr>
              <w:t>75%</w:t>
            </w:r>
            <w:r>
              <w:rPr>
                <w:rFonts w:ascii="Arial" w:cs="Arial" w:eastAsia="Arial" w:hAnsi="Arial"/>
                <w:sz w:val="18"/>
                <w:szCs w:val="18"/>
                <w:b w:val="1"/>
                <w:bCs w:val="1"/>
                <w:color w:val="auto"/>
                <w:w w:val="90"/>
              </w:rPr>
              <w:t xml:space="preserve"> Notes Due 2023</w:t>
            </w:r>
          </w:p>
        </w:tc>
        <w:tc>
          <w:tcPr>
            <w:tcW w:w="3980" w:type="dxa"/>
            <w:vAlign w:val="bottom"/>
          </w:tcPr>
          <w:p>
            <w:pPr>
              <w:spacing w:after="0"/>
              <w:rPr>
                <w:sz w:val="17"/>
                <w:szCs w:val="17"/>
                <w:color w:val="auto"/>
              </w:rPr>
            </w:pPr>
          </w:p>
        </w:tc>
      </w:tr>
      <w:tr>
        <w:trPr>
          <w:trHeight w:val="453"/>
        </w:trPr>
        <w:tc>
          <w:tcPr>
            <w:tcW w:w="39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rPr>
              <w:t>2.75% Notes Due 2023</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6640" w:type="dxa"/>
            <w:vAlign w:val="bottom"/>
            <w:gridSpan w:val="3"/>
          </w:tcPr>
          <w:p>
            <w:pPr>
              <w:ind w:left="2140"/>
              <w:spacing w:after="0"/>
              <w:rPr>
                <w:sz w:val="20"/>
                <w:szCs w:val="20"/>
                <w:color w:val="auto"/>
              </w:rPr>
            </w:pPr>
            <w:r>
              <w:rPr>
                <w:rFonts w:ascii="Arial" w:cs="Arial" w:eastAsia="Arial" w:hAnsi="Arial"/>
                <w:sz w:val="18"/>
                <w:szCs w:val="18"/>
                <w:color w:val="auto"/>
              </w:rPr>
              <w:t>$750,000,000</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rPr>
              <w:t>March 1, 2023</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660" w:type="dxa"/>
            <w:vAlign w:val="bottom"/>
            <w:gridSpan w:val="2"/>
          </w:tcPr>
          <w:p>
            <w:pPr>
              <w:ind w:left="2140"/>
              <w:spacing w:after="0"/>
              <w:rPr>
                <w:sz w:val="20"/>
                <w:szCs w:val="20"/>
                <w:color w:val="auto"/>
              </w:rPr>
            </w:pPr>
            <w:r>
              <w:rPr>
                <w:rFonts w:ascii="Arial" w:cs="Arial" w:eastAsia="Arial" w:hAnsi="Arial"/>
                <w:sz w:val="18"/>
                <w:szCs w:val="18"/>
                <w:color w:val="auto"/>
                <w:w w:val="97"/>
              </w:rPr>
              <w:t>2.75%</w:t>
            </w:r>
          </w:p>
        </w:tc>
        <w:tc>
          <w:tcPr>
            <w:tcW w:w="3980" w:type="dxa"/>
            <w:vAlign w:val="bottom"/>
          </w:tcPr>
          <w:p>
            <w:pPr>
              <w:spacing w:after="0"/>
              <w:rPr>
                <w:sz w:val="24"/>
                <w:szCs w:val="24"/>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20" w:type="dxa"/>
            <w:vAlign w:val="bottom"/>
          </w:tcPr>
          <w:p>
            <w:pPr>
              <w:spacing w:after="0"/>
              <w:rPr>
                <w:sz w:val="24"/>
                <w:szCs w:val="24"/>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7"/>
              </w:rPr>
              <w:t>The Company may at its option redeem the 2023 Notes in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2"/>
              </w:rPr>
              <w:t>whole or in part, at any time or from time to time prior to their</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1"/>
              </w:rPr>
              <w:t>maturity, on at least 30 days, but not more than 60 days, prior</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3"/>
              </w:rPr>
              <w:t>notice mailed to the registered address of each holder of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4"/>
              </w:rPr>
              <w:t>2023 Notes, at the “Redemption Price.” Prior to February 1,</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2"/>
              </w:rPr>
              <w:t>2023 (one month prior to the maturity of the 2023 Notes),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w w:val="95"/>
              </w:rPr>
              <w:t>Redemption Price is the greater of (i) 100% of the principal</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2"/>
          </w:tcPr>
          <w:p>
            <w:pPr>
              <w:ind w:left="1220"/>
              <w:spacing w:after="0"/>
              <w:rPr>
                <w:sz w:val="20"/>
                <w:szCs w:val="20"/>
                <w:color w:val="auto"/>
              </w:rPr>
            </w:pPr>
            <w:r>
              <w:rPr>
                <w:rFonts w:ascii="Arial" w:cs="Arial" w:eastAsia="Arial" w:hAnsi="Arial"/>
                <w:sz w:val="18"/>
                <w:szCs w:val="18"/>
                <w:color w:val="auto"/>
              </w:rPr>
              <w:t>amount of the 2023 Notes, and (ii)</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the sum of the present values of the principal amount of such</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notes and the scheduled payments of interest thereon (exclusive</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of interest accrued to the date of redemption) from the</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redemption date to February 1, 2023, in each case discounted to</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the redemption date on a semiannual basis (assuming a 360-day</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year consisting of twelve 30-day months) at the Treasury Rate</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(as defined in the 2023 Notes) plus 20 basis points. On and after</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February 1, 2023 (one month prior to the maturity of the 2023</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Notes), the Redemption Price will equal 100% of the principal</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amount of such notes. In each case described in this paragraph,</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the Redemption Price will include accrued and unpaid interest</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thereon to the date of redemption, and in each case described in</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this paragraph, subject to the further description in the</w:t>
            </w:r>
          </w:p>
        </w:tc>
      </w:tr>
      <w:tr>
        <w:trPr>
          <w:trHeight w:val="230"/>
        </w:trPr>
        <w:tc>
          <w:tcPr>
            <w:tcW w:w="3820" w:type="dxa"/>
            <w:vAlign w:val="bottom"/>
          </w:tcPr>
          <w:p>
            <w:pPr>
              <w:spacing w:after="0"/>
              <w:rPr>
                <w:sz w:val="20"/>
                <w:szCs w:val="20"/>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Prospectus Supplement dated February 16, 2016.</w:t>
            </w:r>
          </w:p>
        </w:tc>
      </w:tr>
      <w:tr>
        <w:trPr>
          <w:trHeight w:val="418"/>
        </w:trPr>
        <w:tc>
          <w:tcPr>
            <w:tcW w:w="38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87"/>
              </w:rPr>
              <w:t>The 2023 Notes need not be issued at the same time and the series may be</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91"/>
              </w:rPr>
              <w:t>reopened for issuance of an unlimited principal amount of additional 2023</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98"/>
              </w:rPr>
              <w:t>Notes under this series. Additional 2023 Notes of this series may be</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consolidated with, and form a single series with, 2023 Notes then</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93"/>
              </w:rPr>
              <w:t>outstanding, including for purposes of determining whether the required</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93"/>
              </w:rPr>
              <w:t>percentage of the holders of record has given approval or consent to an</w:t>
            </w:r>
          </w:p>
        </w:tc>
      </w:tr>
      <w:tr>
        <w:trPr>
          <w:trHeight w:val="216"/>
        </w:trPr>
        <w:tc>
          <w:tcPr>
            <w:tcW w:w="3820" w:type="dxa"/>
            <w:vAlign w:val="bottom"/>
          </w:tcPr>
          <w:p>
            <w:pPr>
              <w:spacing w:after="0"/>
              <w:rPr>
                <w:sz w:val="18"/>
                <w:szCs w:val="18"/>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96"/>
              </w:rPr>
              <w:t>amendment or waiver or joined in directing the Trustee to take certain</w:t>
            </w:r>
          </w:p>
        </w:tc>
      </w:tr>
      <w:tr>
        <w:trPr>
          <w:trHeight w:val="230"/>
        </w:trPr>
        <w:tc>
          <w:tcPr>
            <w:tcW w:w="3820" w:type="dxa"/>
            <w:vAlign w:val="bottom"/>
          </w:tcPr>
          <w:p>
            <w:pPr>
              <w:spacing w:after="0"/>
              <w:rPr>
                <w:sz w:val="20"/>
                <w:szCs w:val="20"/>
                <w:color w:val="auto"/>
              </w:rPr>
            </w:pP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actions on behalf of all holders.</w:t>
            </w:r>
          </w:p>
        </w:tc>
      </w:tr>
      <w:tr>
        <w:trPr>
          <w:trHeight w:val="432"/>
        </w:trPr>
        <w:tc>
          <w:tcPr>
            <w:tcW w:w="382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None</w:t>
            </w:r>
          </w:p>
        </w:tc>
      </w:tr>
      <w:tr>
        <w:trPr>
          <w:trHeight w:val="432"/>
        </w:trPr>
        <w:tc>
          <w:tcPr>
            <w:tcW w:w="382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rPr>
              <w:t>None</w:t>
            </w:r>
          </w:p>
        </w:tc>
      </w:tr>
      <w:tr>
        <w:trPr>
          <w:trHeight w:val="414"/>
        </w:trPr>
        <w:tc>
          <w:tcPr>
            <w:tcW w:w="382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580" w:type="dxa"/>
            <w:vAlign w:val="bottom"/>
            <w:gridSpan w:val="3"/>
          </w:tcPr>
          <w:p>
            <w:pPr>
              <w:ind w:left="2240"/>
              <w:spacing w:after="0"/>
              <w:rPr>
                <w:sz w:val="20"/>
                <w:szCs w:val="20"/>
                <w:color w:val="auto"/>
              </w:rPr>
            </w:pPr>
            <w:r>
              <w:rPr>
                <w:rFonts w:ascii="Arial" w:cs="Arial" w:eastAsia="Arial" w:hAnsi="Arial"/>
                <w:sz w:val="18"/>
                <w:szCs w:val="18"/>
                <w:color w:val="auto"/>
                <w:w w:val="89"/>
              </w:rPr>
              <w:t>The terms of the 2023 Notes shall include such other terms as are set forth</w:t>
            </w:r>
          </w:p>
        </w:tc>
      </w:tr>
      <w:tr>
        <w:trPr>
          <w:trHeight w:val="194"/>
        </w:trPr>
        <w:tc>
          <w:tcPr>
            <w:tcW w:w="3820" w:type="dxa"/>
            <w:vAlign w:val="bottom"/>
          </w:tcPr>
          <w:p>
            <w:pPr>
              <w:spacing w:after="0"/>
              <w:rPr>
                <w:sz w:val="16"/>
                <w:szCs w:val="16"/>
                <w:color w:val="auto"/>
              </w:rPr>
            </w:pPr>
          </w:p>
        </w:tc>
        <w:tc>
          <w:tcPr>
            <w:tcW w:w="7580" w:type="dxa"/>
            <w:vAlign w:val="bottom"/>
            <w:gridSpan w:val="3"/>
          </w:tcPr>
          <w:p>
            <w:pPr>
              <w:ind w:left="2240"/>
              <w:spacing w:after="0" w:line="194" w:lineRule="exact"/>
              <w:rPr>
                <w:sz w:val="20"/>
                <w:szCs w:val="20"/>
                <w:color w:val="auto"/>
              </w:rPr>
            </w:pPr>
            <w:r>
              <w:rPr>
                <w:rFonts w:ascii="Arial" w:cs="Arial" w:eastAsia="Arial" w:hAnsi="Arial"/>
                <w:sz w:val="18"/>
                <w:szCs w:val="18"/>
                <w:color w:val="auto"/>
              </w:rPr>
              <w:t xml:space="preserve">in the Form of Note Due 2023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3.</w:t>
            </w:r>
            <w:r>
              <w:rPr>
                <w:rFonts w:ascii="Arial" w:cs="Arial" w:eastAsia="Arial" w:hAnsi="Arial"/>
                <w:sz w:val="18"/>
                <w:szCs w:val="18"/>
                <w:b w:val="1"/>
                <w:bCs w:val="1"/>
                <w:u w:val="single" w:color="auto"/>
                <w:color w:val="auto"/>
                <w:w w:val="90"/>
              </w:rPr>
              <w:t>15%</w:t>
            </w:r>
            <w:r>
              <w:rPr>
                <w:rFonts w:ascii="Arial" w:cs="Arial" w:eastAsia="Arial" w:hAnsi="Arial"/>
                <w:sz w:val="18"/>
                <w:szCs w:val="18"/>
                <w:b w:val="1"/>
                <w:bCs w:val="1"/>
                <w:color w:val="auto"/>
                <w:w w:val="90"/>
              </w:rPr>
              <w:t xml:space="preserve"> Notes Due 2026</w:t>
            </w:r>
          </w:p>
        </w:tc>
        <w:tc>
          <w:tcPr>
            <w:tcW w:w="4820" w:type="dxa"/>
            <w:vAlign w:val="bottom"/>
          </w:tcPr>
          <w:p>
            <w:pPr>
              <w:spacing w:after="0"/>
              <w:rPr>
                <w:sz w:val="17"/>
                <w:szCs w:val="17"/>
                <w:color w:val="auto"/>
              </w:rPr>
            </w:pPr>
          </w:p>
        </w:tc>
      </w:tr>
      <w:tr>
        <w:trPr>
          <w:trHeight w:val="453"/>
        </w:trPr>
        <w:tc>
          <w:tcPr>
            <w:tcW w:w="39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920" w:type="dxa"/>
            <w:vAlign w:val="bottom"/>
          </w:tcPr>
          <w:p>
            <w:pPr>
              <w:spacing w:after="0"/>
              <w:rPr>
                <w:sz w:val="24"/>
                <w:szCs w:val="24"/>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3.15% Notes Due 2026</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7480" w:type="dxa"/>
            <w:vAlign w:val="bottom"/>
            <w:gridSpan w:val="3"/>
          </w:tcPr>
          <w:p>
            <w:pPr>
              <w:ind w:left="2140"/>
              <w:spacing w:after="0"/>
              <w:rPr>
                <w:sz w:val="20"/>
                <w:szCs w:val="20"/>
                <w:color w:val="auto"/>
              </w:rPr>
            </w:pPr>
            <w:r>
              <w:rPr>
                <w:rFonts w:ascii="Arial" w:cs="Arial" w:eastAsia="Arial" w:hAnsi="Arial"/>
                <w:sz w:val="18"/>
                <w:szCs w:val="18"/>
                <w:color w:val="auto"/>
              </w:rPr>
              <w:t>$1,500,000,000</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920" w:type="dxa"/>
            <w:vAlign w:val="bottom"/>
          </w:tcPr>
          <w:p>
            <w:pPr>
              <w:spacing w:after="0"/>
              <w:rPr>
                <w:sz w:val="24"/>
                <w:szCs w:val="24"/>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March 1, 2026</w:t>
            </w:r>
          </w:p>
        </w:tc>
      </w:tr>
      <w:tr>
        <w:trPr>
          <w:trHeight w:val="432"/>
        </w:trPr>
        <w:tc>
          <w:tcPr>
            <w:tcW w:w="392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660" w:type="dxa"/>
            <w:vAlign w:val="bottom"/>
            <w:gridSpan w:val="2"/>
          </w:tcPr>
          <w:p>
            <w:pPr>
              <w:ind w:left="2140"/>
              <w:spacing w:after="0"/>
              <w:rPr>
                <w:sz w:val="20"/>
                <w:szCs w:val="20"/>
                <w:color w:val="auto"/>
              </w:rPr>
            </w:pPr>
            <w:r>
              <w:rPr>
                <w:rFonts w:ascii="Arial" w:cs="Arial" w:eastAsia="Arial" w:hAnsi="Arial"/>
                <w:sz w:val="18"/>
                <w:szCs w:val="18"/>
                <w:color w:val="auto"/>
                <w:w w:val="97"/>
              </w:rPr>
              <w:t>3.15%</w:t>
            </w:r>
          </w:p>
        </w:tc>
        <w:tc>
          <w:tcPr>
            <w:tcW w:w="4820" w:type="dxa"/>
            <w:vAlign w:val="bottom"/>
          </w:tcPr>
          <w:p>
            <w:pPr>
              <w:spacing w:after="0"/>
              <w:rPr>
                <w:sz w:val="24"/>
                <w:szCs w:val="24"/>
                <w:color w:val="auto"/>
              </w:rPr>
            </w:pPr>
          </w:p>
        </w:tc>
      </w:tr>
      <w:tr>
        <w:trPr>
          <w:trHeight w:val="418"/>
        </w:trPr>
        <w:tc>
          <w:tcPr>
            <w:tcW w:w="392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920" w:type="dxa"/>
            <w:vAlign w:val="bottom"/>
          </w:tcPr>
          <w:p>
            <w:pPr>
              <w:spacing w:after="0"/>
              <w:rPr>
                <w:sz w:val="24"/>
                <w:szCs w:val="24"/>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The Company may at its option redeem the 2026 Notes in whole or in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2"/>
              </w:rPr>
              <w:t>part, at any time or from time to time prior to their maturity, on at least 30</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days, but not more than 60 days, prior notice mailed to the registered</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6"/>
              </w:rPr>
              <w:t>address of each holder of the 2026 Notes, at the “Redemption Price.”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1"/>
              </w:rPr>
              <w:t>Prior to December 1, 2025 (three months prior to the maturity of the 2026</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4"/>
              </w:rPr>
              <w:t>Notes), the Redemption Price is the greater of (i) 100% of the principal</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4"/>
              </w:rPr>
              <w:t>amount of the 2026 Notes, and (ii) the sum of the present values of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4"/>
              </w:rPr>
              <w:t>principal amount of such notes and the scheduled payments of interest</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1"/>
              </w:rPr>
              <w:t>thereon (exclusive of interest accrued to the date of redemption) from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5"/>
              </w:rPr>
              <w:t>redemption date to December 1, 2025, in each case discounted to the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redemption date on a semiannual basis (assuming a 360-day year</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3"/>
              </w:rPr>
              <w:t>consisting of twelve 30-day months) at the Treasury Rate (as defined in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5"/>
              </w:rPr>
              <w:t>the 2026 Notes) plus 25 basis points. On and after December 1, 2025</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4"/>
              </w:rPr>
              <w:t>(three months prior to the maturity of the 2026 Notes), the Redemption</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1"/>
              </w:rPr>
              <w:t>Price will equal 100% of the principal amount of such notes. In each case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4"/>
              </w:rPr>
              <w:t>described in this paragraph, the Redemption Price will include accrued</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3"/>
              </w:rPr>
              <w:t>and unpaid interest thereon to the date of redemption, and in each case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9"/>
              </w:rPr>
              <w:t>described in this paragraph, subject to the further description in the</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rPr>
              <w:t>Prospectus Supplement dated February 16, 2016.</w:t>
            </w:r>
          </w:p>
        </w:tc>
      </w:tr>
      <w:tr>
        <w:trPr>
          <w:trHeight w:val="418"/>
        </w:trPr>
        <w:tc>
          <w:tcPr>
            <w:tcW w:w="392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920" w:type="dxa"/>
            <w:vAlign w:val="bottom"/>
          </w:tcPr>
          <w:p>
            <w:pPr>
              <w:spacing w:after="0"/>
              <w:rPr>
                <w:sz w:val="24"/>
                <w:szCs w:val="24"/>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87"/>
              </w:rPr>
              <w:t>The 2026 Notes need not be issued at the same time and the series may be</w:t>
            </w:r>
          </w:p>
        </w:tc>
      </w:tr>
      <w:tr>
        <w:trPr>
          <w:trHeight w:val="216"/>
        </w:trPr>
        <w:tc>
          <w:tcPr>
            <w:tcW w:w="3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1"/>
              </w:rPr>
              <w:t>reopened for issuance of an unlimited principal amount of additional 2026</w:t>
            </w:r>
          </w:p>
        </w:tc>
      </w:tr>
      <w:tr>
        <w:trPr>
          <w:trHeight w:val="230"/>
        </w:trPr>
        <w:tc>
          <w:tcPr>
            <w:tcW w:w="3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60" w:type="dxa"/>
            <w:vAlign w:val="bottom"/>
            <w:gridSpan w:val="2"/>
          </w:tcPr>
          <w:p>
            <w:pPr>
              <w:ind w:left="1220"/>
              <w:spacing w:after="0"/>
              <w:rPr>
                <w:sz w:val="20"/>
                <w:szCs w:val="20"/>
                <w:color w:val="auto"/>
              </w:rPr>
            </w:pPr>
            <w:r>
              <w:rPr>
                <w:rFonts w:ascii="Arial" w:cs="Arial" w:eastAsia="Arial" w:hAnsi="Arial"/>
                <w:sz w:val="18"/>
                <w:szCs w:val="18"/>
                <w:color w:val="auto"/>
                <w:w w:val="98"/>
              </w:rPr>
              <w:t>Notes under this series. Additional 2026 Notes of this series may be</w:t>
            </w:r>
          </w:p>
        </w:tc>
      </w:tr>
    </w:tbl>
    <w:p>
      <w:pPr>
        <w:sectPr>
          <w:pgSz w:w="11900" w:h="16838" w:orient="portrait"/>
          <w:cols w:equalWidth="0" w:num="1">
            <w:col w:w="11400"/>
          </w:cols>
          <w:pgMar w:left="240" w:top="257" w:right="2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consolidated with, and form a single series with, 2026 Notes</w:t>
            </w:r>
          </w:p>
        </w:tc>
      </w:tr>
      <w:tr>
        <w:trPr>
          <w:trHeight w:val="216"/>
        </w:trPr>
        <w:tc>
          <w:tcPr>
            <w:tcW w:w="3580" w:type="dxa"/>
            <w:vAlign w:val="bottom"/>
          </w:tcPr>
          <w:p>
            <w:pPr>
              <w:spacing w:after="0"/>
              <w:rPr>
                <w:sz w:val="18"/>
                <w:szCs w:val="18"/>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then outstanding, including for purposes of determining</w:t>
            </w:r>
          </w:p>
        </w:tc>
      </w:tr>
      <w:tr>
        <w:trPr>
          <w:trHeight w:val="216"/>
        </w:trPr>
        <w:tc>
          <w:tcPr>
            <w:tcW w:w="3580" w:type="dxa"/>
            <w:vAlign w:val="bottom"/>
          </w:tcPr>
          <w:p>
            <w:pPr>
              <w:spacing w:after="0"/>
              <w:rPr>
                <w:sz w:val="18"/>
                <w:szCs w:val="18"/>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whether the required percentage of the holders of record has</w:t>
            </w:r>
          </w:p>
        </w:tc>
      </w:tr>
      <w:tr>
        <w:trPr>
          <w:trHeight w:val="216"/>
        </w:trPr>
        <w:tc>
          <w:tcPr>
            <w:tcW w:w="3580" w:type="dxa"/>
            <w:vAlign w:val="bottom"/>
          </w:tcPr>
          <w:p>
            <w:pPr>
              <w:spacing w:after="0"/>
              <w:rPr>
                <w:sz w:val="18"/>
                <w:szCs w:val="18"/>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given approval or consent to an amendment or waiver or joined</w:t>
            </w:r>
          </w:p>
        </w:tc>
      </w:tr>
      <w:tr>
        <w:trPr>
          <w:trHeight w:val="216"/>
        </w:trPr>
        <w:tc>
          <w:tcPr>
            <w:tcW w:w="3580" w:type="dxa"/>
            <w:vAlign w:val="bottom"/>
          </w:tcPr>
          <w:p>
            <w:pPr>
              <w:spacing w:after="0"/>
              <w:rPr>
                <w:sz w:val="18"/>
                <w:szCs w:val="18"/>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in directing the Trustee to take certain actions on behalf of all</w:t>
            </w:r>
          </w:p>
        </w:tc>
      </w:tr>
      <w:tr>
        <w:trPr>
          <w:trHeight w:val="230"/>
        </w:trPr>
        <w:tc>
          <w:tcPr>
            <w:tcW w:w="3580" w:type="dxa"/>
            <w:vAlign w:val="bottom"/>
          </w:tcPr>
          <w:p>
            <w:pPr>
              <w:spacing w:after="0"/>
              <w:rPr>
                <w:sz w:val="20"/>
                <w:szCs w:val="20"/>
                <w:color w:val="auto"/>
              </w:rPr>
            </w:pP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holders.</w:t>
            </w:r>
          </w:p>
        </w:tc>
      </w:tr>
      <w:tr>
        <w:trPr>
          <w:trHeight w:val="432"/>
        </w:trPr>
        <w:tc>
          <w:tcPr>
            <w:tcW w:w="35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None</w:t>
            </w:r>
          </w:p>
        </w:tc>
      </w:tr>
      <w:tr>
        <w:trPr>
          <w:trHeight w:val="432"/>
        </w:trPr>
        <w:tc>
          <w:tcPr>
            <w:tcW w:w="35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rPr>
              <w:t>None</w:t>
            </w:r>
          </w:p>
        </w:tc>
      </w:tr>
      <w:tr>
        <w:trPr>
          <w:trHeight w:val="414"/>
        </w:trPr>
        <w:tc>
          <w:tcPr>
            <w:tcW w:w="35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820" w:type="dxa"/>
            <w:vAlign w:val="bottom"/>
            <w:gridSpan w:val="3"/>
          </w:tcPr>
          <w:p>
            <w:pPr>
              <w:ind w:left="2480"/>
              <w:spacing w:after="0"/>
              <w:rPr>
                <w:sz w:val="20"/>
                <w:szCs w:val="20"/>
                <w:color w:val="auto"/>
              </w:rPr>
            </w:pPr>
            <w:r>
              <w:rPr>
                <w:rFonts w:ascii="Arial" w:cs="Arial" w:eastAsia="Arial" w:hAnsi="Arial"/>
                <w:sz w:val="18"/>
                <w:szCs w:val="18"/>
                <w:color w:val="auto"/>
                <w:w w:val="89"/>
              </w:rPr>
              <w:t>The terms of the 2026 Notes shall include such other terms as are set forth</w:t>
            </w:r>
          </w:p>
        </w:tc>
      </w:tr>
      <w:tr>
        <w:trPr>
          <w:trHeight w:val="194"/>
        </w:trPr>
        <w:tc>
          <w:tcPr>
            <w:tcW w:w="3580" w:type="dxa"/>
            <w:vAlign w:val="bottom"/>
          </w:tcPr>
          <w:p>
            <w:pPr>
              <w:spacing w:after="0"/>
              <w:rPr>
                <w:sz w:val="16"/>
                <w:szCs w:val="16"/>
                <w:color w:val="auto"/>
              </w:rPr>
            </w:pPr>
          </w:p>
        </w:tc>
        <w:tc>
          <w:tcPr>
            <w:tcW w:w="7820" w:type="dxa"/>
            <w:vAlign w:val="bottom"/>
            <w:gridSpan w:val="3"/>
          </w:tcPr>
          <w:p>
            <w:pPr>
              <w:ind w:left="2480"/>
              <w:spacing w:after="0" w:line="194" w:lineRule="exact"/>
              <w:rPr>
                <w:sz w:val="20"/>
                <w:szCs w:val="20"/>
                <w:color w:val="auto"/>
              </w:rPr>
            </w:pPr>
            <w:r>
              <w:rPr>
                <w:rFonts w:ascii="Arial" w:cs="Arial" w:eastAsia="Arial" w:hAnsi="Arial"/>
                <w:sz w:val="18"/>
                <w:szCs w:val="18"/>
                <w:color w:val="auto"/>
              </w:rPr>
              <w:t xml:space="preserve">in the Form of Note Due 2026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4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tbl>
      <w:tblPr>
        <w:tblLayout w:type="fixed"/>
        <w:tblInd w:w="640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William E. Dordelman</w:t>
            </w:r>
          </w:p>
        </w:tc>
      </w:tr>
      <w:tr>
        <w:trPr>
          <w:trHeight w:val="230"/>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Senior Vice President and Treasurer</w:t>
            </w:r>
          </w:p>
        </w:tc>
      </w:tr>
      <w:tr>
        <w:trPr>
          <w:trHeight w:val="459"/>
        </w:trPr>
        <w:tc>
          <w:tcPr>
            <w:tcW w:w="96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30"/>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General Counsel and Secretary</w:t>
            </w:r>
          </w:p>
        </w:tc>
      </w:tr>
    </w:tbl>
    <w:p>
      <w:pPr>
        <w:spacing w:after="0" w:line="21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2023]</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2.75% Note Due 2023</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BR1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US20030NBR17</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540"/>
            <w:col w:w="7800" w:space="720"/>
            <w:col w:w="198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2023.</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1(each,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23,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-19050</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Authorized Signatory</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2.75% Note Due 2023</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23, 2016. The Issuer will pay interest semi-annually in arrears on each Interest Payment Date, commencing September 1, 2016. Interest will be computed on the basis of a 360-day year of twelve 30-day months.</w:t>
      </w:r>
    </w:p>
    <w:p>
      <w:pPr>
        <w:spacing w:after="0" w:line="18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400"/>
          </w:cols>
          <w:pgMar w:left="240" w:top="274" w:right="259" w:bottom="1440" w:gutter="0" w:footer="0" w:header="0"/>
        </w:sectPr>
      </w:pPr>
    </w:p>
    <w:bookmarkStart w:id="12" w:name="page13"/>
    <w:bookmarkEnd w:id="12"/>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that, all liability of the Trustee and such Paying Agent with respect to such funds shall cease.</w:t>
      </w:r>
    </w:p>
    <w:p>
      <w:pPr>
        <w:spacing w:after="0" w:line="37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12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 2023 (one month prior to the maturity of the Securities), the greater of (i) 100% of the principal amount of such Securities and (ii) the sum of the present values of the principal amount of such Securities and the scheduled payments of interest thereon (exclusive of interest accrued to the date of redemption) from the redemption date to February 1, 2023, in each case discounted to the redemption date on a semiannual basis (assuming a 360-day year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 w:name="page15"/>
    <w:bookmarkEnd w:id="14"/>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consisting of twelve 30-day months) at the Treasury Rate plus 20 basis points and (b) if the Securities are redeemed on or after February 1, 2023 (one month prior to the maturity of the Securities) 100% of the principal amount of such Securities; plus, in each case, accrued and unpaid interest thereon to the date of redemption.</w:t>
      </w:r>
    </w:p>
    <w:p>
      <w:pPr>
        <w:spacing w:after="0" w:line="17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RBC Capital Markets,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5" w:name="page16"/>
    <w:bookmarkEnd w:id="15"/>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by such method as the Trustee shall deem fair and appropriate (provided that Securities represented by a Global Security will be selected for redemption by the Depositary in accordance with its standard procedures therefor).</w:t>
      </w:r>
    </w:p>
    <w:p>
      <w:pPr>
        <w:spacing w:after="0" w:line="31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7" w:name="page18"/>
    <w:bookmarkEnd w:id="17"/>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28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agent to transfer this Security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3810</wp:posOffset>
            </wp:positionV>
            <wp:extent cx="128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8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-1905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(Signed exactly as name appearson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287655</wp:posOffset>
            </wp:positionV>
            <wp:extent cx="36874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660" w:right="120"/>
        <w:spacing w:after="0" w:line="308" w:lineRule="auto"/>
        <w:rPr>
          <w:sz w:val="20"/>
          <w:szCs w:val="20"/>
          <w:color w:val="auto"/>
        </w:rPr>
      </w:pPr>
      <w:r>
        <w:rPr>
          <w:rFonts w:ascii="Arial" w:cs="Arial" w:eastAsia="Arial" w:hAnsi="Arial"/>
          <w:sz w:val="17"/>
          <w:szCs w:val="17"/>
          <w:color w:val="auto"/>
        </w:rPr>
        <w:t>Participant in a recognized Signature Guarantee Medallion Program (or other signature guarantorprogram reasonably acceptable to the Trustee)</w:t>
      </w:r>
    </w:p>
    <w:p>
      <w:pPr>
        <w:spacing w:after="0" w:line="7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240" w:space="720"/>
            <w:col w:w="8340"/>
          </w:cols>
          <w:pgMar w:left="240" w:top="274" w:right="35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2026]</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 Note Due 2026</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BS9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US20030NBS99</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80" w:space="720"/>
            <w:col w:w="196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2026.</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1(each,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type w:val="continuous"/>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274" w:right="4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274"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3.15% Note Due 2026</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23, 2016. The Issuer will pay interest semi-annually in arrears on each Interest Payment Date, commencing September 1, 2016. Interest will be computed on the basis of a 360-day year of twelve 30-day months.</w:t>
      </w:r>
    </w:p>
    <w:p>
      <w:pPr>
        <w:spacing w:after="0" w:line="184"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400"/>
          </w:cols>
          <w:pgMar w:left="240" w:top="274" w:right="259" w:bottom="1440" w:gutter="0" w:footer="0" w:header="0"/>
        </w:sectPr>
      </w:pPr>
    </w:p>
    <w:bookmarkStart w:id="22" w:name="page23"/>
    <w:bookmarkEnd w:id="22"/>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3" w:name="page24"/>
    <w:bookmarkEnd w:id="23"/>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prior to their maturity, on at least 30 days, but not more than 60 days, prior notice mailed to the registered address of each Holder of the Securities, at the applicable Redemption Price.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 w:name="page25"/>
    <w:bookmarkEnd w:id="24"/>
    <w:p>
      <w:pPr>
        <w:ind w:right="60" w:firstLine="456"/>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Redemption Price</w:t>
      </w:r>
      <w:r>
        <w:rPr>
          <w:rFonts w:ascii="Arial" w:cs="Arial" w:eastAsia="Arial" w:hAnsi="Arial"/>
          <w:sz w:val="17"/>
          <w:szCs w:val="17"/>
          <w:color w:val="auto"/>
        </w:rPr>
        <w:t>” means (a) at any time prior to December 1, 2025 (three months prior to the maturity of the Securities), the greater of (i) 100% of the principal amount of such Securities and (ii) the sum of the present values of the principal amount of such Securities and the scheduled payments of interest thereon (exclusive of interest accrued to the date of redemption) from the redemption date to December 1, 2025, in each case discounted to the redemption date on a semiannual basis (assuming a 360-day year consisting of twelve 30-day months) at the Treasury Rate plus 25 basis points and (b) if the Securities are redeemed on or after December 1, 2025 (three months prior to the maturity of the Securities) 100% of the principal amount of such Securities; plus, in each case, accrued and unpaid interest thereon to the date of redemption.</w:t>
      </w:r>
    </w:p>
    <w:p>
      <w:pPr>
        <w:spacing w:after="0" w:line="174"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Merrill Lynch, Pierce, Fenner &amp; Smith Incorporated, RBC Capital Markets,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25" w:name="page26"/>
    <w:bookmarkEnd w:id="25"/>
    <w:p>
      <w:pPr>
        <w:ind w:right="6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2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6" w:name="page27"/>
    <w:bookmarkEnd w:id="26"/>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760" w:type="dxa"/>
            <w:vAlign w:val="bottom"/>
            <w:gridSpan w:val="4"/>
          </w:tcPr>
          <w:p>
            <w:pPr>
              <w:jc w:val="center"/>
              <w:ind w:right="255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57"/>
        </w:trPr>
        <w:tc>
          <w:tcPr>
            <w:tcW w:w="5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140" w:type="dxa"/>
            <w:vAlign w:val="bottom"/>
            <w:tcBorders>
              <w:bottom w:val="single" w:sz="8" w:color="auto"/>
            </w:tcBorders>
          </w:tcPr>
          <w:p>
            <w:pPr>
              <w:spacing w:after="0"/>
              <w:rPr>
                <w:sz w:val="22"/>
                <w:szCs w:val="22"/>
                <w:color w:val="auto"/>
              </w:rPr>
            </w:pPr>
          </w:p>
        </w:tc>
      </w:tr>
      <w:tr>
        <w:trPr>
          <w:trHeight w:val="237"/>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760" w:type="dxa"/>
            <w:vAlign w:val="bottom"/>
            <w:gridSpan w:val="4"/>
          </w:tcPr>
          <w:p>
            <w:pPr>
              <w:jc w:val="center"/>
              <w:ind w:right="257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900" w:type="dxa"/>
            <w:vAlign w:val="bottom"/>
            <w:tcBorders>
              <w:bottom w:val="single" w:sz="8" w:color="auto"/>
            </w:tcBorders>
            <w:gridSpan w:val="2"/>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780" w:type="dxa"/>
            <w:vAlign w:val="bottom"/>
            <w:gridSpan w:val="2"/>
          </w:tcPr>
          <w:p>
            <w:pPr>
              <w:ind w:left="40"/>
              <w:spacing w:after="0"/>
              <w:rPr>
                <w:sz w:val="20"/>
                <w:szCs w:val="20"/>
                <w:color w:val="auto"/>
              </w:rPr>
            </w:pPr>
            <w:r>
              <w:rPr>
                <w:rFonts w:ascii="Arial" w:cs="Arial" w:eastAsia="Arial" w:hAnsi="Arial"/>
                <w:sz w:val="18"/>
                <w:szCs w:val="18"/>
                <w:color w:val="auto"/>
                <w:w w:val="99"/>
              </w:rPr>
              <w:t>agent to transfer this Security on the books of the Issuer. The agent may</w:t>
            </w:r>
          </w:p>
        </w:tc>
      </w:tr>
      <w:tr>
        <w:trPr>
          <w:trHeight w:val="237"/>
        </w:trPr>
        <w:tc>
          <w:tcPr>
            <w:tcW w:w="2660" w:type="dxa"/>
            <w:vAlign w:val="bottom"/>
            <w:gridSpan w:val="4"/>
          </w:tcPr>
          <w:p>
            <w:pPr>
              <w:spacing w:after="0"/>
              <w:rPr>
                <w:sz w:val="20"/>
                <w:szCs w:val="20"/>
                <w:color w:val="auto"/>
              </w:rPr>
            </w:pPr>
            <w:r>
              <w:rPr>
                <w:rFonts w:ascii="Arial" w:cs="Arial" w:eastAsia="Arial" w:hAnsi="Arial"/>
                <w:sz w:val="18"/>
                <w:szCs w:val="18"/>
                <w:color w:val="auto"/>
              </w:rPr>
              <w:t>substitute another to act for him.</w:t>
            </w: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19"/>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260" w:type="dxa"/>
            <w:vAlign w:val="bottom"/>
            <w:tcBorders>
              <w:bottom w:val="single" w:sz="8" w:color="auto"/>
            </w:tcBorders>
            <w:gridSpan w:val="2"/>
          </w:tcPr>
          <w:p>
            <w:pPr>
              <w:spacing w:after="0"/>
              <w:rPr>
                <w:sz w:val="24"/>
                <w:szCs w:val="24"/>
                <w:color w:val="auto"/>
              </w:rPr>
            </w:pPr>
          </w:p>
        </w:tc>
        <w:tc>
          <w:tcPr>
            <w:tcW w:w="860" w:type="dxa"/>
            <w:vAlign w:val="bottom"/>
          </w:tcPr>
          <w:p>
            <w:pPr>
              <w:spacing w:after="0"/>
              <w:rPr>
                <w:sz w:val="24"/>
                <w:szCs w:val="24"/>
                <w:color w:val="auto"/>
              </w:rPr>
            </w:pPr>
          </w:p>
        </w:tc>
        <w:tc>
          <w:tcPr>
            <w:tcW w:w="8760" w:type="dxa"/>
            <w:vAlign w:val="bottom"/>
            <w:gridSpan w:val="4"/>
          </w:tcPr>
          <w:p>
            <w:pPr>
              <w:ind w:left="2920"/>
              <w:spacing w:after="0"/>
              <w:rPr>
                <w:sz w:val="20"/>
                <w:szCs w:val="20"/>
                <w:color w:val="auto"/>
              </w:rPr>
            </w:pPr>
            <w:r>
              <w:rPr>
                <w:rFonts w:ascii="Arial" w:cs="Arial" w:eastAsia="Arial" w:hAnsi="Arial"/>
                <w:sz w:val="18"/>
                <w:szCs w:val="18"/>
                <w:color w:val="auto"/>
              </w:rPr>
              <w:t>Signed:</w:t>
            </w:r>
          </w:p>
        </w:tc>
      </w:tr>
      <w:tr>
        <w:trPr>
          <w:trHeight w:val="21"/>
        </w:trPr>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24"/>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(Signed exactly as name appearson the other side of this Security)</w:t>
            </w:r>
          </w:p>
        </w:tc>
      </w:tr>
      <w:tr>
        <w:trPr>
          <w:trHeight w:val="377"/>
        </w:trPr>
        <w:tc>
          <w:tcPr>
            <w:tcW w:w="2660" w:type="dxa"/>
            <w:vAlign w:val="bottom"/>
            <w:gridSpan w:val="4"/>
          </w:tcPr>
          <w:p>
            <w:pPr>
              <w:spacing w:after="0"/>
              <w:rPr>
                <w:sz w:val="20"/>
                <w:szCs w:val="20"/>
                <w:color w:val="auto"/>
              </w:rPr>
            </w:pPr>
            <w:r>
              <w:rPr>
                <w:rFonts w:ascii="Arial" w:cs="Arial" w:eastAsia="Arial" w:hAnsi="Arial"/>
                <w:sz w:val="18"/>
                <w:szCs w:val="18"/>
                <w:color w:val="auto"/>
              </w:rPr>
              <w:t>Signature Guarantee:</w:t>
            </w:r>
          </w:p>
        </w:tc>
        <w:tc>
          <w:tcPr>
            <w:tcW w:w="2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236"/>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760" w:type="dxa"/>
            <w:vAlign w:val="bottom"/>
            <w:gridSpan w:val="4"/>
          </w:tcPr>
          <w:p>
            <w:pPr>
              <w:ind w:left="2920"/>
              <w:spacing w:after="0"/>
              <w:rPr>
                <w:sz w:val="20"/>
                <w:szCs w:val="20"/>
                <w:color w:val="auto"/>
              </w:rPr>
            </w:pPr>
            <w:r>
              <w:rPr>
                <w:rFonts w:ascii="Arial" w:cs="Arial" w:eastAsia="Arial" w:hAnsi="Arial"/>
                <w:sz w:val="18"/>
                <w:szCs w:val="18"/>
                <w:color w:val="auto"/>
                <w:w w:val="94"/>
              </w:rPr>
              <w:t>Participant in a recognized Signature Guarantee Medallion Program (or other</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760" w:type="dxa"/>
            <w:vAlign w:val="bottom"/>
            <w:gridSpan w:val="4"/>
          </w:tcPr>
          <w:p>
            <w:pPr>
              <w:ind w:left="2920"/>
              <w:spacing w:after="0"/>
              <w:rPr>
                <w:sz w:val="20"/>
                <w:szCs w:val="20"/>
                <w:color w:val="auto"/>
              </w:rPr>
            </w:pPr>
            <w:r>
              <w:rPr>
                <w:rFonts w:ascii="Arial" w:cs="Arial" w:eastAsia="Arial" w:hAnsi="Arial"/>
                <w:sz w:val="18"/>
                <w:szCs w:val="18"/>
                <w:color w:val="auto"/>
              </w:rPr>
              <w:t>signature guarantorprogram reasonably acceptable to the Trustee)</w:t>
            </w:r>
          </w:p>
        </w:tc>
      </w:tr>
      <w:tr>
        <w:trPr>
          <w:trHeight w:val="365"/>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jc w:val="center"/>
              <w:ind w:left="2390"/>
              <w:spacing w:after="0"/>
              <w:rPr>
                <w:sz w:val="20"/>
                <w:szCs w:val="20"/>
                <w:color w:val="auto"/>
              </w:rPr>
            </w:pPr>
            <w:r>
              <w:rPr>
                <w:rFonts w:ascii="Arial" w:cs="Arial" w:eastAsia="Arial" w:hAnsi="Arial"/>
                <w:sz w:val="18"/>
                <w:szCs w:val="18"/>
                <w:color w:val="auto"/>
                <w:w w:val="99"/>
              </w:rPr>
              <w:t>7</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 am Executive Vice President, General Counsel and Secretary of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have acted for the Company in connection with the issuance by the Company, pursuant to the Underwriting Agreement dated February 16, 2016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among the Company, the Guarantors (as defined below) and Merrill Lynch, Pierce, Fenner &amp; Smith Incorporated, RBC Capital Markets, LLC</w:t>
      </w:r>
      <w:r>
        <w:rPr>
          <w:rFonts w:ascii="Arial" w:cs="Arial" w:eastAsia="Arial" w:hAnsi="Arial"/>
          <w:sz w:val="17"/>
          <w:szCs w:val="17"/>
          <w:b w:val="1"/>
          <w:bCs w:val="1"/>
          <w:color w:val="auto"/>
        </w:rPr>
        <w:t xml:space="preserve"> </w:t>
      </w:r>
      <w:r>
        <w:rPr>
          <w:rFonts w:ascii="Arial" w:cs="Arial" w:eastAsia="Arial" w:hAnsi="Arial"/>
          <w:sz w:val="17"/>
          <w:szCs w:val="17"/>
          <w:color w:val="auto"/>
        </w:rPr>
        <w:t>and Wells Fargo Securities, LLC,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$750,000,000 aggregate principal amount of its 2.75% Notes due 2023 and $1,500,000,000 aggregate principal amount of its 3.15% Notes due 2026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on an unsecured and unsubordinated basis by the Guarantors.</w:t>
      </w:r>
    </w:p>
    <w:p>
      <w:pPr>
        <w:spacing w:after="0" w:line="17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57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23, 2016</w:t>
      </w:r>
    </w:p>
    <w:p>
      <w:pPr>
        <w:spacing w:after="0" w:line="158"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acted as counsel to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issuance by the Company, pursuant to the Underwriting Agreement dated February 16, 2016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Merrill Lynch, Pierce, Fenner &amp; Smith Incorporated, RBC Capital Markets, LLC and Wells Fargo Securities, LLC, as representatives of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$750,000,000 aggregate principal amount of its 2.75% Notes due 2023 and $1,500,000,000 aggregate principal amount of its 3.15% Notes due 2026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the Guarantors.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w:t>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57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23, 2016</w:t>
      </w:r>
    </w:p>
    <w:p>
      <w:pPr>
        <w:spacing w:after="0" w:line="158" w:lineRule="exact"/>
        <w:rPr>
          <w:sz w:val="20"/>
          <w:szCs w:val="20"/>
          <w:color w:val="auto"/>
        </w:rPr>
      </w:pPr>
    </w:p>
    <w:p>
      <w:pPr>
        <w:ind w:right="20" w:firstLine="8"/>
        <w:spacing w:after="0" w:line="291"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40" w:firstLine="8"/>
        <w:spacing w:after="0" w:line="271"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7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420"/>
          </w:cols>
          <w:pgMar w:left="240" w:top="274" w:right="239" w:bottom="1440" w:gutter="0" w:footer="0" w:header="0"/>
        </w:sectPr>
      </w:pPr>
    </w:p>
    <w:bookmarkStart w:id="32" w:name="page33"/>
    <w:bookmarkEnd w:id="32"/>
    <w:p>
      <w:pPr>
        <w:spacing w:after="0"/>
        <w:tabs>
          <w:tab w:leader="none" w:pos="57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February 23, 2016</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hereby consent to the filing of this opinion as an exhibit to a report on Form 8-K filed by the Company on the date hereof and its incorporation by reference into the Company’s registration statement on Form S-3 filed on September 18, 2013, as amended as of the date of the Underwriting Agreement (File No. 333-191239). In addition, we consent to the reference to our name under the caption “Legal Matters” in the prospectus, which is a part of the registration statement. In giving this consent, we do not admit that we are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decimal"/>
      <w:start w:val="10"/>
    </w:lvl>
  </w:abstractNum>
  <w:abstractNum w:abstractNumId="11">
    <w:nsid w:val="189A769B"/>
    <w:multiLevelType w:val="hybridMultilevel"/>
    <w:lvl w:ilvl="0">
      <w:lvlJc w:val="left"/>
      <w:lvlText w:val="%1."/>
      <w:numFmt w:val="decimal"/>
      <w:start w:val="11"/>
    </w:lvl>
  </w:abstractNum>
  <w:abstractNum w:abstractNumId="12">
    <w:nsid w:val="54E49EB4"/>
    <w:multiLevelType w:val="hybridMultilevel"/>
    <w:lvl w:ilvl="0">
      <w:lvlJc w:val="left"/>
      <w:lvlText w:val="%1."/>
      <w:numFmt w:val="decimal"/>
      <w:start w:val="12"/>
    </w:lvl>
  </w:abstractNum>
  <w:abstractNum w:abstractNumId="13">
    <w:nsid w:val="71F32454"/>
    <w:multiLevelType w:val="hybridMultilevel"/>
    <w:lvl w:ilvl="0">
      <w:lvlJc w:val="left"/>
      <w:lvlText w:val="%1."/>
      <w:numFmt w:val="decimal"/>
      <w:start w:val="13"/>
    </w:lvl>
  </w:abstractNum>
  <w:abstractNum w:abstractNumId="14">
    <w:nsid w:val="2CA88611"/>
    <w:multiLevelType w:val="hybridMultilevel"/>
    <w:lvl w:ilvl="0">
      <w:lvlJc w:val="left"/>
      <w:lvlText w:val="%1."/>
      <w:numFmt w:val="decimal"/>
      <w:start w:val="14"/>
    </w:lvl>
  </w:abstractNum>
  <w:abstractNum w:abstractNumId="15">
    <w:nsid w:val="836C40E"/>
    <w:multiLevelType w:val="hybridMultilevel"/>
    <w:lvl w:ilvl="0">
      <w:lvlJc w:val="left"/>
      <w:lvlText w:val="%1."/>
      <w:numFmt w:val="decimal"/>
      <w:start w:val="15"/>
    </w:lvl>
  </w:abstractNum>
  <w:abstractNum w:abstractNumId="16">
    <w:nsid w:val="2901D82"/>
    <w:multiLevelType w:val="hybridMultilevel"/>
    <w:lvl w:ilvl="0">
      <w:lvlJc w:val="left"/>
      <w:lvlText w:val="%1."/>
      <w:numFmt w:val="decimal"/>
      <w:start w:val="16"/>
    </w:lvl>
  </w:abstractNum>
  <w:abstractNum w:abstractNumId="17">
    <w:nsid w:val="3A95F874"/>
    <w:multiLevelType w:val="hybridMultilevel"/>
    <w:lvl w:ilvl="0">
      <w:lvlJc w:val="left"/>
      <w:lvlText w:val="%1."/>
      <w:numFmt w:val="decimal"/>
      <w:start w:val="17"/>
    </w:lvl>
  </w:abstractNum>
  <w:abstractNum w:abstractNumId="18">
    <w:nsid w:val="8138641"/>
    <w:multiLevelType w:val="hybridMultilevel"/>
    <w:lvl w:ilvl="0">
      <w:lvlJc w:val="left"/>
      <w:lvlText w:val="%1."/>
      <w:numFmt w:val="decimal"/>
      <w:start w:val="18"/>
    </w:lvl>
  </w:abstractNum>
  <w:abstractNum w:abstractNumId="19">
    <w:nsid w:val="1E7FF521"/>
    <w:multiLevelType w:val="hybridMultilevel"/>
    <w:lvl w:ilvl="0">
      <w:lvlJc w:val="left"/>
      <w:lvlText w:val="%1."/>
      <w:numFmt w:val="decimal"/>
      <w:start w:val="19"/>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1."/>
      <w:numFmt w:val="decimal"/>
      <w:start w:val="5"/>
    </w:lvl>
  </w:abstractNum>
  <w:abstractNum w:abstractNumId="25">
    <w:nsid w:val="3006C83E"/>
    <w:multiLevelType w:val="hybridMultilevel"/>
    <w:lvl w:ilvl="0">
      <w:lvlJc w:val="left"/>
      <w:lvlText w:val="%1."/>
      <w:numFmt w:val="decimal"/>
      <w:start w:val="6"/>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8"/>
    </w:lvl>
  </w:abstractNum>
  <w:abstractNum w:abstractNumId="28">
    <w:nsid w:val="5577F8E1"/>
    <w:multiLevelType w:val="hybridMultilevel"/>
    <w:lvl w:ilvl="0">
      <w:lvlJc w:val="left"/>
      <w:lvlText w:val="%1."/>
      <w:numFmt w:val="decimal"/>
      <w:start w:val="9"/>
    </w:lvl>
  </w:abstractNum>
  <w:abstractNum w:abstractNumId="29">
    <w:nsid w:val="440BADFC"/>
    <w:multiLevelType w:val="hybridMultilevel"/>
    <w:lvl w:ilvl="0">
      <w:lvlJc w:val="left"/>
      <w:lvlText w:val="%1."/>
      <w:numFmt w:val="decimal"/>
      <w:start w:val="10"/>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decimal"/>
      <w:start w:val="12"/>
    </w:lvl>
  </w:abstractNum>
  <w:abstractNum w:abstractNumId="32">
    <w:nsid w:val="77465F01"/>
    <w:multiLevelType w:val="hybridMultilevel"/>
    <w:lvl w:ilvl="0">
      <w:lvlJc w:val="left"/>
      <w:lvlText w:val="%1."/>
      <w:numFmt w:val="decimal"/>
      <w:start w:val="13"/>
    </w:lvl>
  </w:abstractNum>
  <w:abstractNum w:abstractNumId="33">
    <w:nsid w:val="7724C67E"/>
    <w:multiLevelType w:val="hybridMultilevel"/>
    <w:lvl w:ilvl="0">
      <w:lvlJc w:val="left"/>
      <w:lvlText w:val="%1."/>
      <w:numFmt w:val="decimal"/>
      <w:start w:val="14"/>
    </w:lvl>
  </w:abstractNum>
  <w:abstractNum w:abstractNumId="34">
    <w:nsid w:val="5C482A97"/>
    <w:multiLevelType w:val="hybridMultilevel"/>
    <w:lvl w:ilvl="0">
      <w:lvlJc w:val="left"/>
      <w:lvlText w:val="%1."/>
      <w:numFmt w:val="decimal"/>
      <w:start w:val="15"/>
    </w:lvl>
  </w:abstractNum>
  <w:abstractNum w:abstractNumId="35">
    <w:nsid w:val="2463B9EA"/>
    <w:multiLevelType w:val="hybridMultilevel"/>
    <w:lvl w:ilvl="0">
      <w:lvlJc w:val="left"/>
      <w:lvlText w:val="%1."/>
      <w:numFmt w:val="decimal"/>
      <w:start w:val="16"/>
    </w:lvl>
  </w:abstractNum>
  <w:abstractNum w:abstractNumId="36">
    <w:nsid w:val="5E884ADC"/>
    <w:multiLevelType w:val="hybridMultilevel"/>
    <w:lvl w:ilvl="0">
      <w:lvlJc w:val="left"/>
      <w:lvlText w:val="%1."/>
      <w:numFmt w:val="decimal"/>
      <w:start w:val="17"/>
    </w:lvl>
  </w:abstractNum>
  <w:abstractNum w:abstractNumId="37">
    <w:nsid w:val="51EAD36B"/>
    <w:multiLevelType w:val="hybridMultilevel"/>
    <w:lvl w:ilvl="0">
      <w:lvlJc w:val="left"/>
      <w:lvlText w:val="%1."/>
      <w:numFmt w:val="decimal"/>
      <w:start w:val="18"/>
    </w:lvl>
  </w:abstractNum>
  <w:abstractNum w:abstractNumId="38">
    <w:nsid w:val="2D517796"/>
    <w:multiLevelType w:val="hybridMultilevel"/>
    <w:lvl w:ilvl="0">
      <w:lvlJc w:val="left"/>
      <w:lvlText w:val="%1."/>
      <w:numFmt w:val="decimal"/>
      <w:start w:val="19"/>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2019-12-07T15:51:50Z</dcterms:created>
  <dcterms:modified xsi:type="dcterms:W3CDTF">2019-12-07T15:51:50Z</dcterms:modified>
</cp:coreProperties>
</file>