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001-32871</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440" w:type="dxa"/>
            <w:vAlign w:val="bottom"/>
          </w:tcPr>
          <w:p>
            <w:pPr>
              <w:jc w:val="center"/>
              <w:ind w:right="143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One Comcast Center</w:t>
            </w:r>
          </w:p>
        </w:tc>
        <w:tc>
          <w:tcPr>
            <w:tcW w:w="400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Philadelphia, PA</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444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4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 Common Stock, $0.01 par value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CMCSA</w:t>
            </w:r>
          </w:p>
        </w:tc>
        <w:tc>
          <w:tcPr>
            <w:tcW w:w="39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0.250% Notes due 2027</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CMCS27</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1.500% Notes due 2029</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CMCS29</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0.750% Notes due 2032</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CMCS32</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1.875% Notes due 2036</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CMCS36</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1.250% Notes due 2040</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CMCS40</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9.455% Guaranteed Notes due 2022</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CMCSA/22</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5.50% Notes due 2029</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CCGBP29</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2.0% Exchangeable Subordinated Debentures due 2029</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CCZ</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779"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Offers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August 2, 2021, Comcast Corporation (“Comcast” or the “Company”) and NBCUniversal Media, LLC (“NBCUniversal”) issued a press release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announcing the commencement of private offers (the “Exchange Offers”) (i) (A) by the Company to exchange its 6.400% Notes due 2038, 6.950%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2037, 6.450% Notes due 2037, 6.400% Notes due March 2040, 6.550% Notes due 2039, 4.600% Notes due 2038, 6.500% Notes due 2035, 5.650%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due 2035 and 7.050% Notes due 2033 and (B) by NBCUniversal to exchange NBCUniversal’s 6.400% Notes due April 2040 for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$3,000,000,000 in aggregate principal amount of the Company’s new Notes due 2051 (the “New 2051 Notes”), (ii) (A) by the Company to exchange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4.700% Notes due 2048, 4.750% Notes due 2044, 4.650% Notes due 2042 and 4.500% Notes due 2043 and (B) by NBCUniversal to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NBCUniversal’s 5.950% Notes due 2041 and 4.450% Notes due 2043 for up to $3,000,000,000 in aggregate principal amount of the Company’s new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2056 (the “New 2056 Notes”) and (iii) by the Company to exchange its 4.600% Notes due 2045, 4.950% Notes due 2058 and 4.049% Notes due 2052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up to $3,000,000,000 in aggregate principal amount of the Company’s new Notes due 2063 (the “New 2063 Notes” and, together with the New 2051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the New 2056 Notes, the “New Notes”). A copy of the press release announcing the commencement of the Exchange Offers is filed as Exhibit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99.1 to this Current Report on Form 8-K and is incorporated herein by reference.</w:t>
      </w:r>
    </w:p>
    <w:p>
      <w:pPr>
        <w:spacing w:after="0" w:line="21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6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20" w:type="dxa"/>
            <w:vAlign w:val="bottom"/>
            <w:gridSpan w:val="3"/>
          </w:tcPr>
          <w:p>
            <w:pPr>
              <w:ind w:left="6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80" w:type="dxa"/>
            <w:vAlign w:val="bottom"/>
          </w:tcPr>
          <w:p>
            <w:pPr>
              <w:spacing w:after="0"/>
              <w:rPr>
                <w:sz w:val="14"/>
                <w:szCs w:val="14"/>
                <w:color w:val="auto"/>
              </w:rPr>
            </w:pPr>
          </w:p>
        </w:tc>
        <w:tc>
          <w:tcPr>
            <w:tcW w:w="95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Comcast Corporation and NBCUniversal Media, LLC Press Release dated August 2,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6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0"/>
                <w:szCs w:val="20"/>
                <w:color w:val="auto"/>
              </w:rPr>
            </w:pPr>
          </w:p>
        </w:tc>
        <w:tc>
          <w:tcPr>
            <w:tcW w:w="10220" w:type="dxa"/>
            <w:vAlign w:val="bottom"/>
            <w:gridSpan w:val="3"/>
          </w:tcPr>
          <w:p>
            <w:pPr>
              <w:ind w:left="6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37"/>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gridSpan w:val="2"/>
          </w:tcPr>
          <w:p>
            <w:pPr>
              <w:ind w:left="2260"/>
              <w:spacing w:after="0"/>
              <w:rPr>
                <w:sz w:val="20"/>
                <w:szCs w:val="20"/>
                <w:color w:val="auto"/>
              </w:rPr>
            </w:pPr>
            <w:r>
              <w:rPr>
                <w:rFonts w:ascii="Arial" w:cs="Arial" w:eastAsia="Arial" w:hAnsi="Arial"/>
                <w:sz w:val="18"/>
                <w:szCs w:val="18"/>
                <w:b w:val="1"/>
                <w:bCs w:val="1"/>
                <w:color w:val="auto"/>
              </w:rPr>
              <w:t>COMCAST CORPORATION</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Date:  August 2, 2021</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195"/>
        </w:trPr>
        <w:tc>
          <w:tcPr>
            <w:tcW w:w="3940" w:type="dxa"/>
            <w:vAlign w:val="bottom"/>
          </w:tcPr>
          <w:p>
            <w:pPr>
              <w:spacing w:after="0"/>
              <w:rPr>
                <w:sz w:val="16"/>
                <w:szCs w:val="16"/>
                <w:color w:val="auto"/>
              </w:rPr>
            </w:pPr>
          </w:p>
        </w:tc>
        <w:tc>
          <w:tcPr>
            <w:tcW w:w="282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394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w w:val="94"/>
              </w:rPr>
              <w:t>Senior Vice President, Senior Deputy General Counsel and</w:t>
            </w:r>
          </w:p>
        </w:tc>
      </w:tr>
      <w:tr>
        <w:trPr>
          <w:trHeight w:val="230"/>
        </w:trPr>
        <w:tc>
          <w:tcPr>
            <w:tcW w:w="3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311"/>
        </w:trPr>
        <w:tc>
          <w:tcPr>
            <w:tcW w:w="39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154305</wp:posOffset>
            </wp:positionV>
            <wp:extent cx="1440180" cy="50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AND NBCUNIVERSAL MEDIA ANNOUNCE DEBT EXCHANGE OFFERS</w:t>
      </w:r>
    </w:p>
    <w:p>
      <w:pPr>
        <w:spacing w:after="0" w:line="2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Philadelphia, Pennsylvania, August 2, 2021 </w:t>
      </w:r>
      <w:r>
        <w:rPr>
          <w:rFonts w:ascii="Arial" w:cs="Arial" w:eastAsia="Arial" w:hAnsi="Arial"/>
          <w:sz w:val="18"/>
          <w:szCs w:val="18"/>
          <w:color w:val="auto"/>
        </w:rPr>
        <w:t>– Comcast Corporation (Nasdaq: CMCSA) (“Comcast”) and NBCUniversal Media, LLC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the commencement of a private offer to exchange (the “Pool 1 Offer”) ten series of notes issued by Comcast and NBCUniversal (collectively, the “Pool 1 Notes”) for a combination of cash and a new series of Comcast’s senior notes to be due November 1, 2051 (the “New 2051 Notes”) as described and for the consideration summarized in the table below. The aggregate principal amount of Pool 1 Notes of each series that are accepted for exchange will be based on the order of acceptance priority for such series as set forth in the table below, such that the aggregate principal amount of Pool 1 Notes accepted in the Pool 1 Offer results in the issuance of New 2051 Notes in an amount not exceeding $3,000,000,000 (the “2051 Notes Cap”).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Fixed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Cash</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CUSIP</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Reference UST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4"/>
              </w:rPr>
              <w:t>(basis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Title of Security</w:t>
            </w:r>
          </w:p>
        </w:tc>
        <w:tc>
          <w:tcPr>
            <w:tcW w:w="1940" w:type="dxa"/>
            <w:vAlign w:val="bottom"/>
          </w:tcPr>
          <w:p>
            <w:pPr>
              <w:ind w:left="860"/>
              <w:spacing w:after="0"/>
              <w:rPr>
                <w:sz w:val="20"/>
                <w:szCs w:val="20"/>
                <w:color w:val="auto"/>
              </w:rPr>
            </w:pPr>
            <w:r>
              <w:rPr>
                <w:rFonts w:ascii="Arial" w:cs="Arial" w:eastAsia="Arial" w:hAnsi="Arial"/>
                <w:sz w:val="18"/>
                <w:szCs w:val="18"/>
                <w:b w:val="1"/>
                <w:bCs w:val="1"/>
                <w:color w:val="auto"/>
              </w:rPr>
              <w:t>Issuer</w:t>
            </w: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Number(s)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points)(1)</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Premium(2)</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BFBFBF"/>
            </w:tcBorders>
            <w:gridSpan w:val="2"/>
            <w:shd w:val="clear" w:color="auto" w:fill="BFBFBF"/>
          </w:tcPr>
          <w:p>
            <w:pPr>
              <w:ind w:left="40"/>
              <w:spacing w:after="0"/>
              <w:rPr>
                <w:sz w:val="20"/>
                <w:szCs w:val="20"/>
                <w:color w:val="auto"/>
              </w:rPr>
            </w:pPr>
            <w:r>
              <w:rPr>
                <w:rFonts w:ascii="Arial" w:cs="Arial" w:eastAsia="Arial" w:hAnsi="Arial"/>
                <w:sz w:val="18"/>
                <w:szCs w:val="18"/>
                <w:color w:val="auto"/>
              </w:rPr>
              <w:t>Pool 1 Notes</w:t>
            </w:r>
          </w:p>
        </w:tc>
        <w:tc>
          <w:tcPr>
            <w:tcW w:w="1940" w:type="dxa"/>
            <w:vAlign w:val="bottom"/>
            <w:tcBorders>
              <w:bottom w:val="single" w:sz="8" w:color="BFBFBF"/>
            </w:tcBorders>
            <w:shd w:val="clear" w:color="auto" w:fill="BFBFBF"/>
          </w:tcPr>
          <w:p>
            <w:pPr>
              <w:spacing w:after="0"/>
              <w:rPr>
                <w:sz w:val="24"/>
                <w:szCs w:val="24"/>
                <w:color w:val="auto"/>
              </w:rPr>
            </w:pPr>
          </w:p>
        </w:tc>
        <w:tc>
          <w:tcPr>
            <w:tcW w:w="1300" w:type="dxa"/>
            <w:vAlign w:val="bottom"/>
            <w:tcBorders>
              <w:bottom w:val="single" w:sz="8" w:color="BFBFBF"/>
            </w:tcBorders>
            <w:shd w:val="clear" w:color="auto" w:fill="BFBFBF"/>
          </w:tcPr>
          <w:p>
            <w:pPr>
              <w:spacing w:after="0"/>
              <w:rPr>
                <w:sz w:val="24"/>
                <w:szCs w:val="24"/>
                <w:color w:val="auto"/>
              </w:rPr>
            </w:pPr>
          </w:p>
        </w:tc>
        <w:tc>
          <w:tcPr>
            <w:tcW w:w="1300" w:type="dxa"/>
            <w:vAlign w:val="bottom"/>
            <w:tcBorders>
              <w:bottom w:val="single" w:sz="8" w:color="BFBFBF"/>
            </w:tcBorders>
            <w:shd w:val="clear" w:color="auto" w:fill="BFBFBF"/>
          </w:tcPr>
          <w:p>
            <w:pPr>
              <w:spacing w:after="0"/>
              <w:rPr>
                <w:sz w:val="24"/>
                <w:szCs w:val="24"/>
                <w:color w:val="auto"/>
              </w:rPr>
            </w:pPr>
          </w:p>
        </w:tc>
        <w:tc>
          <w:tcPr>
            <w:tcW w:w="1300" w:type="dxa"/>
            <w:vAlign w:val="bottom"/>
            <w:tcBorders>
              <w:bottom w:val="single" w:sz="8" w:color="BFBFBF"/>
            </w:tcBorders>
            <w:shd w:val="clear" w:color="auto" w:fill="BFBFBF"/>
          </w:tcPr>
          <w:p>
            <w:pPr>
              <w:spacing w:after="0"/>
              <w:rPr>
                <w:sz w:val="24"/>
                <w:szCs w:val="24"/>
                <w:color w:val="auto"/>
              </w:rPr>
            </w:pPr>
          </w:p>
        </w:tc>
        <w:tc>
          <w:tcPr>
            <w:tcW w:w="880" w:type="dxa"/>
            <w:vAlign w:val="bottom"/>
            <w:tcBorders>
              <w:bottom w:val="single" w:sz="8" w:color="BFBFBF"/>
            </w:tcBorders>
            <w:shd w:val="clear" w:color="auto" w:fill="BFBFBF"/>
          </w:tcPr>
          <w:p>
            <w:pPr>
              <w:spacing w:after="0"/>
              <w:rPr>
                <w:sz w:val="24"/>
                <w:szCs w:val="24"/>
                <w:color w:val="auto"/>
              </w:rPr>
            </w:pPr>
          </w:p>
        </w:tc>
        <w:tc>
          <w:tcPr>
            <w:tcW w:w="1020" w:type="dxa"/>
            <w:vAlign w:val="bottom"/>
            <w:tcBorders>
              <w:bottom w:val="single" w:sz="8" w:color="BFBFBF"/>
            </w:tcBorders>
            <w:shd w:val="clear" w:color="auto" w:fill="BFBFBF"/>
          </w:tcPr>
          <w:p>
            <w:pPr>
              <w:spacing w:after="0"/>
              <w:rPr>
                <w:sz w:val="24"/>
                <w:szCs w:val="24"/>
                <w:color w:val="auto"/>
              </w:rPr>
            </w:pPr>
          </w:p>
        </w:tc>
        <w:tc>
          <w:tcPr>
            <w:tcW w:w="980" w:type="dxa"/>
            <w:vAlign w:val="bottom"/>
            <w:tcBorders>
              <w:bottom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20" w:type="dxa"/>
            <w:vAlign w:val="bottom"/>
          </w:tcPr>
          <w:p>
            <w:pPr>
              <w:ind w:left="40"/>
              <w:spacing w:after="0"/>
              <w:rPr>
                <w:sz w:val="20"/>
                <w:szCs w:val="20"/>
                <w:color w:val="auto"/>
              </w:rPr>
            </w:pPr>
            <w:r>
              <w:rPr>
                <w:rFonts w:ascii="Arial" w:cs="Arial" w:eastAsia="Arial" w:hAnsi="Arial"/>
                <w:sz w:val="18"/>
                <w:szCs w:val="18"/>
                <w:color w:val="auto"/>
                <w:w w:val="91"/>
              </w:rPr>
              <w:t>6.400%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AX9</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$571,915,000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6.950%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2037</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AV3</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$787,725,000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6.450%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2037</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AM3</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$904,355,000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6.400%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March 2040</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BB6</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$481,743,000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6.400%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April 2040</w:t>
            </w:r>
          </w:p>
        </w:tc>
        <w:tc>
          <w:tcPr>
            <w:tcW w:w="1940" w:type="dxa"/>
            <w:vAlign w:val="bottom"/>
          </w:tcPr>
          <w:p>
            <w:pPr>
              <w:ind w:left="240"/>
              <w:spacing w:after="0"/>
              <w:rPr>
                <w:sz w:val="20"/>
                <w:szCs w:val="20"/>
                <w:color w:val="auto"/>
              </w:rPr>
            </w:pPr>
            <w:r>
              <w:rPr>
                <w:rFonts w:ascii="Arial" w:cs="Arial" w:eastAsia="Arial" w:hAnsi="Arial"/>
                <w:sz w:val="18"/>
                <w:szCs w:val="18"/>
                <w:color w:val="auto"/>
                <w:w w:val="97"/>
              </w:rPr>
              <w:t>NBCUniversal Media,</w:t>
            </w:r>
          </w:p>
        </w:tc>
        <w:tc>
          <w:tcPr>
            <w:tcW w:w="1300" w:type="dxa"/>
            <w:vAlign w:val="bottom"/>
          </w:tcPr>
          <w:p>
            <w:pPr>
              <w:ind w:left="80"/>
              <w:spacing w:after="0" w:line="284" w:lineRule="exact"/>
              <w:rPr>
                <w:sz w:val="20"/>
                <w:szCs w:val="20"/>
                <w:color w:val="auto"/>
              </w:rPr>
            </w:pPr>
            <w:r>
              <w:rPr>
                <w:rFonts w:ascii="Arial" w:cs="Arial" w:eastAsia="Arial" w:hAnsi="Arial"/>
                <w:sz w:val="18"/>
                <w:szCs w:val="18"/>
                <w:color w:val="auto"/>
                <w:w w:val="96"/>
              </w:rPr>
              <w:t>63946B AF7</w:t>
            </w:r>
            <w:r>
              <w:rPr>
                <w:rFonts w:ascii="Arial" w:cs="Arial" w:eastAsia="Arial" w:hAnsi="Arial"/>
                <w:sz w:val="29"/>
                <w:szCs w:val="29"/>
                <w:color w:val="auto"/>
                <w:w w:val="96"/>
                <w:vertAlign w:val="superscript"/>
              </w:rPr>
              <w:t>(3)</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$558,422,000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75</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8"/>
              </w:rPr>
              <w:t>27%</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LLC</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6.550%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2039</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AY7</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$413,668,000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34%</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4.600%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CL3</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$3,000,000,000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6.500%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2035</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AK7</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$1,000,000,000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1.625%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105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49%</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5.650%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2035</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AF8</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$750,000,000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1.625%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105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 w:type="dxa"/>
            <w:vAlign w:val="bottom"/>
          </w:tcPr>
          <w:p>
            <w:pPr>
              <w:ind w:left="40"/>
              <w:spacing w:after="0"/>
              <w:rPr>
                <w:sz w:val="20"/>
                <w:szCs w:val="20"/>
                <w:color w:val="auto"/>
              </w:rPr>
            </w:pPr>
            <w:r>
              <w:rPr>
                <w:rFonts w:ascii="Arial" w:cs="Arial" w:eastAsia="Arial" w:hAnsi="Arial"/>
                <w:sz w:val="18"/>
                <w:szCs w:val="18"/>
                <w:color w:val="auto"/>
                <w:w w:val="91"/>
              </w:rPr>
              <w:t>7.050%</w:t>
            </w:r>
          </w:p>
        </w:tc>
        <w:tc>
          <w:tcPr>
            <w:tcW w:w="190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1940" w:type="dxa"/>
            <w:vAlign w:val="bottom"/>
          </w:tcPr>
          <w:p>
            <w:pPr>
              <w:ind w:left="240"/>
              <w:spacing w:after="0"/>
              <w:rPr>
                <w:sz w:val="20"/>
                <w:szCs w:val="20"/>
                <w:color w:val="auto"/>
              </w:rPr>
            </w:pPr>
            <w:r>
              <w:rPr>
                <w:rFonts w:ascii="Arial" w:cs="Arial" w:eastAsia="Arial" w:hAnsi="Arial"/>
                <w:sz w:val="18"/>
                <w:szCs w:val="18"/>
                <w:color w:val="auto"/>
                <w:w w:val="98"/>
              </w:rPr>
              <w:t>Comcast Corporation</w:t>
            </w:r>
          </w:p>
        </w:tc>
        <w:tc>
          <w:tcPr>
            <w:tcW w:w="1300" w:type="dxa"/>
            <w:vAlign w:val="bottom"/>
          </w:tcPr>
          <w:p>
            <w:pPr>
              <w:ind w:left="80"/>
              <w:spacing w:after="0"/>
              <w:rPr>
                <w:sz w:val="20"/>
                <w:szCs w:val="20"/>
                <w:color w:val="auto"/>
              </w:rPr>
            </w:pPr>
            <w:r>
              <w:rPr>
                <w:rFonts w:ascii="Arial" w:cs="Arial" w:eastAsia="Arial" w:hAnsi="Arial"/>
                <w:sz w:val="18"/>
                <w:szCs w:val="18"/>
                <w:color w:val="auto"/>
              </w:rPr>
              <w:t>20030N AC5</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$750,000,000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1.625% UST</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72%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right="20" w:firstLine="8"/>
        <w:spacing w:after="0" w:line="266" w:lineRule="auto"/>
        <w:tabs>
          <w:tab w:leader="none" w:pos="3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early participation payment for the Pool 1 Offer will be $50 of principal amount of New 2051 Notes per $1,000 principal amount of Pool 1 Notes and is included in the total consideration.</w:t>
      </w:r>
    </w:p>
    <w:p>
      <w:pPr>
        <w:spacing w:after="0" w:line="1" w:lineRule="exact"/>
        <w:rPr>
          <w:rFonts w:ascii="Arial" w:cs="Arial" w:eastAsia="Arial" w:hAnsi="Arial"/>
          <w:sz w:val="16"/>
          <w:szCs w:val="16"/>
          <w:color w:val="auto"/>
        </w:rPr>
      </w:pPr>
    </w:p>
    <w:p>
      <w:pPr>
        <w:ind w:right="140" w:firstLine="8"/>
        <w:spacing w:after="0" w:line="264" w:lineRule="auto"/>
        <w:tabs>
          <w:tab w:leader="none" w:pos="3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cash payment percent of premium is the percentage of the amount by which the total consideration exceeds $1,000 in principal amount of such Pool 1 Notes to be paid in cash.</w:t>
      </w:r>
    </w:p>
    <w:p>
      <w:pPr>
        <w:ind w:left="320" w:hanging="312"/>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6.400% Notes due April 2040 also includes notes with a restrictive legend (144A CUSIP number: 62875UAD7; Regulation S CUSIP: U63763AB9).</w:t>
      </w:r>
    </w:p>
    <w:p>
      <w:pPr>
        <w:spacing w:after="0" w:line="231"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*Denotes a series of Pool 1 Notes for which the total consideration and exchange consideration will be determined taking into account the par call date, instead of the maturity date, in accordance with standard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40"/>
        <w:spacing w:after="0" w:line="255" w:lineRule="auto"/>
        <w:rPr>
          <w:sz w:val="20"/>
          <w:szCs w:val="20"/>
          <w:color w:val="auto"/>
        </w:rPr>
      </w:pPr>
      <w:r>
        <w:rPr>
          <w:rFonts w:ascii="Arial" w:cs="Arial" w:eastAsia="Arial" w:hAnsi="Arial"/>
          <w:sz w:val="18"/>
          <w:szCs w:val="18"/>
          <w:color w:val="auto"/>
        </w:rPr>
        <w:t>Comcast and NBCUniversal also announced today the commencement of a private offer to exchange (the “Pool 2 Offer”) six series of notes issued by Comcast and NBCUniversal (collectively, the “Pool 2 Notes”) for a combination of cash and a new series of Comcast’s senior notes to be due November 1, 2056 (the “New 2056 Notes”) as described and for the consideration summarized in the table below. The aggregate principal amount of Pool 2 Notes of each series that are accepted for exchange will be based on the order of acceptance priority for such series as set forth in the table below, such that the aggregate principal amount of Pool 2 Notes accepted in the Pool 2 Offer results in the issuance of New 2056 Notes in an amount not exceeding $3,000,000,000 (the “2056 Notes Cap”).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Cash</w:t>
            </w: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8"/>
              </w:rPr>
              <w:t>CUSIP</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UST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Fixed Spread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5"/>
              </w:rPr>
              <w:t>Priority</w:t>
            </w:r>
          </w:p>
        </w:tc>
      </w:tr>
      <w:tr>
        <w:trPr>
          <w:trHeight w:val="234"/>
        </w:trPr>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Title of Security</w:t>
            </w:r>
          </w:p>
        </w:tc>
        <w:tc>
          <w:tcPr>
            <w:tcW w:w="212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Issuer</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(basis points)(1) Premium(2)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r>
      <w:tr>
        <w:trPr>
          <w:trHeight w:val="210"/>
        </w:trPr>
        <w:tc>
          <w:tcPr>
            <w:tcW w:w="2440" w:type="dxa"/>
            <w:vAlign w:val="bottom"/>
            <w:gridSpan w:val="2"/>
            <w:shd w:val="clear" w:color="auto" w:fill="BFBFBF"/>
          </w:tcPr>
          <w:p>
            <w:pPr>
              <w:spacing w:after="0"/>
              <w:rPr>
                <w:sz w:val="20"/>
                <w:szCs w:val="20"/>
                <w:color w:val="auto"/>
              </w:rPr>
            </w:pPr>
            <w:r>
              <w:rPr>
                <w:rFonts w:ascii="Arial" w:cs="Arial" w:eastAsia="Arial" w:hAnsi="Arial"/>
                <w:sz w:val="18"/>
                <w:szCs w:val="18"/>
                <w:color w:val="auto"/>
              </w:rPr>
              <w:t>Pool 2 Notes</w:t>
            </w:r>
          </w:p>
        </w:tc>
        <w:tc>
          <w:tcPr>
            <w:tcW w:w="2120" w:type="dxa"/>
            <w:vAlign w:val="bottom"/>
            <w:shd w:val="clear" w:color="auto" w:fill="BFBFBF"/>
          </w:tcPr>
          <w:p>
            <w:pPr>
              <w:spacing w:after="0"/>
              <w:rPr>
                <w:sz w:val="18"/>
                <w:szCs w:val="18"/>
                <w:color w:val="auto"/>
              </w:rPr>
            </w:pPr>
          </w:p>
        </w:tc>
        <w:tc>
          <w:tcPr>
            <w:tcW w:w="1180" w:type="dxa"/>
            <w:vAlign w:val="bottom"/>
            <w:shd w:val="clear" w:color="auto" w:fill="BFBFBF"/>
          </w:tcPr>
          <w:p>
            <w:pPr>
              <w:spacing w:after="0"/>
              <w:rPr>
                <w:sz w:val="18"/>
                <w:szCs w:val="18"/>
                <w:color w:val="auto"/>
              </w:rPr>
            </w:pPr>
          </w:p>
        </w:tc>
        <w:tc>
          <w:tcPr>
            <w:tcW w:w="1180" w:type="dxa"/>
            <w:vAlign w:val="bottom"/>
            <w:shd w:val="clear" w:color="auto" w:fill="BFBFBF"/>
          </w:tcPr>
          <w:p>
            <w:pPr>
              <w:spacing w:after="0"/>
              <w:rPr>
                <w:sz w:val="18"/>
                <w:szCs w:val="18"/>
                <w:color w:val="auto"/>
              </w:rPr>
            </w:pPr>
          </w:p>
        </w:tc>
        <w:tc>
          <w:tcPr>
            <w:tcW w:w="1060" w:type="dxa"/>
            <w:vAlign w:val="bottom"/>
            <w:shd w:val="clear" w:color="auto" w:fill="BFBFBF"/>
          </w:tcPr>
          <w:p>
            <w:pPr>
              <w:spacing w:after="0"/>
              <w:rPr>
                <w:sz w:val="18"/>
                <w:szCs w:val="18"/>
                <w:color w:val="auto"/>
              </w:rPr>
            </w:pPr>
          </w:p>
        </w:tc>
        <w:tc>
          <w:tcPr>
            <w:tcW w:w="1280" w:type="dxa"/>
            <w:vAlign w:val="bottom"/>
            <w:shd w:val="clear" w:color="auto" w:fill="BFBFBF"/>
          </w:tcPr>
          <w:p>
            <w:pPr>
              <w:spacing w:after="0"/>
              <w:rPr>
                <w:sz w:val="18"/>
                <w:szCs w:val="18"/>
                <w:color w:val="auto"/>
              </w:rPr>
            </w:pPr>
          </w:p>
        </w:tc>
        <w:tc>
          <w:tcPr>
            <w:tcW w:w="1000" w:type="dxa"/>
            <w:vAlign w:val="bottom"/>
            <w:shd w:val="clear" w:color="auto" w:fill="BFBFBF"/>
          </w:tcPr>
          <w:p>
            <w:pPr>
              <w:spacing w:after="0"/>
              <w:rPr>
                <w:sz w:val="18"/>
                <w:szCs w:val="18"/>
                <w:color w:val="auto"/>
              </w:rPr>
            </w:pPr>
          </w:p>
        </w:tc>
        <w:tc>
          <w:tcPr>
            <w:tcW w:w="980" w:type="dxa"/>
            <w:vAlign w:val="bottom"/>
            <w:shd w:val="clear" w:color="auto" w:fill="BFBFBF"/>
          </w:tcPr>
          <w:p>
            <w:pPr>
              <w:spacing w:after="0"/>
              <w:rPr>
                <w:sz w:val="18"/>
                <w:szCs w:val="18"/>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w w:val="91"/>
              </w:rPr>
              <w:t>5.950%</w:t>
            </w:r>
          </w:p>
        </w:tc>
        <w:tc>
          <w:tcPr>
            <w:tcW w:w="1860" w:type="dxa"/>
            <w:vAlign w:val="bottom"/>
          </w:tcPr>
          <w:p>
            <w:pPr>
              <w:ind w:left="20"/>
              <w:spacing w:after="0" w:line="201" w:lineRule="exact"/>
              <w:rPr>
                <w:sz w:val="20"/>
                <w:szCs w:val="20"/>
                <w:color w:val="auto"/>
              </w:rPr>
            </w:pPr>
            <w:r>
              <w:rPr>
                <w:rFonts w:ascii="Arial" w:cs="Arial" w:eastAsia="Arial" w:hAnsi="Arial"/>
                <w:sz w:val="18"/>
                <w:szCs w:val="18"/>
                <w:color w:val="auto"/>
              </w:rPr>
              <w:t>Notes due 2041</w:t>
            </w:r>
          </w:p>
        </w:tc>
        <w:tc>
          <w:tcPr>
            <w:tcW w:w="2120" w:type="dxa"/>
            <w:vAlign w:val="bottom"/>
          </w:tcPr>
          <w:p>
            <w:pPr>
              <w:ind w:left="380"/>
              <w:spacing w:after="0" w:line="201" w:lineRule="exact"/>
              <w:rPr>
                <w:sz w:val="20"/>
                <w:szCs w:val="20"/>
                <w:color w:val="auto"/>
              </w:rPr>
            </w:pPr>
            <w:r>
              <w:rPr>
                <w:rFonts w:ascii="Arial" w:cs="Arial" w:eastAsia="Arial" w:hAnsi="Arial"/>
                <w:sz w:val="18"/>
                <w:szCs w:val="18"/>
                <w:color w:val="auto"/>
                <w:w w:val="99"/>
              </w:rPr>
              <w:t>NBCUniversal Media,</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63946B AG5</w:t>
            </w:r>
          </w:p>
        </w:tc>
        <w:tc>
          <w:tcPr>
            <w:tcW w:w="224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3"/>
              </w:rPr>
              <w:t>$1,200,000,000 2.250% UST</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LLC</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32%</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4.700%</w:t>
            </w:r>
          </w:p>
        </w:tc>
        <w:tc>
          <w:tcPr>
            <w:tcW w:w="1860" w:type="dxa"/>
            <w:vAlign w:val="bottom"/>
          </w:tcPr>
          <w:p>
            <w:pPr>
              <w:ind w:left="20"/>
              <w:spacing w:after="0"/>
              <w:rPr>
                <w:sz w:val="20"/>
                <w:szCs w:val="20"/>
                <w:color w:val="auto"/>
              </w:rPr>
            </w:pPr>
            <w:r>
              <w:rPr>
                <w:rFonts w:ascii="Arial" w:cs="Arial" w:eastAsia="Arial" w:hAnsi="Arial"/>
                <w:sz w:val="18"/>
                <w:szCs w:val="18"/>
                <w:color w:val="auto"/>
              </w:rPr>
              <w:t>Notes due 2048*</w:t>
            </w:r>
          </w:p>
        </w:tc>
        <w:tc>
          <w:tcPr>
            <w:tcW w:w="2120" w:type="dxa"/>
            <w:vAlign w:val="bottom"/>
          </w:tcPr>
          <w:p>
            <w:pPr>
              <w:ind w:left="380"/>
              <w:spacing w:after="0"/>
              <w:rPr>
                <w:sz w:val="20"/>
                <w:szCs w:val="20"/>
                <w:color w:val="auto"/>
              </w:rPr>
            </w:pPr>
            <w:r>
              <w:rPr>
                <w:rFonts w:ascii="Arial" w:cs="Arial" w:eastAsia="Arial" w:hAnsi="Arial"/>
                <w:sz w:val="18"/>
                <w:szCs w:val="18"/>
                <w:color w:val="auto"/>
              </w:rPr>
              <w:t>Comcast Corporation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20030N CM1</w:t>
            </w:r>
          </w:p>
        </w:tc>
        <w:tc>
          <w:tcPr>
            <w:tcW w:w="2240" w:type="dxa"/>
            <w:vAlign w:val="bottom"/>
            <w:gridSpan w:val="2"/>
          </w:tcPr>
          <w:p>
            <w:pPr>
              <w:ind w:left="60"/>
              <w:spacing w:after="0"/>
              <w:rPr>
                <w:sz w:val="20"/>
                <w:szCs w:val="20"/>
                <w:color w:val="auto"/>
              </w:rPr>
            </w:pPr>
            <w:r>
              <w:rPr>
                <w:rFonts w:ascii="Arial" w:cs="Arial" w:eastAsia="Arial" w:hAnsi="Arial"/>
                <w:sz w:val="18"/>
                <w:szCs w:val="18"/>
                <w:color w:val="auto"/>
                <w:w w:val="93"/>
              </w:rPr>
              <w:t>$4,000,000,000 2.375% UST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2051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4.750%</w:t>
            </w:r>
          </w:p>
        </w:tc>
        <w:tc>
          <w:tcPr>
            <w:tcW w:w="1860" w:type="dxa"/>
            <w:vAlign w:val="bottom"/>
          </w:tcPr>
          <w:p>
            <w:pPr>
              <w:ind w:left="20"/>
              <w:spacing w:after="0"/>
              <w:rPr>
                <w:sz w:val="20"/>
                <w:szCs w:val="20"/>
                <w:color w:val="auto"/>
              </w:rPr>
            </w:pPr>
            <w:r>
              <w:rPr>
                <w:rFonts w:ascii="Arial" w:cs="Arial" w:eastAsia="Arial" w:hAnsi="Arial"/>
                <w:sz w:val="18"/>
                <w:szCs w:val="18"/>
                <w:color w:val="auto"/>
              </w:rPr>
              <w:t>Notes due 2044</w:t>
            </w:r>
          </w:p>
        </w:tc>
        <w:tc>
          <w:tcPr>
            <w:tcW w:w="2120" w:type="dxa"/>
            <w:vAlign w:val="bottom"/>
          </w:tcPr>
          <w:p>
            <w:pPr>
              <w:ind w:left="380"/>
              <w:spacing w:after="0"/>
              <w:rPr>
                <w:sz w:val="20"/>
                <w:szCs w:val="20"/>
                <w:color w:val="auto"/>
              </w:rPr>
            </w:pPr>
            <w:r>
              <w:rPr>
                <w:rFonts w:ascii="Arial" w:cs="Arial" w:eastAsia="Arial" w:hAnsi="Arial"/>
                <w:sz w:val="18"/>
                <w:szCs w:val="18"/>
                <w:color w:val="auto"/>
              </w:rPr>
              <w:t>Comcast Corporation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20030N BK6</w:t>
            </w:r>
          </w:p>
        </w:tc>
        <w:tc>
          <w:tcPr>
            <w:tcW w:w="2240" w:type="dxa"/>
            <w:vAlign w:val="bottom"/>
            <w:gridSpan w:val="2"/>
          </w:tcPr>
          <w:p>
            <w:pPr>
              <w:ind w:left="60"/>
              <w:spacing w:after="0"/>
              <w:rPr>
                <w:sz w:val="20"/>
                <w:szCs w:val="20"/>
                <w:color w:val="auto"/>
              </w:rPr>
            </w:pPr>
            <w:r>
              <w:rPr>
                <w:rFonts w:ascii="Arial" w:cs="Arial" w:eastAsia="Arial" w:hAnsi="Arial"/>
                <w:sz w:val="18"/>
                <w:szCs w:val="18"/>
                <w:color w:val="auto"/>
                <w:w w:val="93"/>
              </w:rPr>
              <w:t>$1,000,000,000 2.250% UST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4.650%</w:t>
            </w:r>
          </w:p>
        </w:tc>
        <w:tc>
          <w:tcPr>
            <w:tcW w:w="1860" w:type="dxa"/>
            <w:vAlign w:val="bottom"/>
          </w:tcPr>
          <w:p>
            <w:pPr>
              <w:ind w:left="20"/>
              <w:spacing w:after="0"/>
              <w:rPr>
                <w:sz w:val="20"/>
                <w:szCs w:val="20"/>
                <w:color w:val="auto"/>
              </w:rPr>
            </w:pPr>
            <w:r>
              <w:rPr>
                <w:rFonts w:ascii="Arial" w:cs="Arial" w:eastAsia="Arial" w:hAnsi="Arial"/>
                <w:sz w:val="18"/>
                <w:szCs w:val="18"/>
                <w:color w:val="auto"/>
              </w:rPr>
              <w:t>Notes due 2042</w:t>
            </w:r>
          </w:p>
        </w:tc>
        <w:tc>
          <w:tcPr>
            <w:tcW w:w="2120" w:type="dxa"/>
            <w:vAlign w:val="bottom"/>
          </w:tcPr>
          <w:p>
            <w:pPr>
              <w:ind w:left="380"/>
              <w:spacing w:after="0"/>
              <w:rPr>
                <w:sz w:val="20"/>
                <w:szCs w:val="20"/>
                <w:color w:val="auto"/>
              </w:rPr>
            </w:pPr>
            <w:r>
              <w:rPr>
                <w:rFonts w:ascii="Arial" w:cs="Arial" w:eastAsia="Arial" w:hAnsi="Arial"/>
                <w:sz w:val="18"/>
                <w:szCs w:val="18"/>
                <w:color w:val="auto"/>
              </w:rPr>
              <w:t>Comcast Corporation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20030N BE0</w:t>
            </w:r>
          </w:p>
        </w:tc>
        <w:tc>
          <w:tcPr>
            <w:tcW w:w="2240" w:type="dxa"/>
            <w:vAlign w:val="bottom"/>
            <w:gridSpan w:val="2"/>
          </w:tcPr>
          <w:p>
            <w:pPr>
              <w:ind w:left="60"/>
              <w:spacing w:after="0"/>
              <w:rPr>
                <w:sz w:val="20"/>
                <w:szCs w:val="20"/>
                <w:color w:val="auto"/>
              </w:rPr>
            </w:pPr>
            <w:r>
              <w:rPr>
                <w:rFonts w:ascii="Arial" w:cs="Arial" w:eastAsia="Arial" w:hAnsi="Arial"/>
                <w:sz w:val="18"/>
                <w:szCs w:val="18"/>
                <w:color w:val="auto"/>
                <w:w w:val="93"/>
              </w:rPr>
              <w:t>$1,250,000,000 2.250% UST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4.500%</w:t>
            </w:r>
          </w:p>
        </w:tc>
        <w:tc>
          <w:tcPr>
            <w:tcW w:w="18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120" w:type="dxa"/>
            <w:vAlign w:val="bottom"/>
          </w:tcPr>
          <w:p>
            <w:pPr>
              <w:ind w:left="380"/>
              <w:spacing w:after="0"/>
              <w:rPr>
                <w:sz w:val="20"/>
                <w:szCs w:val="20"/>
                <w:color w:val="auto"/>
              </w:rPr>
            </w:pPr>
            <w:r>
              <w:rPr>
                <w:rFonts w:ascii="Arial" w:cs="Arial" w:eastAsia="Arial" w:hAnsi="Arial"/>
                <w:sz w:val="18"/>
                <w:szCs w:val="18"/>
                <w:color w:val="auto"/>
              </w:rPr>
              <w:t>Comcast Corporation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20030N BG5</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$500,000,000</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2.250% UST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4.450%</w:t>
            </w:r>
          </w:p>
        </w:tc>
        <w:tc>
          <w:tcPr>
            <w:tcW w:w="18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120" w:type="dxa"/>
            <w:vAlign w:val="bottom"/>
          </w:tcPr>
          <w:p>
            <w:pPr>
              <w:ind w:left="380"/>
              <w:spacing w:after="0"/>
              <w:rPr>
                <w:sz w:val="20"/>
                <w:szCs w:val="20"/>
                <w:color w:val="auto"/>
              </w:rPr>
            </w:pPr>
            <w:r>
              <w:rPr>
                <w:rFonts w:ascii="Arial" w:cs="Arial" w:eastAsia="Arial" w:hAnsi="Arial"/>
                <w:sz w:val="18"/>
                <w:szCs w:val="18"/>
                <w:color w:val="auto"/>
                <w:w w:val="99"/>
              </w:rPr>
              <w:t>NBCUniversal Media,</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63946B AJ9</w:t>
            </w:r>
          </w:p>
        </w:tc>
        <w:tc>
          <w:tcPr>
            <w:tcW w:w="2240" w:type="dxa"/>
            <w:vAlign w:val="bottom"/>
            <w:gridSpan w:val="2"/>
          </w:tcPr>
          <w:p>
            <w:pPr>
              <w:ind w:left="60"/>
              <w:spacing w:after="0"/>
              <w:rPr>
                <w:sz w:val="20"/>
                <w:szCs w:val="20"/>
                <w:color w:val="auto"/>
              </w:rPr>
            </w:pPr>
            <w:r>
              <w:rPr>
                <w:rFonts w:ascii="Arial" w:cs="Arial" w:eastAsia="Arial" w:hAnsi="Arial"/>
                <w:sz w:val="18"/>
                <w:szCs w:val="18"/>
                <w:color w:val="auto"/>
                <w:w w:val="93"/>
              </w:rPr>
              <w:t>$1,000,000,000 2.250% UST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LLC</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30"/>
        </w:trPr>
        <w:tc>
          <w:tcPr>
            <w:tcW w:w="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2041</w:t>
            </w: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right="20" w:firstLine="8"/>
        <w:spacing w:after="0" w:line="260" w:lineRule="auto"/>
        <w:tabs>
          <w:tab w:leader="none" w:pos="31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early participation payment for the Pool 2 Offer will be $50 of principal amount of New 2056 Notes per $1,000 principal amount of Pool 2 Notes and is included in the total consideration.</w:t>
      </w:r>
    </w:p>
    <w:p>
      <w:pPr>
        <w:ind w:right="140" w:firstLine="8"/>
        <w:spacing w:after="0" w:line="288" w:lineRule="auto"/>
        <w:tabs>
          <w:tab w:leader="none" w:pos="31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cash payment percent of premium is the percentage of the amount by which the total consideration exceeds $1,000 in principal amount of such Pool 2 Notes to be paid in cash.</w:t>
      </w:r>
    </w:p>
    <w:p>
      <w:pPr>
        <w:spacing w:after="0" w:line="162" w:lineRule="exact"/>
        <w:rPr>
          <w:sz w:val="20"/>
          <w:szCs w:val="20"/>
          <w:color w:val="auto"/>
        </w:rPr>
      </w:pPr>
    </w:p>
    <w:p>
      <w:pPr>
        <w:ind w:right="920"/>
        <w:spacing w:after="0" w:line="293" w:lineRule="auto"/>
        <w:rPr>
          <w:sz w:val="20"/>
          <w:szCs w:val="20"/>
          <w:color w:val="auto"/>
        </w:rPr>
      </w:pPr>
      <w:r>
        <w:rPr>
          <w:rFonts w:ascii="Arial" w:cs="Arial" w:eastAsia="Arial" w:hAnsi="Arial"/>
          <w:sz w:val="16"/>
          <w:szCs w:val="16"/>
          <w:color w:val="auto"/>
        </w:rPr>
        <w:t>*Denotes a series of Pool 2 Notes for which the total consideration and exchange consideration will be determined taking into account the par call date, instead of the maturity date, in accordance with standard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line="272" w:lineRule="auto"/>
        <w:rPr>
          <w:sz w:val="20"/>
          <w:szCs w:val="20"/>
          <w:color w:val="auto"/>
        </w:rPr>
      </w:pPr>
      <w:r>
        <w:rPr>
          <w:rFonts w:ascii="Arial" w:cs="Arial" w:eastAsia="Arial" w:hAnsi="Arial"/>
          <w:sz w:val="17"/>
          <w:szCs w:val="17"/>
          <w:color w:val="auto"/>
        </w:rPr>
        <w:t>Comcast also announced today the commencement of a private offer to exchange (the “Pool 3 Offer” and, together with the Pool 1 Offer and the Pool 2 Offer, the “Exchange Offers”) three series of notes issued by Comcast (collectively, the “Pool 3 Notes” and, together with the Pool 1 Notes and the Pool 2 Notes, the “Old Notes”) for a combination of cash and a new series of Comcast’s senior notes to be due November 1, 2063 (the “New 2063 Notes” and, together with the New 2051 Notes and the New 2056 Notes, the “New Notes”) as described and for the consideration summarized in the table below. The aggregate principal amount of Pool 3 Notes of each series that are accepted for exchange will be based on the order of acceptance priority for such series as set forth in the table below, such that the aggregate principal amount of Pool 3 Notes accepted in the Pool 3 Offer results in the issuance of New 2063 Notes in an amount not exceeding $3,000,000,000 (the “2063 Notes Cap”).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Cash</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8"/>
              </w:rPr>
              <w:t>CUSIP</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UST</w:t>
            </w:r>
          </w:p>
        </w:tc>
        <w:tc>
          <w:tcPr>
            <w:tcW w:w="1280" w:type="dxa"/>
            <w:vAlign w:val="bottom"/>
          </w:tcPr>
          <w:p>
            <w:pPr>
              <w:ind w:left="160"/>
              <w:spacing w:after="0"/>
              <w:rPr>
                <w:sz w:val="20"/>
                <w:szCs w:val="20"/>
                <w:color w:val="auto"/>
              </w:rPr>
            </w:pPr>
            <w:r>
              <w:rPr>
                <w:rFonts w:ascii="Arial" w:cs="Arial" w:eastAsia="Arial" w:hAnsi="Arial"/>
                <w:sz w:val="18"/>
                <w:szCs w:val="18"/>
                <w:b w:val="1"/>
                <w:bCs w:val="1"/>
                <w:color w:val="auto"/>
                <w:w w:val="97"/>
              </w:rPr>
              <w:t>Fixed Spread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5"/>
              </w:rPr>
              <w:t>Priority</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Title of Security</w:t>
            </w:r>
          </w:p>
        </w:tc>
        <w:tc>
          <w:tcPr>
            <w:tcW w:w="21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Issuer</w:t>
            </w:r>
          </w:p>
        </w:tc>
        <w:tc>
          <w:tcPr>
            <w:tcW w:w="142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b w:val="1"/>
                <w:bCs w:val="1"/>
                <w:color w:val="auto"/>
                <w:w w:val="91"/>
              </w:rPr>
              <w:t>Number(s)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(basis points)(1) Premium(2)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10"/>
        </w:trPr>
        <w:tc>
          <w:tcPr>
            <w:tcW w:w="2180" w:type="dxa"/>
            <w:vAlign w:val="bottom"/>
            <w:shd w:val="clear" w:color="auto" w:fill="BFBFBF"/>
          </w:tcPr>
          <w:p>
            <w:pPr>
              <w:spacing w:after="0"/>
              <w:rPr>
                <w:sz w:val="20"/>
                <w:szCs w:val="20"/>
                <w:color w:val="auto"/>
              </w:rPr>
            </w:pPr>
            <w:r>
              <w:rPr>
                <w:rFonts w:ascii="Arial" w:cs="Arial" w:eastAsia="Arial" w:hAnsi="Arial"/>
                <w:sz w:val="18"/>
                <w:szCs w:val="18"/>
                <w:color w:val="auto"/>
              </w:rPr>
              <w:t>Pool 3 Notes</w:t>
            </w:r>
          </w:p>
        </w:tc>
        <w:tc>
          <w:tcPr>
            <w:tcW w:w="2100" w:type="dxa"/>
            <w:vAlign w:val="bottom"/>
            <w:shd w:val="clear" w:color="auto" w:fill="BFBFBF"/>
          </w:tcPr>
          <w:p>
            <w:pPr>
              <w:spacing w:after="0"/>
              <w:rPr>
                <w:sz w:val="18"/>
                <w:szCs w:val="18"/>
                <w:color w:val="auto"/>
              </w:rPr>
            </w:pPr>
          </w:p>
        </w:tc>
        <w:tc>
          <w:tcPr>
            <w:tcW w:w="840" w:type="dxa"/>
            <w:vAlign w:val="bottom"/>
            <w:shd w:val="clear" w:color="auto" w:fill="BFBFBF"/>
          </w:tcPr>
          <w:p>
            <w:pPr>
              <w:spacing w:after="0"/>
              <w:rPr>
                <w:sz w:val="18"/>
                <w:szCs w:val="18"/>
                <w:color w:val="auto"/>
              </w:rPr>
            </w:pPr>
          </w:p>
        </w:tc>
        <w:tc>
          <w:tcPr>
            <w:tcW w:w="580" w:type="dxa"/>
            <w:vAlign w:val="bottom"/>
            <w:shd w:val="clear" w:color="auto" w:fill="BFBFBF"/>
          </w:tcPr>
          <w:p>
            <w:pPr>
              <w:spacing w:after="0"/>
              <w:rPr>
                <w:sz w:val="18"/>
                <w:szCs w:val="18"/>
                <w:color w:val="auto"/>
              </w:rPr>
            </w:pPr>
          </w:p>
        </w:tc>
        <w:tc>
          <w:tcPr>
            <w:tcW w:w="1240" w:type="dxa"/>
            <w:vAlign w:val="bottom"/>
            <w:shd w:val="clear" w:color="auto" w:fill="BFBFBF"/>
          </w:tcPr>
          <w:p>
            <w:pPr>
              <w:spacing w:after="0"/>
              <w:rPr>
                <w:sz w:val="18"/>
                <w:szCs w:val="18"/>
                <w:color w:val="auto"/>
              </w:rPr>
            </w:pPr>
          </w:p>
        </w:tc>
        <w:tc>
          <w:tcPr>
            <w:tcW w:w="1040" w:type="dxa"/>
            <w:vAlign w:val="bottom"/>
            <w:shd w:val="clear" w:color="auto" w:fill="BFBFBF"/>
          </w:tcPr>
          <w:p>
            <w:pPr>
              <w:spacing w:after="0"/>
              <w:rPr>
                <w:sz w:val="18"/>
                <w:szCs w:val="18"/>
                <w:color w:val="auto"/>
              </w:rPr>
            </w:pPr>
          </w:p>
        </w:tc>
        <w:tc>
          <w:tcPr>
            <w:tcW w:w="1280" w:type="dxa"/>
            <w:vAlign w:val="bottom"/>
            <w:shd w:val="clear" w:color="auto" w:fill="BFBFBF"/>
          </w:tcPr>
          <w:p>
            <w:pPr>
              <w:spacing w:after="0"/>
              <w:rPr>
                <w:sz w:val="18"/>
                <w:szCs w:val="18"/>
                <w:color w:val="auto"/>
              </w:rPr>
            </w:pPr>
          </w:p>
        </w:tc>
        <w:tc>
          <w:tcPr>
            <w:tcW w:w="1000" w:type="dxa"/>
            <w:vAlign w:val="bottom"/>
            <w:shd w:val="clear" w:color="auto" w:fill="BFBFBF"/>
          </w:tcPr>
          <w:p>
            <w:pPr>
              <w:spacing w:after="0"/>
              <w:rPr>
                <w:sz w:val="18"/>
                <w:szCs w:val="18"/>
                <w:color w:val="auto"/>
              </w:rPr>
            </w:pPr>
          </w:p>
        </w:tc>
        <w:tc>
          <w:tcPr>
            <w:tcW w:w="9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4.600% Notes due 2045*</w:t>
            </w:r>
          </w:p>
        </w:tc>
        <w:tc>
          <w:tcPr>
            <w:tcW w:w="2100" w:type="dxa"/>
            <w:vAlign w:val="bottom"/>
          </w:tcPr>
          <w:p>
            <w:pPr>
              <w:ind w:left="320"/>
              <w:spacing w:after="0" w:line="201" w:lineRule="exact"/>
              <w:rPr>
                <w:sz w:val="20"/>
                <w:szCs w:val="20"/>
                <w:color w:val="auto"/>
              </w:rPr>
            </w:pPr>
            <w:r>
              <w:rPr>
                <w:rFonts w:ascii="Arial" w:cs="Arial" w:eastAsia="Arial" w:hAnsi="Arial"/>
                <w:sz w:val="18"/>
                <w:szCs w:val="18"/>
                <w:color w:val="auto"/>
              </w:rPr>
              <w:t>Comcast Corporation</w:t>
            </w:r>
          </w:p>
        </w:tc>
        <w:tc>
          <w:tcPr>
            <w:tcW w:w="840" w:type="dxa"/>
            <w:vAlign w:val="bottom"/>
          </w:tcPr>
          <w:p>
            <w:pPr>
              <w:ind w:left="240"/>
              <w:spacing w:after="0" w:line="201" w:lineRule="exact"/>
              <w:rPr>
                <w:sz w:val="20"/>
                <w:szCs w:val="20"/>
                <w:color w:val="auto"/>
              </w:rPr>
            </w:pPr>
            <w:r>
              <w:rPr>
                <w:rFonts w:ascii="Arial" w:cs="Arial" w:eastAsia="Arial" w:hAnsi="Arial"/>
                <w:sz w:val="18"/>
                <w:szCs w:val="18"/>
                <w:color w:val="auto"/>
                <w:w w:val="91"/>
              </w:rPr>
              <w:t>20030N</w:t>
            </w:r>
          </w:p>
        </w:tc>
        <w:tc>
          <w:tcPr>
            <w:tcW w:w="580" w:type="dxa"/>
            <w:vAlign w:val="bottom"/>
          </w:tcPr>
          <w:p>
            <w:pPr>
              <w:ind w:left="20"/>
              <w:spacing w:after="0" w:line="201" w:lineRule="exact"/>
              <w:rPr>
                <w:sz w:val="20"/>
                <w:szCs w:val="20"/>
                <w:color w:val="auto"/>
              </w:rPr>
            </w:pPr>
            <w:r>
              <w:rPr>
                <w:rFonts w:ascii="Arial" w:cs="Arial" w:eastAsia="Arial" w:hAnsi="Arial"/>
                <w:sz w:val="18"/>
                <w:szCs w:val="18"/>
                <w:color w:val="auto"/>
              </w:rPr>
              <w:t>BQ3</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w w:val="92"/>
              </w:rPr>
              <w:t>$1,700,000,000</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2"/>
              </w:rPr>
              <w:t>2.375% UST</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2051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4.950% Notes due 2058*</w:t>
            </w:r>
          </w:p>
        </w:tc>
        <w:tc>
          <w:tcPr>
            <w:tcW w:w="2100" w:type="dxa"/>
            <w:vAlign w:val="bottom"/>
          </w:tcPr>
          <w:p>
            <w:pPr>
              <w:ind w:left="320"/>
              <w:spacing w:after="0"/>
              <w:rPr>
                <w:sz w:val="20"/>
                <w:szCs w:val="20"/>
                <w:color w:val="auto"/>
              </w:rPr>
            </w:pPr>
            <w:r>
              <w:rPr>
                <w:rFonts w:ascii="Arial" w:cs="Arial" w:eastAsia="Arial" w:hAnsi="Arial"/>
                <w:sz w:val="18"/>
                <w:szCs w:val="18"/>
                <w:color w:val="auto"/>
              </w:rPr>
              <w:t>Comcast Corporation</w:t>
            </w:r>
          </w:p>
        </w:tc>
        <w:tc>
          <w:tcPr>
            <w:tcW w:w="840" w:type="dxa"/>
            <w:vAlign w:val="bottom"/>
          </w:tcPr>
          <w:p>
            <w:pPr>
              <w:ind w:left="240"/>
              <w:spacing w:after="0"/>
              <w:rPr>
                <w:sz w:val="20"/>
                <w:szCs w:val="20"/>
                <w:color w:val="auto"/>
              </w:rPr>
            </w:pPr>
            <w:r>
              <w:rPr>
                <w:rFonts w:ascii="Arial" w:cs="Arial" w:eastAsia="Arial" w:hAnsi="Arial"/>
                <w:sz w:val="18"/>
                <w:szCs w:val="18"/>
                <w:color w:val="auto"/>
                <w:w w:val="91"/>
              </w:rPr>
              <w:t>20030N</w:t>
            </w:r>
          </w:p>
        </w:tc>
        <w:tc>
          <w:tcPr>
            <w:tcW w:w="580" w:type="dxa"/>
            <w:vAlign w:val="bottom"/>
          </w:tcPr>
          <w:p>
            <w:pPr>
              <w:ind w:left="20"/>
              <w:spacing w:after="0"/>
              <w:rPr>
                <w:sz w:val="20"/>
                <w:szCs w:val="20"/>
                <w:color w:val="auto"/>
              </w:rPr>
            </w:pPr>
            <w:r>
              <w:rPr>
                <w:rFonts w:ascii="Arial" w:cs="Arial" w:eastAsia="Arial" w:hAnsi="Arial"/>
                <w:sz w:val="18"/>
                <w:szCs w:val="18"/>
                <w:color w:val="auto"/>
              </w:rPr>
              <w:t>CN9</w:t>
            </w:r>
          </w:p>
        </w:tc>
        <w:tc>
          <w:tcPr>
            <w:tcW w:w="1240" w:type="dxa"/>
            <w:vAlign w:val="bottom"/>
          </w:tcPr>
          <w:p>
            <w:pPr>
              <w:jc w:val="right"/>
              <w:spacing w:after="0"/>
              <w:rPr>
                <w:sz w:val="20"/>
                <w:szCs w:val="20"/>
                <w:color w:val="auto"/>
              </w:rPr>
            </w:pPr>
            <w:r>
              <w:rPr>
                <w:rFonts w:ascii="Arial" w:cs="Arial" w:eastAsia="Arial" w:hAnsi="Arial"/>
                <w:sz w:val="18"/>
                <w:szCs w:val="18"/>
                <w:color w:val="auto"/>
                <w:w w:val="92"/>
              </w:rPr>
              <w:t>$2,500,000,000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2.375% UST</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2051</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8"/>
                <w:szCs w:val="18"/>
                <w:color w:val="auto"/>
              </w:rPr>
              <w:t>4.049% Notes due 2052*</w:t>
            </w:r>
          </w:p>
        </w:tc>
        <w:tc>
          <w:tcPr>
            <w:tcW w:w="2100" w:type="dxa"/>
            <w:vAlign w:val="bottom"/>
          </w:tcPr>
          <w:p>
            <w:pPr>
              <w:ind w:left="320"/>
              <w:spacing w:after="0"/>
              <w:rPr>
                <w:sz w:val="20"/>
                <w:szCs w:val="20"/>
                <w:color w:val="auto"/>
              </w:rPr>
            </w:pPr>
            <w:r>
              <w:rPr>
                <w:rFonts w:ascii="Arial" w:cs="Arial" w:eastAsia="Arial" w:hAnsi="Arial"/>
                <w:sz w:val="18"/>
                <w:szCs w:val="18"/>
                <w:color w:val="auto"/>
              </w:rPr>
              <w:t>Comcast Corporation</w:t>
            </w:r>
          </w:p>
        </w:tc>
        <w:tc>
          <w:tcPr>
            <w:tcW w:w="840" w:type="dxa"/>
            <w:vAlign w:val="bottom"/>
          </w:tcPr>
          <w:p>
            <w:pPr>
              <w:ind w:left="240"/>
              <w:spacing w:after="0"/>
              <w:rPr>
                <w:sz w:val="20"/>
                <w:szCs w:val="20"/>
                <w:color w:val="auto"/>
              </w:rPr>
            </w:pPr>
            <w:r>
              <w:rPr>
                <w:rFonts w:ascii="Arial" w:cs="Arial" w:eastAsia="Arial" w:hAnsi="Arial"/>
                <w:sz w:val="18"/>
                <w:szCs w:val="18"/>
                <w:color w:val="auto"/>
                <w:w w:val="91"/>
              </w:rPr>
              <w:t>20030N</w:t>
            </w:r>
          </w:p>
        </w:tc>
        <w:tc>
          <w:tcPr>
            <w:tcW w:w="580" w:type="dxa"/>
            <w:vAlign w:val="bottom"/>
          </w:tcPr>
          <w:p>
            <w:pPr>
              <w:ind w:left="20"/>
              <w:spacing w:after="0" w:line="217" w:lineRule="exact"/>
              <w:rPr>
                <w:sz w:val="20"/>
                <w:szCs w:val="20"/>
                <w:color w:val="auto"/>
              </w:rPr>
            </w:pPr>
            <w:r>
              <w:rPr>
                <w:rFonts w:ascii="Arial" w:cs="Arial" w:eastAsia="Arial" w:hAnsi="Arial"/>
                <w:sz w:val="16"/>
                <w:szCs w:val="16"/>
                <w:color w:val="auto"/>
              </w:rPr>
              <w:t>CG4</w:t>
            </w:r>
            <w:r>
              <w:rPr>
                <w:rFonts w:ascii="Arial" w:cs="Arial" w:eastAsia="Arial" w:hAnsi="Arial"/>
                <w:sz w:val="25"/>
                <w:szCs w:val="25"/>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8"/>
                <w:szCs w:val="18"/>
                <w:color w:val="auto"/>
                <w:w w:val="92"/>
              </w:rPr>
              <w:t>$1,499,967,000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2.375% UST</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95</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due May 15,</w:t>
            </w:r>
          </w:p>
        </w:tc>
        <w:tc>
          <w:tcPr>
            <w:tcW w:w="12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2051</w:t>
            </w: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20" w:firstLine="8"/>
        <w:spacing w:after="0" w:line="260" w:lineRule="auto"/>
        <w:tabs>
          <w:tab w:leader="none" w:pos="31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early participation payment for the Pool 3 Offer will be $50 of principal amount of New 2063 Notes per $1,000 principal amount of Pool 3 Notes and is included in the total consideration.</w:t>
      </w:r>
    </w:p>
    <w:p>
      <w:pPr>
        <w:ind w:right="140" w:firstLine="8"/>
        <w:spacing w:after="0" w:line="264" w:lineRule="auto"/>
        <w:tabs>
          <w:tab w:leader="none" w:pos="31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cash payment percent of premium is the percentage of the amount by which the total consideration exceeds $1,000 in principal amount of such Pool 3 Notes to be paid in cash.</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4.049% Notes due 2052 also includes notes with a restrictive legend (144A CUSIP number: 20030N CF6; Regulation S CUSIP: U20030 AH2).</w:t>
      </w:r>
    </w:p>
    <w:p>
      <w:pPr>
        <w:spacing w:after="0" w:line="217" w:lineRule="exact"/>
        <w:rPr>
          <w:sz w:val="20"/>
          <w:szCs w:val="20"/>
          <w:color w:val="auto"/>
        </w:rPr>
      </w:pPr>
    </w:p>
    <w:p>
      <w:pPr>
        <w:ind w:right="920"/>
        <w:spacing w:after="0" w:line="293" w:lineRule="auto"/>
        <w:rPr>
          <w:sz w:val="20"/>
          <w:szCs w:val="20"/>
          <w:color w:val="auto"/>
        </w:rPr>
      </w:pPr>
      <w:r>
        <w:rPr>
          <w:rFonts w:ascii="Arial" w:cs="Arial" w:eastAsia="Arial" w:hAnsi="Arial"/>
          <w:sz w:val="16"/>
          <w:szCs w:val="16"/>
          <w:color w:val="auto"/>
        </w:rPr>
        <w:t>*Denotes a series of Pool 3 Notes for which the total consideration and exchange consideration will be determined taking into account the par call date, instead of the maturity date, in accordance with standard market practice.</w:t>
      </w:r>
    </w:p>
    <w:p>
      <w:pPr>
        <w:spacing w:after="0" w:line="16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holders whose Old Notes are accepted for exchange will receive in cash accrued and unpaid interest from the last applicable interest payment date to, but excluding, the date on which the exchange of such Old Notes is settled, less the amount of any pre-issuance interest on the New Notes exchanged therefor, and amounts due in lieu of fractional amounts of New Notes.</w:t>
      </w:r>
    </w:p>
    <w:p>
      <w:pPr>
        <w:spacing w:after="0" w:line="18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Exchange Offers are being conducted upon the terms and subject to the conditions set forth in an offering memorandum, dated August 2, 2021. Comcast reserves the right, in its sole and absolute discretion, to increase the 2051 Notes Cap, the 2056 Notes Cap and/or the 2063 Notes Cap without extending the Withdrawal Deadline (as defined below) or otherwise reinstating withdrawal rights.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Each Exchange Offer is subject to certain conditions, including, (i) with respect to the Pool 1 Offer, a minimum of $1,000,000,000 aggregate principal amount of New 2051 Notes being issued in the Pool 1 Offer, (ii) with respect to the Pool 2 Offer, a minimum of $1,000,000,000 aggregate principal amount of New 2056 Notes being issued in the Pool 2 Offer, (iii) with respect to the Pool 3 Offer, a minimum of $1,000,000,000 aggregate principal amount of New 2063 Notes being issued in the Pool 3 Offer, (iv) as of 10:00 a.m. New York City time on August 16, 2021, the combination of the yield of the New Notes and the total consideration or exchange consideration as described in the offering memorandum, as applicable, for the applicable series of Old Notes would result in the New Notes and such Old Notes not being treated as “substantially different” under ASC 470-50, (v) with respect to any Old Notes validly tendered pursuant to any Exchange Offer that will be exchanged on the Final Settlement Date (as defined below), we determine that the New Notes to be issued on the Final Settlement Date in such Exchange Offer will be treated as part of the same issue as the New Notes, if any, issued on the Early Settlement Date for U.S. federal income tax purposes pursuant to specified tests and (vi) if at 10:00 a.m. New York City time on August 16, 2021 the bid-side yield on the 2.375% U.S. Treasury Notes due May 15, 2051 (as used to determine the interest rates for the New Notes) is more than 2.250%, we will not be required to accept for exchange, or to issue New Notes of the applicable series in exchange for, the Old Notes of the applicable series and may terminate or amend the Exchange Offer with respect to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ind w:right="120"/>
        <w:spacing w:after="0" w:line="263" w:lineRule="auto"/>
        <w:rPr>
          <w:sz w:val="20"/>
          <w:szCs w:val="20"/>
          <w:color w:val="auto"/>
        </w:rPr>
      </w:pPr>
      <w:r>
        <w:rPr>
          <w:rFonts w:ascii="Arial" w:cs="Arial" w:eastAsia="Arial" w:hAnsi="Arial"/>
          <w:sz w:val="18"/>
          <w:szCs w:val="18"/>
          <w:color w:val="auto"/>
        </w:rPr>
        <w:t>Only Eligible Holders (as defined below) of Old Notes who validly tender their Old Notes at or before 5:00 p.m. New York City time on August 13, 2021, subject to any extension by Comcast (the “Early Participation Date”), who do not validly withdraw their tenders and whose Old Notes are accepted for exchange, will receive an early participation payment.</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Exchange Offers will expire at 11:59 p.m., New York City time, on August 27, 2021, unless extended or earlier terminated by Comcast (the “Expiration Date”). Tenders of Old Notes submitted in the Exchange Offers at or prior to 5:00 p.m. New York City time on August 13, 2021, subject to any extension by Comcast (the “Withdrawal Deadline”), may be validly withdrawn at any time prior to the Withdrawal Deadline, but thereafter will be irrevocable, except in certain limited circumstances where additional withdrawal rights are required by law (as determined by Comcast). Tenders submitted in the Exchange Offers after the Withdrawal Deadline will be irrevocable except in the limited circumstances where additional withdrawal rights are required by law (as determined by Comcast).</w:t>
      </w:r>
    </w:p>
    <w:p>
      <w:pPr>
        <w:spacing w:after="0" w:line="19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Comcast reserves the right, but is under no obligation, at any point following the Early Participation Date and before the Expiration Date, to accept for exchange any Old Notes validly tendered at or prior to the Early Participation Date (the date of such exchange, the “Early Settlement Date”). The Early Settlement Date will be determined at Comcast’s option and is currently expected to occur on August 19, 2021, the fourth business day immediately following the Early Participation Date. If, after the Early Participation Date, Comcast chooses to exercise its option to have an Early Settlement Date and all conditions to the relevant Exchange Offers have been or are concurrently satisfied or waived by Comcast, Comcast will, subject to the terms of the Exchange Offers, accept for exchange all Old Notes validly tendered in the Exchange Offers prior to the Early Participation Date subject to proration, and the exchange for such Old Notes will be made on the Early Settlement Date.</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Final Settlement Date for the Exchange Offers will be promptly after the Expiration Date and is currently expected to occur on August 31, 2021, the second business day immediately following the Expiration Date (the “Final Settlement Date”).</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Exchange Offers are only being made, and the New Notes are only being offered and will only be issued, and copies of the offering documents will only be made available, to holders of Old Notes (1) either (a) in the United States, that are “qualified institutional buyers,” or “QIBs,” as that term is defined in Rule 144A under the Securities Act of 1933, as amended (the “Securities Act”), in a private transaction in reliance upon an exemption from the registration requirements of the Securities Act or (b) outside the United States, that are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and consequently no key information document required by Regulation (EU) No 1286/2014 (as amended, the “PRIIPs Regulation”) for offering or selling the New Notes or otherwise making them available to retail investors in the European Economic Area has been prepared and therefore offering or selling the New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and consequently no key information document required by Regulation (EU) No 1286/2014 as it forms part of domestic law by virtue of the EUWA (the “UK PRIIPs Regulation”) for offering or selling the New Notes or otherwise making them available to retail investors in the United Kingdom has been prepared and therefore offering or selling the New Notes or otherwise making them available to any retail investor in the United Kingdom may be unlawful under the UK PRIIPs Regulation; or (c) if located or resident in a province of Canada and is an “accredited investor” as such term is defined in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and, if resident in Ontario, 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in each case, that is not an individual unless that person is also a “permitted client” as defined in National Instrument 31-103 – </w:t>
      </w:r>
      <w:r>
        <w:rPr>
          <w:rFonts w:ascii="Arial" w:cs="Arial" w:eastAsia="Arial" w:hAnsi="Arial"/>
          <w:sz w:val="16"/>
          <w:szCs w:val="16"/>
          <w:i w:val="1"/>
          <w:iCs w:val="1"/>
          <w:color w:val="auto"/>
        </w:rPr>
        <w:t>Registration Requirements, Exemptions and Ongoing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Registrant Obligations </w:t>
      </w:r>
      <w:r>
        <w:rPr>
          <w:rFonts w:ascii="Arial" w:cs="Arial" w:eastAsia="Arial" w:hAnsi="Arial"/>
          <w:sz w:val="16"/>
          <w:szCs w:val="16"/>
          <w:color w:val="auto"/>
        </w:rPr>
        <w:t>(“Eligible Holders”).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Only Eligible Holders who have completed and returned the eligibility certification are authorized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receive or review the offering memorandum or to participate in the Exchange Offers. For Canadian Eligible Holders tendering Old Notes, such participation is also conditioned upon the receipt of beneficial ownership information, including a completed certification form which is required if tendering Old Notes. There is no separate letter of transmittal in connection with the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right="200"/>
        <w:spacing w:after="0" w:line="263" w:lineRule="auto"/>
        <w:rPr>
          <w:sz w:val="20"/>
          <w:szCs w:val="20"/>
          <w:color w:val="auto"/>
        </w:rPr>
      </w:pPr>
      <w:r>
        <w:rPr>
          <w:rFonts w:ascii="Arial" w:cs="Arial" w:eastAsia="Arial" w:hAnsi="Arial"/>
          <w:sz w:val="18"/>
          <w:szCs w:val="18"/>
          <w:color w:val="auto"/>
        </w:rPr>
        <w:t>The New Notes have not been registered under the Securities Act or any state securities laws. Therefore, the New Notes may not be offered or sold in the United States absent registration or an applicable exemption from the registration requirements of the Securities Act and any applicable state securities laws.</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Holders are advised to check with any bank, securities broker or other intermediary through which they hold Old Notes as to when such intermediary needs to receive instructions from a holder in order for that holder to be able to participate in, or (in the circumstances in which revocation is permitted) revoke their instruction to participate in the Exchange Offers before the deadlines specified herein and in the offering memorandum, eligibility certification and Canadian beneficial holder form. The deadlines set by each clearing system for the submission and withdrawal of exchange instructions will also be earlier than the relevant deadlines specified herein and in the offering memorandum, eligibility certification and Canadian beneficial holder form.</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of the securities described herein. The Exchange Offers are being made solely by the offering memorandum, eligibility certification and Canadian beneficial holder form and only to such persons and in such jurisdictions as is permitted under applicable law.</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D.F. King &amp; Co., Inc. will act as the exchange agent and information agent for the Exchange Offers. Documents relating to the Exchange Offers will only be distributed to holders of Old Notes who certify that they are Eligible Holders. Questions or requests for assistance related to the Exchange Offers or for additional copies of the offering memorandum, eligibility certification or Canadian beneficial holder form may be directed to D.F. King &amp; Co., Inc. at (800) 848-3410 (toll-free) or (212) 269-5550 (banks and brokers) or by email at comcast@dfking.com. You may also contact your broker, dealer, commercial bank, trust company or other nominee for assistance concerning the Exchange Offers. The offering memorandum, eligibility certification and Canadian beneficial holder form can be accessed at the following link: www.dfking.com/comcast.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LANGUAGE CONCERNING FORWARD-LOOKING STATEMENTS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9540" w:type="dxa"/>
            <w:vAlign w:val="bottom"/>
          </w:tcPr>
          <w:p>
            <w:pPr>
              <w:spacing w:after="0"/>
              <w:rPr>
                <w:sz w:val="19"/>
                <w:szCs w:val="19"/>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Marci Ryvicker</w:t>
            </w:r>
          </w:p>
        </w:tc>
        <w:tc>
          <w:tcPr>
            <w:tcW w:w="9540" w:type="dxa"/>
            <w:vAlign w:val="bottom"/>
          </w:tcPr>
          <w:p>
            <w:pPr>
              <w:jc w:val="right"/>
              <w:ind w:right="8070"/>
              <w:spacing w:after="0"/>
              <w:rPr>
                <w:sz w:val="20"/>
                <w:szCs w:val="20"/>
                <w:color w:val="auto"/>
              </w:rPr>
            </w:pPr>
            <w:r>
              <w:rPr>
                <w:rFonts w:ascii="Arial" w:cs="Arial" w:eastAsia="Arial" w:hAnsi="Arial"/>
                <w:sz w:val="18"/>
                <w:szCs w:val="18"/>
                <w:color w:val="auto"/>
              </w:rPr>
              <w:t>(215) 286-4781</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Jane Kearns</w:t>
            </w:r>
          </w:p>
        </w:tc>
        <w:tc>
          <w:tcPr>
            <w:tcW w:w="9540" w:type="dxa"/>
            <w:vAlign w:val="bottom"/>
          </w:tcPr>
          <w:p>
            <w:pPr>
              <w:jc w:val="right"/>
              <w:ind w:right="8070"/>
              <w:spacing w:after="0"/>
              <w:rPr>
                <w:sz w:val="20"/>
                <w:szCs w:val="20"/>
                <w:color w:val="auto"/>
              </w:rPr>
            </w:pPr>
            <w:r>
              <w:rPr>
                <w:rFonts w:ascii="Arial" w:cs="Arial" w:eastAsia="Arial" w:hAnsi="Arial"/>
                <w:sz w:val="18"/>
                <w:szCs w:val="18"/>
                <w:color w:val="auto"/>
              </w:rPr>
              <w:t>(215) 286-4794</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Marc Kaplan</w:t>
            </w:r>
          </w:p>
        </w:tc>
        <w:tc>
          <w:tcPr>
            <w:tcW w:w="9540" w:type="dxa"/>
            <w:vAlign w:val="bottom"/>
          </w:tcPr>
          <w:p>
            <w:pPr>
              <w:jc w:val="right"/>
              <w:ind w:right="8070"/>
              <w:spacing w:after="0"/>
              <w:rPr>
                <w:sz w:val="20"/>
                <w:szCs w:val="20"/>
                <w:color w:val="auto"/>
              </w:rPr>
            </w:pPr>
            <w:r>
              <w:rPr>
                <w:rFonts w:ascii="Arial" w:cs="Arial" w:eastAsia="Arial" w:hAnsi="Arial"/>
                <w:sz w:val="18"/>
                <w:szCs w:val="18"/>
                <w:color w:val="auto"/>
              </w:rPr>
              <w:t>(215) 286-6527</w:t>
            </w:r>
          </w:p>
        </w:tc>
      </w:tr>
      <w:tr>
        <w:trPr>
          <w:trHeight w:val="634"/>
        </w:trPr>
        <w:tc>
          <w:tcPr>
            <w:tcW w:w="1700" w:type="dxa"/>
            <w:vAlign w:val="bottom"/>
          </w:tcPr>
          <w:p>
            <w:pPr>
              <w:spacing w:after="0"/>
              <w:rPr>
                <w:sz w:val="20"/>
                <w:szCs w:val="20"/>
                <w:color w:val="auto"/>
              </w:rPr>
            </w:pPr>
            <w:r>
              <w:rPr>
                <w:rFonts w:ascii="Arial" w:cs="Arial" w:eastAsia="Arial" w:hAnsi="Arial"/>
                <w:sz w:val="18"/>
                <w:szCs w:val="18"/>
                <w:b w:val="1"/>
                <w:bCs w:val="1"/>
                <w:color w:val="auto"/>
              </w:rPr>
              <w:t>Press Contacts:</w:t>
            </w:r>
          </w:p>
        </w:tc>
        <w:tc>
          <w:tcPr>
            <w:tcW w:w="9540" w:type="dxa"/>
            <w:vAlign w:val="bottom"/>
          </w:tcPr>
          <w:p>
            <w:pPr>
              <w:spacing w:after="0"/>
              <w:rPr>
                <w:sz w:val="24"/>
                <w:szCs w:val="24"/>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Jennifer Khoury</w:t>
            </w:r>
          </w:p>
        </w:tc>
        <w:tc>
          <w:tcPr>
            <w:tcW w:w="9540" w:type="dxa"/>
            <w:vAlign w:val="bottom"/>
          </w:tcPr>
          <w:p>
            <w:pPr>
              <w:jc w:val="right"/>
              <w:ind w:right="8070"/>
              <w:spacing w:after="0"/>
              <w:rPr>
                <w:sz w:val="20"/>
                <w:szCs w:val="20"/>
                <w:color w:val="auto"/>
              </w:rPr>
            </w:pPr>
            <w:r>
              <w:rPr>
                <w:rFonts w:ascii="Arial" w:cs="Arial" w:eastAsia="Arial" w:hAnsi="Arial"/>
                <w:sz w:val="18"/>
                <w:szCs w:val="18"/>
                <w:color w:val="auto"/>
              </w:rPr>
              <w:t>(215) 286-7408</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John Demming</w:t>
            </w:r>
          </w:p>
        </w:tc>
        <w:tc>
          <w:tcPr>
            <w:tcW w:w="9540" w:type="dxa"/>
            <w:vAlign w:val="bottom"/>
          </w:tcPr>
          <w:p>
            <w:pPr>
              <w:jc w:val="right"/>
              <w:ind w:right="8070"/>
              <w:spacing w:after="0"/>
              <w:rPr>
                <w:sz w:val="20"/>
                <w:szCs w:val="20"/>
                <w:color w:val="auto"/>
              </w:rPr>
            </w:pPr>
            <w:r>
              <w:rPr>
                <w:rFonts w:ascii="Arial" w:cs="Arial" w:eastAsia="Arial" w:hAnsi="Arial"/>
                <w:sz w:val="18"/>
                <w:szCs w:val="18"/>
                <w:color w:val="auto"/>
              </w:rPr>
              <w:t>(215) 286-8011</w:t>
            </w:r>
          </w:p>
        </w:tc>
      </w:tr>
      <w:tr>
        <w:trPr>
          <w:trHeight w:val="594"/>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2021-08-02T15:39:40Z</dcterms:created>
  <dcterms:modified xsi:type="dcterms:W3CDTF">2021-08-02T15:39:40Z</dcterms:modified>
</cp:coreProperties>
</file>