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174625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206"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report (Date of earliest event reported): December 21, 2018</w:t>
      </w:r>
    </w:p>
    <w:p>
      <w:pPr>
        <w:spacing w:after="0" w:line="217" w:lineRule="exact"/>
        <w:rPr>
          <w:sz w:val="24"/>
          <w:szCs w:val="24"/>
          <w:color w:val="auto"/>
        </w:rPr>
      </w:pPr>
    </w:p>
    <w:tbl>
      <w:tblPr>
        <w:tblLayout w:type="fixed"/>
        <w:tblInd w:w="820" w:type="dxa"/>
        <w:tblCellMar>
          <w:top w:w="0" w:type="dxa"/>
          <w:left w:w="0" w:type="dxa"/>
          <w:bottom w:w="0" w:type="dxa"/>
          <w:right w:w="0" w:type="dxa"/>
        </w:tblCellMar>
      </w:tblPr>
      <w:tr>
        <w:trPr>
          <w:trHeight w:val="306"/>
        </w:trPr>
        <w:tc>
          <w:tcPr>
            <w:tcW w:w="3100" w:type="dxa"/>
            <w:vAlign w:val="bottom"/>
          </w:tcPr>
          <w:p>
            <w:pPr>
              <w:spacing w:after="0"/>
              <w:rPr>
                <w:sz w:val="24"/>
                <w:szCs w:val="24"/>
                <w:color w:val="auto"/>
              </w:rPr>
            </w:pPr>
          </w:p>
        </w:tc>
        <w:tc>
          <w:tcPr>
            <w:tcW w:w="6460" w:type="dxa"/>
            <w:vAlign w:val="bottom"/>
          </w:tcPr>
          <w:p>
            <w:pPr>
              <w:jc w:val="center"/>
              <w:ind w:right="2786"/>
              <w:spacing w:after="0"/>
              <w:rPr>
                <w:sz w:val="20"/>
                <w:szCs w:val="20"/>
                <w:color w:val="auto"/>
              </w:rPr>
            </w:pPr>
            <w:r>
              <w:rPr>
                <w:rFonts w:ascii="Arial" w:cs="Arial" w:eastAsia="Arial" w:hAnsi="Arial"/>
                <w:sz w:val="25"/>
                <w:szCs w:val="25"/>
                <w:b w:val="1"/>
                <w:bCs w:val="1"/>
                <w:color w:val="auto"/>
                <w:w w:val="91"/>
              </w:rPr>
              <w:t>Comcast Corporation</w:t>
            </w:r>
          </w:p>
        </w:tc>
      </w:tr>
      <w:tr>
        <w:trPr>
          <w:trHeight w:val="216"/>
        </w:trPr>
        <w:tc>
          <w:tcPr>
            <w:tcW w:w="3100" w:type="dxa"/>
            <w:vAlign w:val="bottom"/>
          </w:tcPr>
          <w:p>
            <w:pPr>
              <w:spacing w:after="0"/>
              <w:rPr>
                <w:sz w:val="18"/>
                <w:szCs w:val="18"/>
                <w:color w:val="auto"/>
              </w:rPr>
            </w:pPr>
          </w:p>
        </w:tc>
        <w:tc>
          <w:tcPr>
            <w:tcW w:w="6460" w:type="dxa"/>
            <w:vAlign w:val="bottom"/>
          </w:tcPr>
          <w:p>
            <w:pPr>
              <w:jc w:val="center"/>
              <w:ind w:right="2766"/>
              <w:spacing w:after="0"/>
              <w:rPr>
                <w:sz w:val="20"/>
                <w:szCs w:val="20"/>
                <w:color w:val="auto"/>
              </w:rPr>
            </w:pPr>
            <w:r>
              <w:rPr>
                <w:rFonts w:ascii="Arial" w:cs="Arial" w:eastAsia="Arial" w:hAnsi="Arial"/>
                <w:sz w:val="18"/>
                <w:szCs w:val="18"/>
                <w:color w:val="auto"/>
                <w:w w:val="90"/>
              </w:rPr>
              <w:t>(Exact Name of Registrant</w:t>
            </w:r>
          </w:p>
        </w:tc>
      </w:tr>
      <w:tr>
        <w:trPr>
          <w:trHeight w:val="230"/>
        </w:trPr>
        <w:tc>
          <w:tcPr>
            <w:tcW w:w="3100" w:type="dxa"/>
            <w:vAlign w:val="bottom"/>
          </w:tcPr>
          <w:p>
            <w:pPr>
              <w:spacing w:after="0"/>
              <w:rPr>
                <w:sz w:val="20"/>
                <w:szCs w:val="20"/>
                <w:color w:val="auto"/>
              </w:rPr>
            </w:pPr>
          </w:p>
        </w:tc>
        <w:tc>
          <w:tcPr>
            <w:tcW w:w="6460" w:type="dxa"/>
            <w:vAlign w:val="bottom"/>
          </w:tcPr>
          <w:p>
            <w:pPr>
              <w:jc w:val="center"/>
              <w:ind w:right="2766"/>
              <w:spacing w:after="0"/>
              <w:rPr>
                <w:sz w:val="20"/>
                <w:szCs w:val="20"/>
                <w:color w:val="auto"/>
              </w:rPr>
            </w:pPr>
            <w:r>
              <w:rPr>
                <w:rFonts w:ascii="Arial" w:cs="Arial" w:eastAsia="Arial" w:hAnsi="Arial"/>
                <w:sz w:val="18"/>
                <w:szCs w:val="18"/>
                <w:color w:val="auto"/>
                <w:w w:val="90"/>
              </w:rPr>
              <w:t>as Specified in its Charter)</w:t>
            </w:r>
          </w:p>
        </w:tc>
      </w:tr>
      <w:tr>
        <w:trPr>
          <w:trHeight w:val="418"/>
        </w:trPr>
        <w:tc>
          <w:tcPr>
            <w:tcW w:w="3100" w:type="dxa"/>
            <w:vAlign w:val="bottom"/>
          </w:tcPr>
          <w:p>
            <w:pPr>
              <w:spacing w:after="0"/>
              <w:rPr>
                <w:sz w:val="24"/>
                <w:szCs w:val="24"/>
                <w:color w:val="auto"/>
              </w:rPr>
            </w:pPr>
          </w:p>
        </w:tc>
        <w:tc>
          <w:tcPr>
            <w:tcW w:w="6460" w:type="dxa"/>
            <w:vAlign w:val="bottom"/>
          </w:tcPr>
          <w:p>
            <w:pPr>
              <w:jc w:val="center"/>
              <w:ind w:right="2786"/>
              <w:spacing w:after="0"/>
              <w:rPr>
                <w:sz w:val="20"/>
                <w:szCs w:val="20"/>
                <w:color w:val="auto"/>
              </w:rPr>
            </w:pPr>
            <w:r>
              <w:rPr>
                <w:rFonts w:ascii="Arial" w:cs="Arial" w:eastAsia="Arial" w:hAnsi="Arial"/>
                <w:sz w:val="18"/>
                <w:szCs w:val="18"/>
                <w:b w:val="1"/>
                <w:bCs w:val="1"/>
                <w:color w:val="auto"/>
                <w:w w:val="88"/>
              </w:rPr>
              <w:t>Pennsylvania</w:t>
            </w:r>
          </w:p>
        </w:tc>
      </w:tr>
      <w:tr>
        <w:trPr>
          <w:trHeight w:val="230"/>
        </w:trPr>
        <w:tc>
          <w:tcPr>
            <w:tcW w:w="3100" w:type="dxa"/>
            <w:vAlign w:val="bottom"/>
          </w:tcPr>
          <w:p>
            <w:pPr>
              <w:spacing w:after="0"/>
              <w:rPr>
                <w:sz w:val="20"/>
                <w:szCs w:val="20"/>
                <w:color w:val="auto"/>
              </w:rPr>
            </w:pPr>
          </w:p>
        </w:tc>
        <w:tc>
          <w:tcPr>
            <w:tcW w:w="6460" w:type="dxa"/>
            <w:vAlign w:val="bottom"/>
          </w:tcPr>
          <w:p>
            <w:pPr>
              <w:jc w:val="center"/>
              <w:ind w:right="2766"/>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18"/>
        </w:trPr>
        <w:tc>
          <w:tcPr>
            <w:tcW w:w="3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001-32871</w:t>
            </w:r>
          </w:p>
        </w:tc>
        <w:tc>
          <w:tcPr>
            <w:tcW w:w="6460" w:type="dxa"/>
            <w:vAlign w:val="bottom"/>
          </w:tcPr>
          <w:p>
            <w:pPr>
              <w:jc w:val="center"/>
              <w:ind w:left="3886"/>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3100" w:type="dxa"/>
            <w:vAlign w:val="bottom"/>
          </w:tcPr>
          <w:p>
            <w:pPr>
              <w:jc w:val="center"/>
              <w:ind w:right="70"/>
              <w:spacing w:after="0"/>
              <w:rPr>
                <w:sz w:val="20"/>
                <w:szCs w:val="20"/>
                <w:color w:val="auto"/>
              </w:rPr>
            </w:pPr>
            <w:r>
              <w:rPr>
                <w:rFonts w:ascii="Arial" w:cs="Arial" w:eastAsia="Arial" w:hAnsi="Arial"/>
                <w:sz w:val="18"/>
                <w:szCs w:val="18"/>
                <w:color w:val="auto"/>
                <w:w w:val="92"/>
              </w:rPr>
              <w:t>(Commission File Number)</w:t>
            </w:r>
          </w:p>
        </w:tc>
        <w:tc>
          <w:tcPr>
            <w:tcW w:w="6460" w:type="dxa"/>
            <w:vAlign w:val="bottom"/>
          </w:tcPr>
          <w:p>
            <w:pPr>
              <w:jc w:val="center"/>
              <w:ind w:left="3886"/>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One Comcast Center</w:t>
            </w:r>
          </w:p>
        </w:tc>
        <w:tc>
          <w:tcPr>
            <w:tcW w:w="6460" w:type="dxa"/>
            <w:vAlign w:val="bottom"/>
          </w:tcPr>
          <w:p>
            <w:pPr>
              <w:spacing w:after="0"/>
              <w:rPr>
                <w:sz w:val="24"/>
                <w:szCs w:val="24"/>
                <w:color w:val="auto"/>
              </w:rPr>
            </w:pPr>
          </w:p>
        </w:tc>
      </w:tr>
      <w:tr>
        <w:trPr>
          <w:trHeight w:val="220"/>
        </w:trPr>
        <w:tc>
          <w:tcPr>
            <w:tcW w:w="31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Philadelphia, PA</w:t>
            </w:r>
          </w:p>
        </w:tc>
        <w:tc>
          <w:tcPr>
            <w:tcW w:w="6460" w:type="dxa"/>
            <w:vAlign w:val="bottom"/>
          </w:tcPr>
          <w:p>
            <w:pPr>
              <w:jc w:val="center"/>
              <w:ind w:left="3886"/>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310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6460" w:type="dxa"/>
            <w:vAlign w:val="bottom"/>
          </w:tcPr>
          <w:p>
            <w:pPr>
              <w:jc w:val="center"/>
              <w:ind w:left="3886"/>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819" w:right="779" w:bottom="1440" w:gutter="0" w:footer="0" w:header="0"/>
        </w:sectPr>
      </w:pPr>
    </w:p>
    <w:bookmarkStart w:id="1" w:name="page2"/>
    <w:bookmarkEnd w:id="1"/>
    <w:p>
      <w:pPr>
        <w:ind w:right="1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December 21, 2018, Michael J. Cavanagh, Comcast’s Senior Executive Vice President and Chief Financial Officer, entered into a new employment agreement. The employment agreement secures Mr. Cavanagh’s employment through December 31, 2023 and increases his salary to $2,300,000 effective January 1, 2019, with his annual cash bonus opportunity remaining at 300% of base salary (based on the achievement of specific performance goals). The employment agreement continues the structure under Mr. Cavanagh’s prior employment agreement of crediting contributions to his deferred compensation plan account, with $2,100,000 being credited in 2019 and with annual contributions increasing by 5% each year thereafter through 2023.</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above summary is qualified by its entirety by the terms and conditions set forth in the employment agreement, a copy of which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spacing w:after="0"/>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Employment Agreement with Michael J. Cavanagh entered into on December 21,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54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7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  December 21, 2018</w:t>
            </w:r>
          </w:p>
        </w:tc>
        <w:tc>
          <w:tcPr>
            <w:tcW w:w="7660" w:type="dxa"/>
            <w:vAlign w:val="bottom"/>
            <w:gridSpan w:val="2"/>
          </w:tcPr>
          <w:p>
            <w:pPr>
              <w:ind w:left="1740"/>
              <w:spacing w:after="0"/>
              <w:rPr>
                <w:sz w:val="20"/>
                <w:szCs w:val="20"/>
                <w:color w:val="auto"/>
              </w:rPr>
            </w:pPr>
            <w:r>
              <w:rPr>
                <w:rFonts w:ascii="Arial" w:cs="Arial" w:eastAsia="Arial" w:hAnsi="Arial"/>
                <w:sz w:val="18"/>
                <w:szCs w:val="18"/>
                <w:color w:val="auto"/>
              </w:rPr>
              <w:t>By:  /s/ Arthur R. Block</w:t>
            </w:r>
          </w:p>
        </w:tc>
      </w:tr>
      <w:tr>
        <w:trPr>
          <w:trHeight w:val="195"/>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311"/>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jc w:val="both"/>
        <w:ind w:right="1160" w:firstLine="648"/>
        <w:spacing w:after="0" w:line="342" w:lineRule="auto"/>
        <w:rPr>
          <w:sz w:val="20"/>
          <w:szCs w:val="20"/>
          <w:color w:val="auto"/>
        </w:rPr>
      </w:pPr>
      <w:r>
        <w:rPr>
          <w:rFonts w:ascii="Arial" w:cs="Arial" w:eastAsia="Arial" w:hAnsi="Arial"/>
          <w:sz w:val="16"/>
          <w:szCs w:val="16"/>
          <w:color w:val="auto"/>
        </w:rPr>
        <w:t>This EMPLOYMENT AGREEMENT (the “Agreement”) is entered into as of the 21st day of December, 2018, between COMCAST CORPORATION, a Pennsylvania corporation (together with its subsidiaries, the “Company”), and MICHAEL J. CAVANAGH (“Employee”).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25" w:lineRule="exact"/>
        <w:rPr>
          <w:sz w:val="20"/>
          <w:szCs w:val="20"/>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80"/>
        <w:spacing w:after="0" w:line="308" w:lineRule="auto"/>
        <w:tabs>
          <w:tab w:leader="none" w:pos="1262" w:val="left"/>
        </w:tabs>
        <w:numPr>
          <w:ilvl w:val="1"/>
          <w:numId w:val="2"/>
        </w:numPr>
        <w:rPr>
          <w:rFonts w:ascii="Arial" w:cs="Arial" w:eastAsia="Arial" w:hAnsi="Arial"/>
          <w:sz w:val="17"/>
          <w:szCs w:val="17"/>
          <w:color w:val="auto"/>
        </w:rPr>
      </w:pPr>
      <w:r>
        <w:rPr>
          <w:rFonts w:ascii="Arial" w:cs="Arial" w:eastAsia="Arial" w:hAnsi="Arial"/>
          <w:sz w:val="17"/>
          <w:szCs w:val="17"/>
          <w:color w:val="auto"/>
        </w:rPr>
        <w:t>Employee shall serve and the Company shall employ Employee in the position set forth on Schedule 1, provided that the position and duties of Employee from time to time hereunder assigned by the Company will be commensurate with Employee’s education, skills and experience.</w:t>
      </w:r>
    </w:p>
    <w:p>
      <w:pPr>
        <w:spacing w:after="0" w:line="146" w:lineRule="exact"/>
        <w:rPr>
          <w:rFonts w:ascii="Arial" w:cs="Arial" w:eastAsia="Arial" w:hAnsi="Arial"/>
          <w:sz w:val="17"/>
          <w:szCs w:val="17"/>
          <w:color w:val="auto"/>
        </w:rPr>
      </w:pPr>
    </w:p>
    <w:p>
      <w:pPr>
        <w:ind w:right="40" w:firstLine="980"/>
        <w:spacing w:after="0" w:line="302" w:lineRule="auto"/>
        <w:tabs>
          <w:tab w:leader="none" w:pos="1272" w:val="left"/>
        </w:tabs>
        <w:numPr>
          <w:ilvl w:val="1"/>
          <w:numId w:val="2"/>
        </w:numPr>
        <w:rPr>
          <w:rFonts w:ascii="Arial" w:cs="Arial" w:eastAsia="Arial" w:hAnsi="Arial"/>
          <w:sz w:val="16"/>
          <w:szCs w:val="16"/>
          <w:color w:val="auto"/>
        </w:rPr>
      </w:pPr>
      <w:r>
        <w:rPr>
          <w:rFonts w:ascii="Arial" w:cs="Arial" w:eastAsia="Arial" w:hAnsi="Arial"/>
          <w:sz w:val="16"/>
          <w:szCs w:val="16"/>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154" w:lineRule="exact"/>
        <w:rPr>
          <w:rFonts w:ascii="Arial" w:cs="Arial" w:eastAsia="Arial" w:hAnsi="Arial"/>
          <w:sz w:val="16"/>
          <w:szCs w:val="16"/>
          <w:color w:val="auto"/>
        </w:rPr>
      </w:pPr>
    </w:p>
    <w:p>
      <w:pPr>
        <w:ind w:left="1320" w:hanging="340"/>
        <w:spacing w:after="0"/>
        <w:tabs>
          <w:tab w:leader="none" w:pos="132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parties shall comply with all policies of the Company applicable to them, including those contained in the Employee Handbook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 of Conduct.</w:t>
      </w:r>
    </w:p>
    <w:p>
      <w:pPr>
        <w:spacing w:after="0" w:line="210" w:lineRule="exact"/>
        <w:rPr>
          <w:rFonts w:ascii="Arial" w:cs="Arial" w:eastAsia="Arial" w:hAnsi="Arial"/>
          <w:sz w:val="16"/>
          <w:szCs w:val="16"/>
          <w:color w:val="auto"/>
        </w:rPr>
      </w:pPr>
    </w:p>
    <w:p>
      <w:pPr>
        <w:ind w:left="880" w:hanging="224"/>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the date first-above written (the “Commencement Date”) through the first to occur</w:t>
      </w:r>
    </w:p>
    <w:p>
      <w:pPr>
        <w:spacing w:after="0" w:line="46" w:lineRule="exact"/>
        <w:rPr>
          <w:rFonts w:ascii="Arial" w:cs="Arial" w:eastAsia="Arial" w:hAnsi="Arial"/>
          <w:sz w:val="16"/>
          <w:szCs w:val="16"/>
          <w:color w:val="auto"/>
        </w:rPr>
      </w:pPr>
    </w:p>
    <w:p>
      <w:pPr>
        <w:ind w:right="180"/>
        <w:spacing w:after="0" w:line="302" w:lineRule="auto"/>
        <w:rPr>
          <w:rFonts w:ascii="Arial" w:cs="Arial" w:eastAsia="Arial" w:hAnsi="Arial"/>
          <w:sz w:val="16"/>
          <w:szCs w:val="16"/>
          <w:color w:val="auto"/>
        </w:rPr>
      </w:pPr>
      <w:r>
        <w:rPr>
          <w:rFonts w:ascii="Arial" w:cs="Arial" w:eastAsia="Arial" w:hAnsi="Arial"/>
          <w:sz w:val="16"/>
          <w:szCs w:val="16"/>
          <w:color w:val="auto"/>
        </w:rPr>
        <w:t>of: (a) the date Employee’s employment is terminated in accordance with Paragraph 6; or (b) December 31, 2023 (the date specified in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80"/>
        <w:spacing w:after="0" w:line="273" w:lineRule="auto"/>
        <w:tabs>
          <w:tab w:leader="none" w:pos="1262"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Employee’s base salary (“Base Salary”) from the Commencement Date through December 31, 2018 shall be at Employee’s current annual rate, and from January 1, 2019 through February 28, 2020,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178" w:lineRule="exact"/>
        <w:rPr>
          <w:rFonts w:ascii="Arial" w:cs="Arial" w:eastAsia="Arial" w:hAnsi="Arial"/>
          <w:sz w:val="17"/>
          <w:szCs w:val="17"/>
          <w:color w:val="auto"/>
        </w:rPr>
      </w:pPr>
    </w:p>
    <w:p>
      <w:pPr>
        <w:ind w:right="300" w:firstLine="980"/>
        <w:spacing w:after="0" w:line="259" w:lineRule="auto"/>
        <w:tabs>
          <w:tab w:leader="none" w:pos="1272"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Restricted Stock and Stock Option Grants</w:t>
      </w:r>
      <w:r>
        <w:rPr>
          <w:rFonts w:ascii="Arial" w:cs="Arial" w:eastAsia="Arial" w:hAnsi="Arial"/>
          <w:sz w:val="18"/>
          <w:szCs w:val="18"/>
          <w:color w:val="auto"/>
        </w:rPr>
        <w:t>. Continuing in 2019 and with respect to each subsequent calendar year in the Term, Employee shall be entitled to participate in any annual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186" w:lineRule="exact"/>
        <w:rPr>
          <w:rFonts w:ascii="Arial" w:cs="Arial" w:eastAsia="Arial" w:hAnsi="Arial"/>
          <w:sz w:val="18"/>
          <w:szCs w:val="18"/>
          <w:color w:val="auto"/>
        </w:rPr>
      </w:pPr>
    </w:p>
    <w:p>
      <w:pPr>
        <w:ind w:left="1280" w:hanging="30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00" w:firstLine="1305"/>
        <w:spacing w:after="0" w:line="286" w:lineRule="auto"/>
        <w:tabs>
          <w:tab w:leader="none" w:pos="1556" w:val="left"/>
        </w:tabs>
        <w:numPr>
          <w:ilvl w:val="2"/>
          <w:numId w:val="3"/>
        </w:numPr>
        <w:rPr>
          <w:rFonts w:ascii="Arial" w:cs="Arial" w:eastAsia="Arial" w:hAnsi="Arial"/>
          <w:sz w:val="17"/>
          <w:szCs w:val="17"/>
          <w:color w:val="auto"/>
        </w:rPr>
      </w:pPr>
      <w:r>
        <w:rPr>
          <w:rFonts w:ascii="Arial" w:cs="Arial" w:eastAsia="Arial" w:hAnsi="Arial"/>
          <w:sz w:val="17"/>
          <w:szCs w:val="17"/>
          <w:color w:val="auto"/>
        </w:rPr>
        <w:t>Employee shall be entitled to participate in the Company’s Cash Bonus Plan as set forth on Schedule 1 for 2018 and 2019. Employee’s participation in such Plan will be pursuant to the terms and conditions thereof. The performance goals applicable to such participation will be consistent with those applicable to other employees at Employee’s level, taking into account Employee’s position and duties.</w:t>
      </w:r>
    </w:p>
    <w:p>
      <w:pPr>
        <w:spacing w:after="0" w:line="165" w:lineRule="exact"/>
        <w:rPr>
          <w:rFonts w:ascii="Arial" w:cs="Arial" w:eastAsia="Arial" w:hAnsi="Arial"/>
          <w:sz w:val="17"/>
          <w:szCs w:val="17"/>
          <w:color w:val="auto"/>
        </w:rPr>
      </w:pPr>
    </w:p>
    <w:p>
      <w:pPr>
        <w:ind w:right="60" w:firstLine="1305"/>
        <w:spacing w:after="0" w:line="302" w:lineRule="auto"/>
        <w:tabs>
          <w:tab w:leader="none" w:pos="1603" w:val="left"/>
        </w:tabs>
        <w:numPr>
          <w:ilvl w:val="2"/>
          <w:numId w:val="3"/>
        </w:numPr>
        <w:rPr>
          <w:rFonts w:ascii="Arial" w:cs="Arial" w:eastAsia="Arial" w:hAnsi="Arial"/>
          <w:sz w:val="16"/>
          <w:szCs w:val="16"/>
          <w:color w:val="auto"/>
        </w:rPr>
      </w:pPr>
      <w:r>
        <w:rPr>
          <w:rFonts w:ascii="Arial" w:cs="Arial" w:eastAsia="Arial" w:hAnsi="Arial"/>
          <w:sz w:val="16"/>
          <w:szCs w:val="16"/>
          <w:color w:val="auto"/>
        </w:rPr>
        <w:t>With respect to each subsequent calendar year in the Term, Employee shall be entitled to continue to participate in the Company’s Cash Bonus Plan (or any successor performance-based cash incentive compensation plan) pursuant to the terms and conditions thereof and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154" w:lineRule="exact"/>
        <w:rPr>
          <w:rFonts w:ascii="Arial" w:cs="Arial" w:eastAsia="Arial" w:hAnsi="Arial"/>
          <w:sz w:val="16"/>
          <w:szCs w:val="16"/>
          <w:color w:val="auto"/>
        </w:rPr>
      </w:pPr>
    </w:p>
    <w:p>
      <w:pPr>
        <w:ind w:left="1280" w:hanging="30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77" w:lineRule="auto"/>
        <w:tabs>
          <w:tab w:leader="none" w:pos="1556" w:val="left"/>
        </w:tabs>
        <w:numPr>
          <w:ilvl w:val="2"/>
          <w:numId w:val="3"/>
        </w:numPr>
        <w:rPr>
          <w:rFonts w:ascii="Arial" w:cs="Arial" w:eastAsia="Arial" w:hAnsi="Arial"/>
          <w:sz w:val="18"/>
          <w:szCs w:val="18"/>
          <w:color w:val="auto"/>
        </w:rPr>
      </w:pPr>
      <w:r>
        <w:rPr>
          <w:rFonts w:ascii="Arial" w:cs="Arial" w:eastAsia="Arial" w:hAnsi="Arial"/>
          <w:sz w:val="18"/>
          <w:szCs w:val="18"/>
          <w:color w:val="auto"/>
        </w:rPr>
        <w:t>Employee shall continue to be entitled to participate in the Company’s deferred compensation plans and programs on the same terms as the Company’s other senior executive officers.</w:t>
      </w:r>
    </w:p>
    <w:p>
      <w:pPr>
        <w:spacing w:after="0" w:line="170" w:lineRule="exact"/>
        <w:rPr>
          <w:rFonts w:ascii="Arial" w:cs="Arial" w:eastAsia="Arial" w:hAnsi="Arial"/>
          <w:sz w:val="18"/>
          <w:szCs w:val="18"/>
          <w:color w:val="auto"/>
        </w:rPr>
      </w:pPr>
    </w:p>
    <w:p>
      <w:pPr>
        <w:ind w:right="1060" w:firstLine="1305"/>
        <w:spacing w:after="0" w:line="308" w:lineRule="auto"/>
        <w:tabs>
          <w:tab w:leader="none" w:pos="1606" w:val="left"/>
        </w:tabs>
        <w:numPr>
          <w:ilvl w:val="2"/>
          <w:numId w:val="3"/>
        </w:numPr>
        <w:rPr>
          <w:rFonts w:ascii="Arial" w:cs="Arial" w:eastAsia="Arial" w:hAnsi="Arial"/>
          <w:sz w:val="17"/>
          <w:szCs w:val="17"/>
          <w:color w:val="auto"/>
        </w:rPr>
      </w:pPr>
      <w:r>
        <w:rPr>
          <w:rFonts w:ascii="Arial" w:cs="Arial" w:eastAsia="Arial" w:hAnsi="Arial"/>
          <w:sz w:val="17"/>
          <w:szCs w:val="17"/>
          <w:color w:val="auto"/>
        </w:rPr>
        <w:t>Further, the Company shall credit to Employee’s account under, and pursuant to the terms and conditions of, the Deferred Compensation Plan (or any successor plan), as of January 1 of each of the following calendar years, the following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Year</w:t>
            </w:r>
          </w:p>
        </w:tc>
        <w:tc>
          <w:tcPr>
            <w:tcW w:w="6700" w:type="dxa"/>
            <w:vAlign w:val="bottom"/>
            <w:gridSpan w:val="3"/>
          </w:tcPr>
          <w:p>
            <w:pPr>
              <w:ind w:left="1040"/>
              <w:spacing w:after="0"/>
              <w:rPr>
                <w:sz w:val="20"/>
                <w:szCs w:val="20"/>
                <w:color w:val="auto"/>
              </w:rPr>
            </w:pPr>
            <w:r>
              <w:rPr>
                <w:rFonts w:ascii="Arial" w:cs="Arial" w:eastAsia="Arial" w:hAnsi="Arial"/>
                <w:sz w:val="18"/>
                <w:szCs w:val="18"/>
                <w:color w:val="auto"/>
              </w:rPr>
              <w:t>Amount</w:t>
            </w:r>
          </w:p>
        </w:tc>
      </w:tr>
      <w:tr>
        <w:trPr>
          <w:trHeight w:val="20"/>
        </w:trPr>
        <w:tc>
          <w:tcPr>
            <w:tcW w:w="3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22"/>
        </w:trPr>
        <w:tc>
          <w:tcPr>
            <w:tcW w:w="4720" w:type="dxa"/>
            <w:vAlign w:val="bottom"/>
            <w:gridSpan w:val="3"/>
          </w:tcPr>
          <w:p>
            <w:pPr>
              <w:ind w:left="3440"/>
              <w:spacing w:after="0"/>
              <w:rPr>
                <w:sz w:val="20"/>
                <w:szCs w:val="20"/>
                <w:color w:val="auto"/>
              </w:rPr>
            </w:pPr>
            <w:r>
              <w:rPr>
                <w:rFonts w:ascii="Arial" w:cs="Arial" w:eastAsia="Arial" w:hAnsi="Arial"/>
                <w:sz w:val="18"/>
                <w:szCs w:val="18"/>
                <w:color w:val="auto"/>
              </w:rPr>
              <w:t>2019</w:t>
            </w:r>
          </w:p>
        </w:tc>
        <w:tc>
          <w:tcPr>
            <w:tcW w:w="6700" w:type="dxa"/>
            <w:vAlign w:val="bottom"/>
            <w:gridSpan w:val="3"/>
          </w:tcPr>
          <w:p>
            <w:pPr>
              <w:ind w:left="1040"/>
              <w:spacing w:after="0"/>
              <w:rPr>
                <w:sz w:val="20"/>
                <w:szCs w:val="20"/>
                <w:color w:val="auto"/>
              </w:rPr>
            </w:pPr>
            <w:r>
              <w:rPr>
                <w:rFonts w:ascii="Arial" w:cs="Arial" w:eastAsia="Arial" w:hAnsi="Arial"/>
                <w:sz w:val="18"/>
                <w:szCs w:val="18"/>
                <w:color w:val="auto"/>
              </w:rPr>
              <w:t>$2,100,000</w:t>
            </w:r>
          </w:p>
        </w:tc>
      </w:tr>
      <w:tr>
        <w:trPr>
          <w:trHeight w:val="230"/>
        </w:trPr>
        <w:tc>
          <w:tcPr>
            <w:tcW w:w="4720" w:type="dxa"/>
            <w:vAlign w:val="bottom"/>
            <w:gridSpan w:val="3"/>
          </w:tcPr>
          <w:p>
            <w:pPr>
              <w:ind w:left="3440"/>
              <w:spacing w:after="0"/>
              <w:rPr>
                <w:sz w:val="20"/>
                <w:szCs w:val="20"/>
                <w:color w:val="auto"/>
              </w:rPr>
            </w:pPr>
            <w:r>
              <w:rPr>
                <w:rFonts w:ascii="Arial" w:cs="Arial" w:eastAsia="Arial" w:hAnsi="Arial"/>
                <w:sz w:val="18"/>
                <w:szCs w:val="18"/>
                <w:color w:val="auto"/>
              </w:rPr>
              <w:t>2020</w:t>
            </w:r>
          </w:p>
        </w:tc>
        <w:tc>
          <w:tcPr>
            <w:tcW w:w="6700" w:type="dxa"/>
            <w:vAlign w:val="bottom"/>
            <w:gridSpan w:val="3"/>
          </w:tcPr>
          <w:p>
            <w:pPr>
              <w:ind w:left="1040"/>
              <w:spacing w:after="0"/>
              <w:rPr>
                <w:sz w:val="20"/>
                <w:szCs w:val="20"/>
                <w:color w:val="auto"/>
              </w:rPr>
            </w:pPr>
            <w:r>
              <w:rPr>
                <w:rFonts w:ascii="Arial" w:cs="Arial" w:eastAsia="Arial" w:hAnsi="Arial"/>
                <w:sz w:val="18"/>
                <w:szCs w:val="18"/>
                <w:color w:val="auto"/>
              </w:rPr>
              <w:t>$2,205,000</w:t>
            </w:r>
          </w:p>
        </w:tc>
      </w:tr>
      <w:tr>
        <w:trPr>
          <w:trHeight w:val="540"/>
        </w:trPr>
        <w:tc>
          <w:tcPr>
            <w:tcW w:w="3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5" w:name="page6"/>
    <w:bookmarkEnd w:id="5"/>
    <w:p>
      <w:pPr>
        <w:spacing w:after="0" w:line="1"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1340" w:type="dxa"/>
            <w:vAlign w:val="bottom"/>
          </w:tcPr>
          <w:p>
            <w:pPr>
              <w:jc w:val="right"/>
              <w:ind w:right="890"/>
              <w:spacing w:after="0"/>
              <w:rPr>
                <w:sz w:val="20"/>
                <w:szCs w:val="20"/>
                <w:color w:val="auto"/>
              </w:rPr>
            </w:pPr>
            <w:r>
              <w:rPr>
                <w:rFonts w:ascii="Arial" w:cs="Arial" w:eastAsia="Arial" w:hAnsi="Arial"/>
                <w:sz w:val="18"/>
                <w:szCs w:val="18"/>
                <w:color w:val="auto"/>
                <w:w w:val="84"/>
              </w:rPr>
              <w:t>2021</w:t>
            </w:r>
          </w:p>
        </w:tc>
        <w:tc>
          <w:tcPr>
            <w:tcW w:w="1800" w:type="dxa"/>
            <w:vAlign w:val="bottom"/>
          </w:tcPr>
          <w:p>
            <w:pPr>
              <w:jc w:val="right"/>
              <w:spacing w:after="0"/>
              <w:rPr>
                <w:sz w:val="20"/>
                <w:szCs w:val="20"/>
                <w:color w:val="auto"/>
              </w:rPr>
            </w:pPr>
            <w:r>
              <w:rPr>
                <w:rFonts w:ascii="Arial" w:cs="Arial" w:eastAsia="Arial" w:hAnsi="Arial"/>
                <w:sz w:val="18"/>
                <w:szCs w:val="18"/>
                <w:color w:val="auto"/>
              </w:rPr>
              <w:t>$2,315,250</w:t>
            </w:r>
          </w:p>
        </w:tc>
      </w:tr>
      <w:tr>
        <w:trPr>
          <w:trHeight w:val="216"/>
        </w:trPr>
        <w:tc>
          <w:tcPr>
            <w:tcW w:w="1340" w:type="dxa"/>
            <w:vAlign w:val="bottom"/>
          </w:tcPr>
          <w:p>
            <w:pPr>
              <w:jc w:val="right"/>
              <w:ind w:right="890"/>
              <w:spacing w:after="0"/>
              <w:rPr>
                <w:sz w:val="20"/>
                <w:szCs w:val="20"/>
                <w:color w:val="auto"/>
              </w:rPr>
            </w:pPr>
            <w:r>
              <w:rPr>
                <w:rFonts w:ascii="Arial" w:cs="Arial" w:eastAsia="Arial" w:hAnsi="Arial"/>
                <w:sz w:val="18"/>
                <w:szCs w:val="18"/>
                <w:color w:val="auto"/>
                <w:w w:val="84"/>
              </w:rPr>
              <w:t>2022</w:t>
            </w:r>
          </w:p>
        </w:tc>
        <w:tc>
          <w:tcPr>
            <w:tcW w:w="1800" w:type="dxa"/>
            <w:vAlign w:val="bottom"/>
          </w:tcPr>
          <w:p>
            <w:pPr>
              <w:jc w:val="right"/>
              <w:spacing w:after="0"/>
              <w:rPr>
                <w:sz w:val="20"/>
                <w:szCs w:val="20"/>
                <w:color w:val="auto"/>
              </w:rPr>
            </w:pPr>
            <w:r>
              <w:rPr>
                <w:rFonts w:ascii="Arial" w:cs="Arial" w:eastAsia="Arial" w:hAnsi="Arial"/>
                <w:sz w:val="18"/>
                <w:szCs w:val="18"/>
                <w:color w:val="auto"/>
              </w:rPr>
              <w:t>$2,431,013</w:t>
            </w:r>
          </w:p>
        </w:tc>
      </w:tr>
      <w:tr>
        <w:trPr>
          <w:trHeight w:val="230"/>
        </w:trPr>
        <w:tc>
          <w:tcPr>
            <w:tcW w:w="1340" w:type="dxa"/>
            <w:vAlign w:val="bottom"/>
          </w:tcPr>
          <w:p>
            <w:pPr>
              <w:jc w:val="right"/>
              <w:ind w:right="890"/>
              <w:spacing w:after="0"/>
              <w:rPr>
                <w:sz w:val="20"/>
                <w:szCs w:val="20"/>
                <w:color w:val="auto"/>
              </w:rPr>
            </w:pPr>
            <w:r>
              <w:rPr>
                <w:rFonts w:ascii="Arial" w:cs="Arial" w:eastAsia="Arial" w:hAnsi="Arial"/>
                <w:sz w:val="18"/>
                <w:szCs w:val="18"/>
                <w:color w:val="auto"/>
                <w:w w:val="84"/>
              </w:rPr>
              <w:t>2023</w:t>
            </w:r>
          </w:p>
        </w:tc>
        <w:tc>
          <w:tcPr>
            <w:tcW w:w="1800" w:type="dxa"/>
            <w:vAlign w:val="bottom"/>
          </w:tcPr>
          <w:p>
            <w:pPr>
              <w:jc w:val="right"/>
              <w:spacing w:after="0"/>
              <w:rPr>
                <w:sz w:val="20"/>
                <w:szCs w:val="20"/>
                <w:color w:val="auto"/>
              </w:rPr>
            </w:pPr>
            <w:r>
              <w:rPr>
                <w:rFonts w:ascii="Arial" w:cs="Arial" w:eastAsia="Arial" w:hAnsi="Arial"/>
                <w:sz w:val="18"/>
                <w:szCs w:val="18"/>
                <w:color w:val="auto"/>
              </w:rPr>
              <w:t>$2,552,564</w:t>
            </w:r>
          </w:p>
        </w:tc>
      </w:tr>
    </w:tbl>
    <w:p>
      <w:pPr>
        <w:spacing w:after="0" w:line="202" w:lineRule="exact"/>
        <w:rPr>
          <w:sz w:val="20"/>
          <w:szCs w:val="20"/>
          <w:color w:val="auto"/>
        </w:rPr>
      </w:pPr>
    </w:p>
    <w:p>
      <w:pPr>
        <w:ind w:left="-60" w:right="20" w:firstLine="656"/>
        <w:spacing w:after="0" w:line="271" w:lineRule="auto"/>
        <w:tabs>
          <w:tab w:leader="none" w:pos="813"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Benefit Plans and Programs</w:t>
      </w:r>
      <w:r>
        <w:rPr>
          <w:rFonts w:ascii="Arial" w:cs="Arial" w:eastAsia="Arial" w:hAnsi="Arial"/>
          <w:sz w:val="17"/>
          <w:szCs w:val="17"/>
          <w:color w:val="auto"/>
        </w:rPr>
        <w:t>. Employee shall be entitled to: (a) participate in the Company’s health and welfare and other employee benefit plans and programs (including group insurance programs and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(the items listed in subparagraphs (a) and (b)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other terms of this Agreement shall control.</w:t>
      </w:r>
    </w:p>
    <w:p>
      <w:pPr>
        <w:spacing w:after="0" w:line="178" w:lineRule="exact"/>
        <w:rPr>
          <w:rFonts w:ascii="Arial" w:cs="Arial" w:eastAsia="Arial" w:hAnsi="Arial"/>
          <w:sz w:val="17"/>
          <w:szCs w:val="17"/>
          <w:color w:val="auto"/>
        </w:rPr>
      </w:pPr>
    </w:p>
    <w:p>
      <w:pPr>
        <w:ind w:left="-60" w:right="40" w:firstLine="656"/>
        <w:spacing w:after="0" w:line="264" w:lineRule="auto"/>
        <w:tabs>
          <w:tab w:leader="none" w:pos="813"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181" w:lineRule="exact"/>
        <w:rPr>
          <w:rFonts w:ascii="Arial" w:cs="Arial" w:eastAsia="Arial" w:hAnsi="Arial"/>
          <w:sz w:val="18"/>
          <w:szCs w:val="18"/>
          <w:color w:val="auto"/>
        </w:rPr>
      </w:pPr>
    </w:p>
    <w:p>
      <w:pPr>
        <w:ind w:left="-60" w:right="60" w:firstLine="656"/>
        <w:spacing w:after="0" w:line="312" w:lineRule="auto"/>
        <w:tabs>
          <w:tab w:leader="none" w:pos="813"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146" w:lineRule="exact"/>
        <w:rPr>
          <w:rFonts w:ascii="Arial" w:cs="Arial" w:eastAsia="Arial" w:hAnsi="Arial"/>
          <w:sz w:val="16"/>
          <w:szCs w:val="16"/>
          <w:color w:val="auto"/>
        </w:rPr>
      </w:pPr>
    </w:p>
    <w:p>
      <w:pPr>
        <w:ind w:left="1220" w:hanging="300"/>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w:t>
      </w:r>
    </w:p>
    <w:p>
      <w:pPr>
        <w:spacing w:after="0" w:line="225" w:lineRule="exact"/>
        <w:rPr>
          <w:rFonts w:ascii="Arial" w:cs="Arial" w:eastAsia="Arial" w:hAnsi="Arial"/>
          <w:sz w:val="18"/>
          <w:szCs w:val="18"/>
          <w:color w:val="auto"/>
        </w:rPr>
      </w:pPr>
    </w:p>
    <w:p>
      <w:pPr>
        <w:ind w:left="-60" w:firstLine="980"/>
        <w:spacing w:after="0" w:line="259" w:lineRule="auto"/>
        <w:tabs>
          <w:tab w:leader="none" w:pos="1212"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twelve (12) consecutive months or for a cumulative period of fifty-two (52) weeks in any two (2) calendar year period.</w:t>
      </w:r>
    </w:p>
    <w:p>
      <w:pPr>
        <w:spacing w:after="0" w:line="186" w:lineRule="exact"/>
        <w:rPr>
          <w:rFonts w:ascii="Arial" w:cs="Arial" w:eastAsia="Arial" w:hAnsi="Arial"/>
          <w:sz w:val="18"/>
          <w:szCs w:val="18"/>
          <w:color w:val="auto"/>
        </w:rPr>
      </w:pPr>
    </w:p>
    <w:p>
      <w:pPr>
        <w:ind w:left="1220" w:hanging="300"/>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Resignation Without Good Reason by Employee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160" w:firstLine="1305"/>
        <w:spacing w:after="0" w:line="264" w:lineRule="auto"/>
        <w:tabs>
          <w:tab w:leader="none" w:pos="1493"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Company may terminate Employee’s employment (a “Termination With Cause”) upon written notice following its determination that Employee has committed any of the following acts: (A) conviction of or guilty plea to a felony or a crime involving moral turpitude; (B) fraud; (C) embezzlement or other misappropriation of funds; (D)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00" w:top="544" w:right="339" w:bottom="1440" w:gutter="0" w:footer="0" w:header="0"/>
        </w:sectPr>
      </w:pPr>
    </w:p>
    <w:bookmarkStart w:id="6" w:name="page7"/>
    <w:bookmarkEnd w:id="6"/>
    <w:p>
      <w:pPr>
        <w:ind w:right="80"/>
        <w:spacing w:after="0" w:line="293" w:lineRule="auto"/>
        <w:rPr>
          <w:sz w:val="20"/>
          <w:szCs w:val="20"/>
          <w:color w:val="auto"/>
        </w:rPr>
      </w:pPr>
      <w:r>
        <w:rPr>
          <w:rFonts w:ascii="Arial" w:cs="Arial" w:eastAsia="Arial" w:hAnsi="Arial"/>
          <w:sz w:val="16"/>
          <w:szCs w:val="16"/>
          <w:color w:val="auto"/>
        </w:rPr>
        <w:t>material misrepresentation with respect to the Company; (E) substantial and/or repeated failure to perform duties; (F) gross negligence or willful misconduct in the performance of duties; (G) commission of any act or involvement in any situation, or occurrence, whether before or during the Term, which brings you into widespread public disrepute, contempt, scandal or ridicule, or which justifiably shocks, insults or offends a significant portion of the community, or your being subject to publicity for any such conduct or involvement in such conduct; (H) material violation of the Employee Handbook, the Code of Conduct or any other written Company policy; or (I) material breach of this Agreement (which, as to the last two items, if capable of being cured (as reasonably determined by the Company), shall remain uncured following ten (10) business days after written notice thereof).</w:t>
      </w:r>
    </w:p>
    <w:p>
      <w:pPr>
        <w:spacing w:after="0" w:line="165" w:lineRule="exact"/>
        <w:rPr>
          <w:sz w:val="20"/>
          <w:szCs w:val="20"/>
          <w:color w:val="auto"/>
        </w:rPr>
      </w:pPr>
    </w:p>
    <w:p>
      <w:pPr>
        <w:ind w:right="540" w:firstLine="1305"/>
        <w:spacing w:after="0" w:line="308" w:lineRule="auto"/>
        <w:tabs>
          <w:tab w:leader="none" w:pos="1606" w:val="left"/>
        </w:tabs>
        <w:numPr>
          <w:ilvl w:val="1"/>
          <w:numId w:val="5"/>
        </w:numPr>
        <w:rPr>
          <w:rFonts w:ascii="Arial" w:cs="Arial" w:eastAsia="Arial" w:hAnsi="Arial"/>
          <w:sz w:val="17"/>
          <w:szCs w:val="17"/>
          <w:color w:val="auto"/>
        </w:rPr>
      </w:pPr>
      <w:r>
        <w:rPr>
          <w:rFonts w:ascii="Arial" w:cs="Arial" w:eastAsia="Arial" w:hAnsi="Arial"/>
          <w:sz w:val="17"/>
          <w:szCs w:val="17"/>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146" w:lineRule="exact"/>
        <w:rPr>
          <w:rFonts w:ascii="Arial" w:cs="Arial" w:eastAsia="Arial" w:hAnsi="Arial"/>
          <w:sz w:val="17"/>
          <w:szCs w:val="17"/>
          <w:color w:val="auto"/>
        </w:rPr>
      </w:pPr>
    </w:p>
    <w:p>
      <w:pPr>
        <w:ind w:left="1280" w:hanging="300"/>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Resignation With Good Reason by Employee.</w:t>
      </w:r>
    </w:p>
    <w:p>
      <w:pPr>
        <w:spacing w:after="0" w:line="225" w:lineRule="exact"/>
        <w:rPr>
          <w:rFonts w:ascii="Arial" w:cs="Arial" w:eastAsia="Arial" w:hAnsi="Arial"/>
          <w:sz w:val="18"/>
          <w:szCs w:val="18"/>
          <w:color w:val="auto"/>
        </w:rPr>
      </w:pPr>
    </w:p>
    <w:p>
      <w:pPr>
        <w:ind w:right="240" w:firstLine="1305"/>
        <w:spacing w:after="0" w:line="277" w:lineRule="auto"/>
        <w:tabs>
          <w:tab w:leader="none" w:pos="155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may terminate Employee’s employment (a “Termination Without Cause”) at any time for any reason (or for no reason) upon twenty (20) business days prior written notice.</w:t>
      </w:r>
    </w:p>
    <w:p>
      <w:pPr>
        <w:spacing w:after="0" w:line="170" w:lineRule="exact"/>
        <w:rPr>
          <w:sz w:val="20"/>
          <w:szCs w:val="20"/>
          <w:color w:val="auto"/>
        </w:rPr>
      </w:pPr>
    </w:p>
    <w:p>
      <w:pPr>
        <w:ind w:right="180" w:firstLine="1305"/>
        <w:spacing w:after="0" w:line="302" w:lineRule="auto"/>
        <w:tabs>
          <w:tab w:leader="none" w:pos="1606" w:val="left"/>
        </w:tabs>
        <w:numPr>
          <w:ilvl w:val="2"/>
          <w:numId w:val="7"/>
        </w:numPr>
        <w:rPr>
          <w:rFonts w:ascii="Arial" w:cs="Arial" w:eastAsia="Arial" w:hAnsi="Arial"/>
          <w:sz w:val="16"/>
          <w:szCs w:val="16"/>
          <w:color w:val="auto"/>
        </w:rPr>
      </w:pPr>
      <w:r>
        <w:rPr>
          <w:rFonts w:ascii="Arial" w:cs="Arial" w:eastAsia="Arial" w:hAnsi="Arial"/>
          <w:sz w:val="16"/>
          <w:szCs w:val="16"/>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substantial demotion in Employee’s position; or material breach of this Agreement (which, as to either such item, if capable of being cured (as reasonably determined by the Company), shall remain uncured following ten (10) business days after written notice thereof) (“Good Reason”).</w:t>
      </w:r>
    </w:p>
    <w:p>
      <w:pPr>
        <w:spacing w:after="0" w:line="154" w:lineRule="exact"/>
        <w:rPr>
          <w:rFonts w:ascii="Arial" w:cs="Arial" w:eastAsia="Arial" w:hAnsi="Arial"/>
          <w:sz w:val="16"/>
          <w:szCs w:val="16"/>
          <w:color w:val="auto"/>
        </w:rPr>
      </w:pPr>
    </w:p>
    <w:p>
      <w:pPr>
        <w:ind w:firstLine="656"/>
        <w:spacing w:after="0" w:line="277" w:lineRule="auto"/>
        <w:tabs>
          <w:tab w:leader="none" w:pos="87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170" w:lineRule="exact"/>
        <w:rPr>
          <w:rFonts w:ascii="Arial" w:cs="Arial" w:eastAsia="Arial" w:hAnsi="Arial"/>
          <w:sz w:val="18"/>
          <w:szCs w:val="18"/>
          <w:color w:val="auto"/>
        </w:rPr>
      </w:pPr>
    </w:p>
    <w:p>
      <w:pPr>
        <w:ind w:right="80" w:firstLine="980"/>
        <w:spacing w:after="0" w:line="270" w:lineRule="auto"/>
        <w:tabs>
          <w:tab w:leader="none" w:pos="1262"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Following termination due to death or Disability, Employee’s estate (or Employee, as applicable) shall be entitled to payment of Employee’s then-current Base Salary through the date of termination and for a period of three (3) months thereafter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(in the case of each of the last two amounts, payable at such time as otherwise applicable absent such death or Disability), and any vested rights or benefits under any applicable provisions of any other compensation or benefit program or plan or grants thereunder. Except as otherwise provided herein, any amounts</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 w:name="page8"/>
    <w:bookmarkEnd w:id="7"/>
    <w:p>
      <w:pPr>
        <w:ind w:right="420"/>
        <w:spacing w:after="0" w:line="210" w:lineRule="auto"/>
        <w:rPr>
          <w:sz w:val="20"/>
          <w:szCs w:val="20"/>
          <w:color w:val="auto"/>
        </w:rPr>
      </w:pPr>
      <w:r>
        <w:rPr>
          <w:rFonts w:ascii="Arial" w:cs="Arial" w:eastAsia="Arial" w:hAnsi="Arial"/>
          <w:sz w:val="18"/>
          <w:szCs w:val="18"/>
          <w:color w:val="auto"/>
        </w:rPr>
        <w:t>payable to Employee’s estate (or Employee, as applicable) pursuant to this subparagraph (a) shall be paid no later than the 45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following the date of termination.</w:t>
      </w:r>
    </w:p>
    <w:p>
      <w:pPr>
        <w:spacing w:after="0" w:line="202" w:lineRule="exact"/>
        <w:rPr>
          <w:sz w:val="20"/>
          <w:szCs w:val="20"/>
          <w:color w:val="auto"/>
        </w:rPr>
      </w:pPr>
    </w:p>
    <w:p>
      <w:pPr>
        <w:ind w:right="200" w:firstLine="980"/>
        <w:spacing w:after="0" w:line="276" w:lineRule="auto"/>
        <w:tabs>
          <w:tab w:leader="none" w:pos="127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Termination With Cause by the Company or Resignation Without Good Reason by Employee</w:t>
      </w:r>
      <w:r>
        <w:rPr>
          <w:rFonts w:ascii="Arial" w:cs="Arial" w:eastAsia="Arial" w:hAnsi="Arial"/>
          <w:sz w:val="17"/>
          <w:szCs w:val="17"/>
          <w:color w:val="auto"/>
        </w:rPr>
        <w:t>. If Employee’s employment terminates as a result of a Termination With Cause or Resignation Without Good Reason,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of termination.</w:t>
      </w:r>
    </w:p>
    <w:p>
      <w:pPr>
        <w:spacing w:after="0" w:line="50" w:lineRule="exact"/>
        <w:rPr>
          <w:rFonts w:ascii="Arial" w:cs="Arial" w:eastAsia="Arial" w:hAnsi="Arial"/>
          <w:sz w:val="17"/>
          <w:szCs w:val="17"/>
          <w:color w:val="auto"/>
        </w:rPr>
      </w:pPr>
    </w:p>
    <w:p>
      <w:pPr>
        <w:ind w:right="60" w:firstLine="980"/>
        <w:spacing w:after="0" w:line="273" w:lineRule="auto"/>
        <w:tabs>
          <w:tab w:leader="none" w:pos="126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by the Company or Resignation With Good Reason by Employee</w:t>
      </w:r>
      <w:r>
        <w:rPr>
          <w:rFonts w:ascii="Arial" w:cs="Arial" w:eastAsia="Arial" w:hAnsi="Arial"/>
          <w:sz w:val="17"/>
          <w:szCs w:val="17"/>
          <w:color w:val="auto"/>
        </w:rPr>
        <w:t>. If Employee’s employment is terminated as a result of a Termination Without Cause or Resignation With Good Reason, and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178" w:lineRule="exact"/>
        <w:rPr>
          <w:rFonts w:ascii="Arial" w:cs="Arial" w:eastAsia="Arial" w:hAnsi="Arial"/>
          <w:sz w:val="17"/>
          <w:szCs w:val="17"/>
          <w:color w:val="auto"/>
        </w:rPr>
      </w:pPr>
    </w:p>
    <w:p>
      <w:pPr>
        <w:ind w:firstLine="1305"/>
        <w:spacing w:after="0" w:line="291" w:lineRule="auto"/>
        <w:tabs>
          <w:tab w:leader="none" w:pos="1556" w:val="left"/>
        </w:tabs>
        <w:numPr>
          <w:ilvl w:val="1"/>
          <w:numId w:val="9"/>
        </w:numPr>
        <w:rPr>
          <w:rFonts w:ascii="Arial" w:cs="Arial" w:eastAsia="Arial" w:hAnsi="Arial"/>
          <w:sz w:val="16"/>
          <w:szCs w:val="16"/>
          <w:color w:val="auto"/>
        </w:rPr>
      </w:pPr>
      <w:r>
        <w:rPr>
          <w:rFonts w:ascii="Arial" w:cs="Arial" w:eastAsia="Arial" w:hAnsi="Arial"/>
          <w:sz w:val="16"/>
          <w:szCs w:val="16"/>
          <w:color w:val="auto"/>
        </w:rPr>
        <w:t>Provided Employee is alive at the time of payment thereof, Employee shall be entitled to continue to: (A) receive Employee’s then-current Base Salary in accordance with the Company’s regular payroll practices; and (B) participate in the Benefit Plans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167" w:lineRule="exact"/>
        <w:rPr>
          <w:rFonts w:ascii="Arial" w:cs="Arial" w:eastAsia="Arial" w:hAnsi="Arial"/>
          <w:sz w:val="16"/>
          <w:szCs w:val="16"/>
          <w:color w:val="auto"/>
        </w:rPr>
      </w:pPr>
    </w:p>
    <w:p>
      <w:pPr>
        <w:ind w:right="80" w:firstLine="1305"/>
        <w:spacing w:after="0" w:line="273" w:lineRule="auto"/>
        <w:tabs>
          <w:tab w:leader="none" w:pos="1606" w:val="left"/>
        </w:tabs>
        <w:numPr>
          <w:ilvl w:val="1"/>
          <w:numId w:val="9"/>
        </w:numPr>
        <w:rPr>
          <w:rFonts w:ascii="Arial" w:cs="Arial" w:eastAsia="Arial" w:hAnsi="Arial"/>
          <w:sz w:val="17"/>
          <w:szCs w:val="17"/>
          <w:color w:val="auto"/>
        </w:rPr>
      </w:pPr>
      <w:r>
        <w:rPr>
          <w:rFonts w:ascii="Arial" w:cs="Arial" w:eastAsia="Arial" w:hAnsi="Arial"/>
          <w:sz w:val="17"/>
          <w:szCs w:val="17"/>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and an amount on account of the current year’s Cash Bonus Plan grant (pro-rated through the month containing the date of termination, and calculated using actual achievement of Company-based performance goals and assuming full achievement of Employee’s personal performance goals). Except as otherwise provided herein, any</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amounts payable to Employee pursuant to this subparagraph (ii) shall be paid no later than the 45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following the date of termination.</w:t>
      </w:r>
    </w:p>
    <w:p>
      <w:pPr>
        <w:spacing w:after="0" w:line="124" w:lineRule="exact"/>
        <w:rPr>
          <w:sz w:val="20"/>
          <w:szCs w:val="20"/>
          <w:color w:val="auto"/>
        </w:rPr>
      </w:pPr>
    </w:p>
    <w:p>
      <w:pPr>
        <w:ind w:right="80" w:firstLine="1305"/>
        <w:spacing w:after="0" w:line="293" w:lineRule="auto"/>
        <w:tabs>
          <w:tab w:leader="none" w:pos="17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Employee shall be obligated to seek reasonable other employment during the period in which Employee receives salary continuation payments under subparagraph (i) above, and the Company may request reasonable periodic written reports evidencing Employee’s efforts to obtain such employment. Such salary continuation payments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health and welfare benefits shall cease upon Employee’s eligibility for health and welfare benefits from any subsequent employer.</w:t>
      </w:r>
    </w:p>
    <w:p>
      <w:pPr>
        <w:spacing w:after="0" w:line="164" w:lineRule="exact"/>
        <w:rPr>
          <w:rFonts w:ascii="Arial" w:cs="Arial" w:eastAsia="Arial" w:hAnsi="Arial"/>
          <w:sz w:val="16"/>
          <w:szCs w:val="16"/>
          <w:color w:val="auto"/>
        </w:rPr>
      </w:pPr>
    </w:p>
    <w:p>
      <w:pPr>
        <w:ind w:left="1660" w:hanging="355"/>
        <w:spacing w:after="0"/>
        <w:tabs>
          <w:tab w:leader="none" w:pos="1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Provided Employee is alive at the time of payment, Employee shall be entitled to receive payment on account of: (A) the current year’s</w:t>
      </w:r>
    </w:p>
    <w:p>
      <w:pPr>
        <w:spacing w:after="0" w:line="46"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Cash Bonus Plan grant, pro-rated beginning from the month following the date of termination through 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the year of termination; and (B) the following year’s Cash Bonus Plan grant, pro-rated based on the number of months of employment in the year of termination (including the month of termination); in each case calculated using actual achievement of Company-based performance goals and assuming full achievement of Employee’s personal performance goals (payable at such times as otherwise applicable absent such termination).</w:t>
      </w:r>
    </w:p>
    <w:p>
      <w:pPr>
        <w:spacing w:after="0" w:line="202" w:lineRule="exact"/>
        <w:rPr>
          <w:sz w:val="20"/>
          <w:szCs w:val="20"/>
          <w:color w:val="auto"/>
        </w:rPr>
      </w:pPr>
    </w:p>
    <w:p>
      <w:pPr>
        <w:ind w:right="100" w:firstLine="1305"/>
        <w:spacing w:after="0" w:line="257" w:lineRule="auto"/>
        <w:tabs>
          <w:tab w:leader="none" w:pos="15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Restricted Stock Plan grants made pursuant to subparagraphs 3(b)(ii) and (iii) and subparagraph 3(c) of Employee’s Employment Agreement dated May 10, 2015 (the “2015 Agreement”), the Restricted Stock Plan grant made in 2016 (which included the grant provided for in subparagraph 3(d)(ii) of the 2015 Agreement), and the Stock Option Plan grant made pursuant to subparagraph 3(d)(iii) of the 2015 Agreement, shall remain outstanding, notwithstanding the termination of employment, with the result that each will continue to vest during its then remaining term and such Stock Option Plan grant shall remain exercisable through its then remaining term.</w:t>
      </w:r>
    </w:p>
    <w:p>
      <w:pPr>
        <w:spacing w:after="0" w:line="188" w:lineRule="exact"/>
        <w:rPr>
          <w:sz w:val="20"/>
          <w:szCs w:val="20"/>
          <w:color w:val="auto"/>
        </w:rPr>
      </w:pPr>
    </w:p>
    <w:p>
      <w:pPr>
        <w:ind w:firstLine="1305"/>
        <w:spacing w:after="0" w:line="312" w:lineRule="auto"/>
        <w:tabs>
          <w:tab w:leader="none" w:pos="1596" w:val="left"/>
        </w:tabs>
        <w:numPr>
          <w:ilvl w:val="1"/>
          <w:numId w:val="12"/>
        </w:numPr>
        <w:rPr>
          <w:rFonts w:ascii="Arial" w:cs="Arial" w:eastAsia="Arial" w:hAnsi="Arial"/>
          <w:sz w:val="16"/>
          <w:szCs w:val="16"/>
          <w:color w:val="auto"/>
        </w:rPr>
      </w:pPr>
      <w:r>
        <w:rPr>
          <w:rFonts w:ascii="Arial" w:cs="Arial" w:eastAsia="Arial" w:hAnsi="Arial"/>
          <w:sz w:val="16"/>
          <w:szCs w:val="16"/>
          <w:color w:val="auto"/>
        </w:rPr>
        <w:t>Provided Employee is alive at the time of vesting, Employee shall have the right to continued vesting of all other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w:t>
      </w:r>
    </w:p>
    <w:p>
      <w:pPr>
        <w:spacing w:after="0" w:line="146" w:lineRule="exact"/>
        <w:rPr>
          <w:rFonts w:ascii="Arial" w:cs="Arial" w:eastAsia="Arial" w:hAnsi="Arial"/>
          <w:sz w:val="16"/>
          <w:szCs w:val="16"/>
          <w:color w:val="auto"/>
        </w:rPr>
      </w:pPr>
    </w:p>
    <w:p>
      <w:pPr>
        <w:ind w:right="380" w:firstLine="656"/>
        <w:spacing w:after="0" w:line="257"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Confidentiality</w:t>
      </w:r>
      <w:r>
        <w:rPr>
          <w:rFonts w:ascii="Arial" w:cs="Arial" w:eastAsia="Arial" w:hAnsi="Arial"/>
          <w:sz w:val="18"/>
          <w:szCs w:val="18"/>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48" w:right="259" w:bottom="1440" w:gutter="0" w:footer="0" w:header="0"/>
        </w:sectPr>
      </w:pPr>
    </w:p>
    <w:bookmarkStart w:id="9" w:name="page10"/>
    <w:bookmarkEnd w:id="9"/>
    <w:p>
      <w:pPr>
        <w:ind w:right="180" w:firstLine="980"/>
        <w:spacing w:after="0" w:line="297" w:lineRule="auto"/>
        <w:tabs>
          <w:tab w:leader="none" w:pos="1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158" w:lineRule="exact"/>
        <w:rPr>
          <w:rFonts w:ascii="Arial" w:cs="Arial" w:eastAsia="Arial" w:hAnsi="Arial"/>
          <w:sz w:val="16"/>
          <w:szCs w:val="16"/>
          <w:color w:val="auto"/>
        </w:rPr>
      </w:pPr>
    </w:p>
    <w:p>
      <w:pPr>
        <w:ind w:firstLine="980"/>
        <w:spacing w:after="0" w:line="253" w:lineRule="auto"/>
        <w:tabs>
          <w:tab w:leader="none" w:pos="12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WHILE EMPLOYED BY THE COMPANY (WHETHER DURING THE TERM OR THEREAFTER); AND FOR A PERIOD OF ONE YEAR AFTER A RESIGNATION WITHOUT GOOD REASON OR A TERMINATION WITH CAUSE, IN EITHER CASE OCCURRING PRIOR TO THE REGULAR END DATE, EMPLOYEE SHALL NOT, DIRECTLY OR INDIRECTLY, ENGAGE IN ANY ACTIVITIES ON BEHALF OF, OR BE FINANCIALLY INTERESTED IN, A COMPETITIVE BUSINESS (AS AN AGENT, CONSULTANT, DIRECTOR, EMPLOYEE, INDEPENDENT CONTRACTOR, OFFICER, OWNER, PARTNER, MEMBER, PRINCIPAL, SERVICE PROVIDER OR OTHERWISE).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WITH EMPLOYEE’S PARTICIPATION.</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right="180" w:firstLine="1305"/>
        <w:spacing w:after="0" w:line="286" w:lineRule="auto"/>
        <w:tabs>
          <w:tab w:leader="none" w:pos="1603"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165" w:lineRule="exact"/>
        <w:rPr>
          <w:rFonts w:ascii="Arial" w:cs="Arial" w:eastAsia="Arial" w:hAnsi="Arial"/>
          <w:sz w:val="17"/>
          <w:szCs w:val="17"/>
          <w:color w:val="auto"/>
        </w:rPr>
      </w:pPr>
    </w:p>
    <w:p>
      <w:pPr>
        <w:ind w:right="100" w:firstLine="1305"/>
        <w:spacing w:after="0" w:line="264" w:lineRule="auto"/>
        <w:tabs>
          <w:tab w:leader="none" w:pos="1611"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181" w:lineRule="exact"/>
        <w:rPr>
          <w:rFonts w:ascii="Arial" w:cs="Arial" w:eastAsia="Arial" w:hAnsi="Arial"/>
          <w:sz w:val="18"/>
          <w:szCs w:val="18"/>
          <w:color w:val="auto"/>
        </w:rPr>
      </w:pPr>
    </w:p>
    <w:p>
      <w:pPr>
        <w:jc w:val="both"/>
        <w:ind w:right="80" w:firstLine="1305"/>
        <w:spacing w:after="0" w:line="342" w:lineRule="auto"/>
        <w:tabs>
          <w:tab w:leader="none" w:pos="16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123" w:lineRule="exact"/>
        <w:rPr>
          <w:rFonts w:ascii="Arial" w:cs="Arial" w:eastAsia="Arial" w:hAnsi="Arial"/>
          <w:sz w:val="16"/>
          <w:szCs w:val="16"/>
          <w:color w:val="auto"/>
        </w:rPr>
      </w:pPr>
    </w:p>
    <w:p>
      <w:pPr>
        <w:ind w:right="100" w:firstLine="980"/>
        <w:spacing w:after="0" w:line="259" w:lineRule="auto"/>
        <w:tabs>
          <w:tab w:leader="none" w:pos="12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Nothing contained in this Agreement (including, without limitation, subparagraph 8(d) and Paragraph 9)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0" w:name="page11"/>
    <w:bookmarkEnd w:id="10"/>
    <w:p>
      <w:pPr>
        <w:ind w:right="140"/>
        <w:spacing w:after="0" w:line="264" w:lineRule="auto"/>
        <w:rPr>
          <w:sz w:val="20"/>
          <w:szCs w:val="20"/>
          <w:color w:val="auto"/>
        </w:rPr>
      </w:pPr>
      <w:r>
        <w:rPr>
          <w:rFonts w:ascii="Arial" w:cs="Arial" w:eastAsia="Arial" w:hAnsi="Arial"/>
          <w:sz w:val="18"/>
          <w:szCs w:val="18"/>
          <w:color w:val="auto"/>
        </w:rPr>
        <w:t>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181" w:lineRule="exact"/>
        <w:rPr>
          <w:sz w:val="20"/>
          <w:szCs w:val="20"/>
          <w:color w:val="auto"/>
        </w:rPr>
      </w:pPr>
    </w:p>
    <w:p>
      <w:pPr>
        <w:ind w:firstLine="980"/>
        <w:spacing w:after="0" w:line="284" w:lineRule="auto"/>
        <w:tabs>
          <w:tab w:leader="none" w:pos="12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w:t>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 w:name="page12"/>
    <w:bookmarkEnd w:id="11"/>
    <w:p>
      <w:pPr>
        <w:ind w:right="440"/>
        <w:spacing w:after="0" w:line="277" w:lineRule="auto"/>
        <w:rPr>
          <w:sz w:val="20"/>
          <w:szCs w:val="20"/>
          <w:color w:val="auto"/>
        </w:rPr>
      </w:pPr>
      <w:r>
        <w:rPr>
          <w:rFonts w:ascii="Arial" w:cs="Arial" w:eastAsia="Arial" w:hAnsi="Arial"/>
          <w:sz w:val="18"/>
          <w:szCs w:val="18"/>
          <w:color w:val="auto"/>
        </w:rPr>
        <w:t>proceeding, if Employee (i) files any document containing the trade secret under seal, and (ii) does not disclose the trade secret, except pursuant to court order.</w:t>
      </w:r>
    </w:p>
    <w:p>
      <w:pPr>
        <w:spacing w:after="0" w:line="170" w:lineRule="exact"/>
        <w:rPr>
          <w:sz w:val="20"/>
          <w:szCs w:val="20"/>
          <w:color w:val="auto"/>
        </w:rPr>
      </w:pPr>
    </w:p>
    <w:p>
      <w:pPr>
        <w:ind w:firstLine="980"/>
        <w:spacing w:after="0" w:line="270" w:lineRule="auto"/>
        <w:tabs>
          <w:tab w:leader="none" w:pos="1262" w:val="left"/>
        </w:tabs>
        <w:numPr>
          <w:ilvl w:val="0"/>
          <w:numId w:val="16"/>
        </w:numPr>
        <w:rPr>
          <w:rFonts w:ascii="Arial" w:cs="Arial" w:eastAsia="Arial" w:hAnsi="Arial"/>
          <w:sz w:val="17"/>
          <w:szCs w:val="17"/>
          <w:color w:val="auto"/>
        </w:rPr>
      </w:pPr>
      <w:r>
        <w:rPr>
          <w:rFonts w:ascii="Arial" w:cs="Arial" w:eastAsia="Arial" w:hAnsi="Arial"/>
          <w:sz w:val="17"/>
          <w:szCs w:val="17"/>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77" w:lineRule="exact"/>
        <w:rPr>
          <w:rFonts w:ascii="Arial" w:cs="Arial" w:eastAsia="Arial" w:hAnsi="Arial"/>
          <w:sz w:val="17"/>
          <w:szCs w:val="17"/>
          <w:color w:val="auto"/>
        </w:rPr>
      </w:pPr>
    </w:p>
    <w:p>
      <w:pPr>
        <w:ind w:right="120" w:firstLine="980"/>
        <w:spacing w:after="0" w:line="257" w:lineRule="auto"/>
        <w:tabs>
          <w:tab w:leader="none" w:pos="12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88" w:lineRule="exact"/>
        <w:rPr>
          <w:rFonts w:ascii="Arial" w:cs="Arial" w:eastAsia="Arial" w:hAnsi="Arial"/>
          <w:sz w:val="18"/>
          <w:szCs w:val="18"/>
          <w:color w:val="auto"/>
        </w:rPr>
      </w:pPr>
    </w:p>
    <w:p>
      <w:pPr>
        <w:ind w:right="280" w:firstLine="980"/>
        <w:spacing w:after="0" w:line="277" w:lineRule="auto"/>
        <w:tabs>
          <w:tab w:leader="none" w:pos="12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70" w:lineRule="exact"/>
        <w:rPr>
          <w:rFonts w:ascii="Arial" w:cs="Arial" w:eastAsia="Arial" w:hAnsi="Arial"/>
          <w:sz w:val="18"/>
          <w:szCs w:val="18"/>
          <w:color w:val="auto"/>
        </w:rPr>
      </w:pPr>
    </w:p>
    <w:p>
      <w:pPr>
        <w:ind w:right="80" w:firstLine="980"/>
        <w:spacing w:after="0" w:line="264" w:lineRule="auto"/>
        <w:tabs>
          <w:tab w:leader="none" w:pos="12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 w:name="page13"/>
    <w:bookmarkEnd w:id="12"/>
    <w:p>
      <w:pPr>
        <w:ind w:firstLine="656"/>
        <w:spacing w:after="0" w:line="297" w:lineRule="auto"/>
        <w:tabs>
          <w:tab w:leader="none" w:pos="87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Non-Disparaging Statements</w:t>
      </w:r>
      <w:r>
        <w:rPr>
          <w:rFonts w:ascii="Arial" w:cs="Arial" w:eastAsia="Arial" w:hAnsi="Arial"/>
          <w:sz w:val="16"/>
          <w:szCs w:val="16"/>
          <w:color w:val="auto"/>
        </w:rPr>
        <w:t>. Except as provided in subparagraph 8(c), during the period of Employee’s employment (whether during the Term or thereafter), and for a period of three (3) years thereafter, neither party shall disparage (directly or indirectly; orally, in writing or otherwise), the other party or, in the case of the Company, any of its employees, officers or directors, in any communication with or to any person or entity, including: (a) any actual or potential employer of Employee; (b) any actual or potential employee, customer, consultant, independent contractor, investor, lender, service provider or supplier of the Company; or (c) any media outlet. The foregoing shall not be deemed to restrict either party’s obligation to testify truthfully in any proceeding.</w:t>
      </w:r>
    </w:p>
    <w:p>
      <w:pPr>
        <w:spacing w:after="0" w:line="158"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0"/>
        <w:spacing w:after="0" w:line="287" w:lineRule="auto"/>
        <w:tabs>
          <w:tab w:leader="none" w:pos="1262"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the extent any Company Intellectual Property (as defined in subparagraph (f) below) is not already owned by the Company as a matter of law or by prior written assignment by Employee to the Company, Employee hereby assigns to Comcast Corporation, and agrees to assign to Comcast Corporation or its designated subsidiary(ies)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(f)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 or the outcome of any proceeding where such testimony is given or provided.</w:t>
      </w:r>
    </w:p>
    <w:p>
      <w:pPr>
        <w:spacing w:after="0" w:line="172" w:lineRule="exact"/>
        <w:rPr>
          <w:rFonts w:ascii="Arial" w:cs="Arial" w:eastAsia="Arial" w:hAnsi="Arial"/>
          <w:sz w:val="16"/>
          <w:szCs w:val="16"/>
          <w:color w:val="auto"/>
        </w:rPr>
      </w:pPr>
    </w:p>
    <w:p>
      <w:pPr>
        <w:ind w:right="140" w:firstLine="980"/>
        <w:spacing w:after="0" w:line="270" w:lineRule="auto"/>
        <w:tabs>
          <w:tab w:leader="none" w:pos="1272" w:val="left"/>
        </w:tabs>
        <w:numPr>
          <w:ilvl w:val="1"/>
          <w:numId w:val="17"/>
        </w:numPr>
        <w:rPr>
          <w:rFonts w:ascii="Arial" w:cs="Arial" w:eastAsia="Arial" w:hAnsi="Arial"/>
          <w:sz w:val="17"/>
          <w:szCs w:val="17"/>
          <w:color w:val="auto"/>
        </w:rPr>
      </w:pPr>
      <w:r>
        <w:rPr>
          <w:rFonts w:ascii="Arial" w:cs="Arial" w:eastAsia="Arial" w:hAnsi="Arial"/>
          <w:sz w:val="17"/>
          <w:szCs w:val="17"/>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 such patent applications constitute or include Company Intellectual Property. Employee has reviewed the notification on Schedule 2 and agrees that Employee’s execution hereof acknowledges receipt of such notification.</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ind w:right="60" w:firstLine="980"/>
        <w:spacing w:after="0" w:line="255" w:lineRule="auto"/>
        <w:tabs>
          <w:tab w:leader="none" w:pos="1217"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193" w:lineRule="exact"/>
        <w:rPr>
          <w:rFonts w:ascii="Arial" w:cs="Arial" w:eastAsia="Arial" w:hAnsi="Arial"/>
          <w:sz w:val="18"/>
          <w:szCs w:val="18"/>
          <w:color w:val="auto"/>
        </w:rPr>
      </w:pPr>
    </w:p>
    <w:p>
      <w:pPr>
        <w:ind w:firstLine="980"/>
        <w:spacing w:after="0" w:line="259" w:lineRule="auto"/>
        <w:tabs>
          <w:tab w:leader="none" w:pos="12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186" w:lineRule="exact"/>
        <w:rPr>
          <w:rFonts w:ascii="Arial" w:cs="Arial" w:eastAsia="Arial" w:hAnsi="Arial"/>
          <w:sz w:val="18"/>
          <w:szCs w:val="18"/>
          <w:color w:val="auto"/>
        </w:rPr>
      </w:pPr>
    </w:p>
    <w:p>
      <w:pPr>
        <w:ind w:right="160" w:firstLine="980"/>
        <w:spacing w:after="0" w:line="272" w:lineRule="auto"/>
        <w:tabs>
          <w:tab w:leader="none" w:pos="1262" w:val="left"/>
        </w:tabs>
        <w:numPr>
          <w:ilvl w:val="1"/>
          <w:numId w:val="18"/>
        </w:numPr>
        <w:rPr>
          <w:rFonts w:ascii="Arial" w:cs="Arial" w:eastAsia="Arial" w:hAnsi="Arial"/>
          <w:sz w:val="17"/>
          <w:szCs w:val="17"/>
          <w:color w:val="auto"/>
        </w:rPr>
      </w:pPr>
      <w:r>
        <w:rPr>
          <w:rFonts w:ascii="Arial" w:cs="Arial" w:eastAsia="Arial" w:hAnsi="Arial"/>
          <w:sz w:val="17"/>
          <w:szCs w:val="17"/>
          <w:color w:val="auto"/>
        </w:rPr>
        <w:t>If Employee owns or controls or has the power to grant licenses under any patents or other Intellectual Property rights that are, during the term of Employee’s employment, incorporated in or utilized in the development, manufacture or delivery of any of the Company’s products or services by Employee or with Employee’s knowledge, assistance, or encouragement, Employee agrees to grant and hereby does grant to the Company a non-exclusive, royalty-free, paid-up, perpetual, irrevocable, freely transferable and sublicensable, unrestricted worldwide license under such patents or other Intellectual Property to make, have made, use, reproduce, display, perform, sell, offer to sell, import, export, distribute, and otherwise transfer or dispose of, all of the Company’s products and services. The foregoing license shall extend throughout the Company’s supply and distribution chains, and shall extend to partners of the Company (in relation to the Company’s products and services) as well.</w:t>
      </w:r>
    </w:p>
    <w:p>
      <w:pPr>
        <w:spacing w:after="0" w:line="177" w:lineRule="exact"/>
        <w:rPr>
          <w:rFonts w:ascii="Arial" w:cs="Arial" w:eastAsia="Arial" w:hAnsi="Arial"/>
          <w:sz w:val="17"/>
          <w:szCs w:val="17"/>
          <w:color w:val="auto"/>
        </w:rPr>
      </w:pPr>
    </w:p>
    <w:p>
      <w:pPr>
        <w:ind w:right="100" w:firstLine="980"/>
        <w:spacing w:after="0" w:line="254" w:lineRule="auto"/>
        <w:tabs>
          <w:tab w:leader="none" w:pos="1197"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either alone or jointly with others, whether or not such Intellectual Property is patentable or copyrightable, that either: (i) relates to the Company’s current or planned businesses; or (ii) is created, fixed, conceived or reduced to practice (A) in the performance of the Employee’s duties or (B) using the Company’s information, facilities, equipment or other assets. “Company Intellectual Property” does not include Nonassignable IP.</w:t>
      </w:r>
    </w:p>
    <w:p>
      <w:pPr>
        <w:spacing w:after="0" w:line="192"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(i) Employee has had the opportunity to retain and consult with legal counsel and tax advisors of Employee’s choice regarding the terms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right="560" w:firstLine="1305"/>
        <w:spacing w:after="0" w:line="277" w:lineRule="auto"/>
        <w:tabs>
          <w:tab w:leader="none" w:pos="1606" w:val="left"/>
        </w:tabs>
        <w:numPr>
          <w:ilvl w:val="2"/>
          <w:numId w:val="20"/>
        </w:numPr>
        <w:rPr>
          <w:rFonts w:ascii="Arial" w:cs="Arial" w:eastAsia="Arial" w:hAnsi="Arial"/>
          <w:sz w:val="18"/>
          <w:szCs w:val="18"/>
          <w:color w:val="auto"/>
        </w:rPr>
      </w:pPr>
      <w:r>
        <w:rPr>
          <w:rFonts w:ascii="Arial" w:cs="Arial" w:eastAsia="Arial" w:hAnsi="Arial"/>
          <w:sz w:val="18"/>
          <w:szCs w:val="18"/>
          <w:color w:val="auto"/>
        </w:rPr>
        <w:t>Subject to bankruptcy and insolvency laws and general equitable principles, this Agreement is enforceable against Employee in accordance with its terms.</w:t>
      </w:r>
    </w:p>
    <w:p>
      <w:pPr>
        <w:spacing w:after="0" w:line="170" w:lineRule="exact"/>
        <w:rPr>
          <w:rFonts w:ascii="Arial" w:cs="Arial" w:eastAsia="Arial" w:hAnsi="Arial"/>
          <w:sz w:val="18"/>
          <w:szCs w:val="18"/>
          <w:color w:val="auto"/>
        </w:rPr>
      </w:pPr>
    </w:p>
    <w:p>
      <w:pPr>
        <w:ind w:right="140" w:firstLine="1305"/>
        <w:spacing w:after="0" w:line="264" w:lineRule="auto"/>
        <w:tabs>
          <w:tab w:leader="none" w:pos="1698"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81" w:lineRule="exact"/>
        <w:rPr>
          <w:rFonts w:ascii="Arial" w:cs="Arial" w:eastAsia="Arial" w:hAnsi="Arial"/>
          <w:sz w:val="18"/>
          <w:szCs w:val="18"/>
          <w:color w:val="auto"/>
        </w:rPr>
      </w:pPr>
    </w:p>
    <w:p>
      <w:pPr>
        <w:ind w:left="1240" w:hanging="260"/>
        <w:spacing w:after="0"/>
        <w:tabs>
          <w:tab w:leader="none" w:pos="12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25" w:lineRule="exact"/>
        <w:rPr>
          <w:rFonts w:ascii="Arial" w:cs="Arial" w:eastAsia="Arial" w:hAnsi="Arial"/>
          <w:sz w:val="18"/>
          <w:szCs w:val="18"/>
          <w:color w:val="auto"/>
        </w:rPr>
      </w:pPr>
    </w:p>
    <w:p>
      <w:pPr>
        <w:ind w:right="340" w:firstLine="1305"/>
        <w:spacing w:after="0" w:line="277" w:lineRule="auto"/>
        <w:tabs>
          <w:tab w:leader="none" w:pos="1601" w:val="left"/>
        </w:tabs>
        <w:numPr>
          <w:ilvl w:val="2"/>
          <w:numId w:val="21"/>
        </w:numPr>
        <w:rPr>
          <w:rFonts w:ascii="Arial" w:cs="Arial" w:eastAsia="Arial" w:hAnsi="Arial"/>
          <w:sz w:val="18"/>
          <w:szCs w:val="18"/>
          <w:color w:val="auto"/>
        </w:rPr>
      </w:pPr>
      <w:r>
        <w:rPr>
          <w:rFonts w:ascii="Arial" w:cs="Arial" w:eastAsia="Arial" w:hAnsi="Arial"/>
          <w:sz w:val="18"/>
          <w:szCs w:val="18"/>
          <w:color w:val="auto"/>
        </w:rPr>
        <w:t>Subject to bankruptcy and insolvency laws and general equitable principles, this Agreement is enforceable against the Company in accordance with its terms.</w:t>
      </w:r>
    </w:p>
    <w:p>
      <w:pPr>
        <w:spacing w:after="0" w:line="170" w:lineRule="exact"/>
        <w:rPr>
          <w:rFonts w:ascii="Arial" w:cs="Arial" w:eastAsia="Arial" w:hAnsi="Arial"/>
          <w:sz w:val="18"/>
          <w:szCs w:val="18"/>
          <w:color w:val="auto"/>
        </w:rPr>
      </w:pPr>
    </w:p>
    <w:p>
      <w:pPr>
        <w:ind w:right="20" w:firstLine="1305"/>
        <w:spacing w:after="0" w:line="308" w:lineRule="auto"/>
        <w:tabs>
          <w:tab w:leader="none" w:pos="1603" w:val="left"/>
        </w:tabs>
        <w:numPr>
          <w:ilvl w:val="2"/>
          <w:numId w:val="21"/>
        </w:numPr>
        <w:rPr>
          <w:rFonts w:ascii="Arial" w:cs="Arial" w:eastAsia="Arial" w:hAnsi="Arial"/>
          <w:sz w:val="17"/>
          <w:szCs w:val="17"/>
          <w:color w:val="auto"/>
        </w:rPr>
      </w:pPr>
      <w:r>
        <w:rPr>
          <w:rFonts w:ascii="Arial" w:cs="Arial" w:eastAsia="Arial" w:hAnsi="Arial"/>
          <w:sz w:val="17"/>
          <w:szCs w:val="17"/>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146" w:lineRule="exact"/>
        <w:rPr>
          <w:rFonts w:ascii="Arial" w:cs="Arial" w:eastAsia="Arial" w:hAnsi="Arial"/>
          <w:sz w:val="17"/>
          <w:szCs w:val="17"/>
          <w:color w:val="auto"/>
        </w:rPr>
      </w:pPr>
    </w:p>
    <w:p>
      <w:pPr>
        <w:ind w:right="200" w:firstLine="656"/>
        <w:spacing w:after="0" w:line="264" w:lineRule="auto"/>
        <w:tabs>
          <w:tab w:leader="none" w:pos="96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Withholding; Deductions</w:t>
      </w:r>
      <w:r>
        <w:rPr>
          <w:rFonts w:ascii="Arial" w:cs="Arial" w:eastAsia="Arial" w:hAnsi="Arial"/>
          <w:sz w:val="18"/>
          <w:szCs w:val="18"/>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80"/>
        <w:spacing w:after="0" w:line="272" w:lineRule="auto"/>
        <w:tabs>
          <w:tab w:leader="none" w:pos="1262" w:val="left"/>
        </w:tabs>
        <w:numPr>
          <w:ilvl w:val="1"/>
          <w:numId w:val="22"/>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77" w:lineRule="exact"/>
        <w:rPr>
          <w:rFonts w:ascii="Arial" w:cs="Arial" w:eastAsia="Arial" w:hAnsi="Arial"/>
          <w:sz w:val="17"/>
          <w:szCs w:val="17"/>
          <w:color w:val="auto"/>
        </w:rPr>
      </w:pPr>
    </w:p>
    <w:p>
      <w:pPr>
        <w:ind w:right="220" w:firstLine="980"/>
        <w:spacing w:after="0" w:line="277" w:lineRule="auto"/>
        <w:tabs>
          <w:tab w:leader="none" w:pos="12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purposes of Section 409A, each payment in a series of payments provided to Employee pursuant to this Agreement will be deemed a separate payment.</w:t>
      </w:r>
    </w:p>
    <w:p>
      <w:pPr>
        <w:spacing w:after="0" w:line="170" w:lineRule="exact"/>
        <w:rPr>
          <w:rFonts w:ascii="Arial" w:cs="Arial" w:eastAsia="Arial" w:hAnsi="Arial"/>
          <w:sz w:val="18"/>
          <w:szCs w:val="18"/>
          <w:color w:val="auto"/>
        </w:rPr>
      </w:pPr>
    </w:p>
    <w:p>
      <w:pPr>
        <w:jc w:val="both"/>
        <w:ind w:right="120" w:firstLine="980"/>
        <w:spacing w:after="0" w:line="264" w:lineRule="auto"/>
        <w:tabs>
          <w:tab w:leader="none" w:pos="12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Employee’s “separation from service” within the meaning of Treas.Reg.§1.409A-1(h) (or any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15" w:name="page16"/>
    <w:bookmarkEnd w:id="15"/>
    <w:p>
      <w:pPr>
        <w:ind w:right="100"/>
        <w:spacing w:after="0" w:line="289" w:lineRule="auto"/>
        <w:rPr>
          <w:sz w:val="20"/>
          <w:szCs w:val="20"/>
          <w:color w:val="auto"/>
        </w:rPr>
      </w:pPr>
      <w:r>
        <w:rPr>
          <w:rFonts w:ascii="Arial" w:cs="Arial" w:eastAsia="Arial" w:hAnsi="Arial"/>
          <w:sz w:val="16"/>
          <w:szCs w:val="16"/>
          <w:color w:val="auto"/>
        </w:rPr>
        <w:t>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 (6) month period. In the event Employee dies during that six (6) month period, the amounts deferred on account of Treas.Reg.§1.409A-3(i)(2) (or any successor provision) shall be paid to the personal representatives of Employee’s estate within sixty (60) days following Employee’s death. This provision shall not be construed as preventing payments to Employee pursuant to Paragraph 7 in the first six (6)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167" w:lineRule="exact"/>
        <w:rPr>
          <w:sz w:val="20"/>
          <w:szCs w:val="20"/>
          <w:color w:val="auto"/>
        </w:rPr>
      </w:pPr>
    </w:p>
    <w:p>
      <w:pPr>
        <w:ind w:firstLine="980"/>
        <w:spacing w:after="0" w:line="259" w:lineRule="auto"/>
        <w:tabs>
          <w:tab w:leader="none" w:pos="12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980"/>
        <w:spacing w:after="0" w:line="259" w:lineRule="auto"/>
        <w:tabs>
          <w:tab w:leader="none" w:pos="126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186" w:lineRule="exact"/>
        <w:rPr>
          <w:rFonts w:ascii="Arial" w:cs="Arial" w:eastAsia="Arial" w:hAnsi="Arial"/>
          <w:sz w:val="18"/>
          <w:szCs w:val="18"/>
          <w:color w:val="auto"/>
        </w:rPr>
      </w:pPr>
    </w:p>
    <w:p>
      <w:pPr>
        <w:ind w:right="40" w:firstLine="980"/>
        <w:spacing w:after="0" w:line="276" w:lineRule="auto"/>
        <w:tabs>
          <w:tab w:leader="none" w:pos="1272"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168" w:lineRule="exact"/>
        <w:rPr>
          <w:rFonts w:ascii="Arial" w:cs="Arial" w:eastAsia="Arial" w:hAnsi="Arial"/>
          <w:sz w:val="17"/>
          <w:szCs w:val="17"/>
          <w:color w:val="auto"/>
        </w:rPr>
      </w:pPr>
    </w:p>
    <w:p>
      <w:pPr>
        <w:ind w:right="140" w:firstLine="656"/>
        <w:spacing w:after="0" w:line="258" w:lineRule="auto"/>
        <w:tabs>
          <w:tab w:leader="none" w:pos="963"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TO SUE THE OTHER; RATHER, THE PARTIES ARE SIMPLY WAIVING THE RIGHT TO HAVE A JURY DECIDE THE CASE.</w:t>
      </w:r>
    </w:p>
    <w:p>
      <w:pPr>
        <w:spacing w:after="0" w:line="225" w:lineRule="exact"/>
        <w:rPr>
          <w:sz w:val="20"/>
          <w:szCs w:val="20"/>
          <w:color w:val="auto"/>
        </w:rPr>
      </w:pPr>
    </w:p>
    <w:p>
      <w:pPr>
        <w:ind w:firstLine="656"/>
        <w:spacing w:after="0" w:line="256" w:lineRule="auto"/>
        <w:tabs>
          <w:tab w:leader="none" w:pos="963"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DAMAGES</w:t>
      </w:r>
      <w:r>
        <w:rPr>
          <w:rFonts w:ascii="Arial" w:cs="Arial" w:eastAsia="Arial" w:hAnsi="Arial"/>
          <w:sz w:val="18"/>
          <w:szCs w:val="18"/>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PUNITIVE, EXEMPLARY, COMPENSATORY (OTHER THAN BASED ON ACTUAL ECONOMIC LOSS), EMOTIONAL DISTRESS, OR SPECIAL DAMAGES.</w:t>
      </w:r>
    </w:p>
    <w:p>
      <w:pPr>
        <w:spacing w:after="0" w:line="191" w:lineRule="exact"/>
        <w:rPr>
          <w:rFonts w:ascii="Arial" w:cs="Arial" w:eastAsia="Arial" w:hAnsi="Arial"/>
          <w:sz w:val="18"/>
          <w:szCs w:val="18"/>
          <w:color w:val="auto"/>
        </w:rPr>
      </w:pPr>
    </w:p>
    <w:p>
      <w:pPr>
        <w:ind w:right="20" w:firstLine="656"/>
        <w:spacing w:after="0" w:line="271" w:lineRule="auto"/>
        <w:tabs>
          <w:tab w:leader="none" w:pos="96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Jurisdiction; Costs</w:t>
      </w:r>
      <w:r>
        <w:rPr>
          <w:rFonts w:ascii="Arial" w:cs="Arial" w:eastAsia="Arial" w:hAnsi="Arial"/>
          <w:sz w:val="17"/>
          <w:szCs w:val="17"/>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(if different)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178" w:lineRule="exact"/>
        <w:rPr>
          <w:rFonts w:ascii="Arial" w:cs="Arial" w:eastAsia="Arial" w:hAnsi="Arial"/>
          <w:sz w:val="17"/>
          <w:szCs w:val="17"/>
          <w:color w:val="auto"/>
        </w:rPr>
      </w:pPr>
    </w:p>
    <w:p>
      <w:pPr>
        <w:ind w:right="960" w:firstLine="656"/>
        <w:spacing w:after="0" w:line="277" w:lineRule="auto"/>
        <w:tabs>
          <w:tab w:leader="none" w:pos="96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and enforced in accordance with the substantive law of the Commonwealth of Pennsylvania, without regard to any choice-of-law doctrines.</w:t>
      </w:r>
    </w:p>
    <w:p>
      <w:pPr>
        <w:spacing w:after="0" w:line="170" w:lineRule="exact"/>
        <w:rPr>
          <w:rFonts w:ascii="Arial" w:cs="Arial" w:eastAsia="Arial" w:hAnsi="Arial"/>
          <w:sz w:val="18"/>
          <w:szCs w:val="18"/>
          <w:color w:val="auto"/>
        </w:rPr>
      </w:pPr>
    </w:p>
    <w:p>
      <w:pPr>
        <w:ind w:right="200" w:firstLine="656"/>
        <w:spacing w:after="0" w:line="308" w:lineRule="auto"/>
        <w:tabs>
          <w:tab w:leader="none" w:pos="96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corporate_legal@comcast.com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Employee: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Employee’s residence address and personal e-mail address as most recently indicated in the Company’s records.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7" w:name="page18"/>
    <w:bookmarkEnd w:id="17"/>
    <w:p>
      <w:pPr>
        <w:jc w:val="both"/>
        <w:ind w:left="-120" w:firstLine="656"/>
        <w:spacing w:after="0" w:line="255" w:lineRule="auto"/>
        <w:tabs>
          <w:tab w:leader="none" w:pos="79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and 2 hereto) constitutes the entire agreement of the parties with respect to the subject matter hereof, and supersedes and replaces in its entirety the 2015 Agreement,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 Employee acknowledges and agrees that if Employee and the Company (or one of its affiliates) have entered into an Employee Assignment of Inventions and Intellectual Property Rights Agreement or similar agreement (the “IP Agreement”) with respect to intellectual property, the provisions of the IP Agreement shall govern and control with respect to the subject matter thereof.</w:t>
      </w:r>
    </w:p>
    <w:p>
      <w:pPr>
        <w:spacing w:after="0" w:line="189" w:lineRule="exact"/>
        <w:rPr>
          <w:rFonts w:ascii="Arial" w:cs="Arial" w:eastAsia="Arial" w:hAnsi="Arial"/>
          <w:sz w:val="18"/>
          <w:szCs w:val="18"/>
          <w:color w:val="auto"/>
        </w:rPr>
      </w:pPr>
    </w:p>
    <w:p>
      <w:pPr>
        <w:ind w:left="-120" w:right="160" w:firstLine="656"/>
        <w:spacing w:after="0" w:line="264" w:lineRule="auto"/>
        <w:tabs>
          <w:tab w:leader="none" w:pos="84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81" w:lineRule="exact"/>
        <w:rPr>
          <w:rFonts w:ascii="Arial" w:cs="Arial" w:eastAsia="Arial" w:hAnsi="Arial"/>
          <w:sz w:val="18"/>
          <w:szCs w:val="18"/>
          <w:color w:val="auto"/>
        </w:rPr>
      </w:pPr>
    </w:p>
    <w:p>
      <w:pPr>
        <w:ind w:left="-120" w:right="80" w:firstLine="656"/>
        <w:spacing w:after="0" w:line="259" w:lineRule="auto"/>
        <w:tabs>
          <w:tab w:leader="none" w:pos="79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186" w:lineRule="exact"/>
        <w:rPr>
          <w:rFonts w:ascii="Arial" w:cs="Arial" w:eastAsia="Arial" w:hAnsi="Arial"/>
          <w:sz w:val="18"/>
          <w:szCs w:val="18"/>
          <w:color w:val="auto"/>
        </w:rPr>
      </w:pPr>
    </w:p>
    <w:p>
      <w:pPr>
        <w:ind w:left="-120" w:right="380" w:firstLine="656"/>
        <w:spacing w:after="0" w:line="264" w:lineRule="auto"/>
        <w:tabs>
          <w:tab w:leader="none" w:pos="84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14605</wp:posOffset>
            </wp:positionV>
            <wp:extent cx="2889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9"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Date:</w:t>
        <w:tab/>
        <w:t>December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14605</wp:posOffset>
            </wp:positionV>
            <wp:extent cx="2889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Michael J. Cavanagh</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-130810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Date:</w:t>
        <w:tab/>
        <w:t>December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14605</wp:posOffset>
            </wp:positionV>
            <wp:extent cx="2889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60" w:top="544"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u w:val="single" w:color="auto"/>
          <w:color w:val="auto"/>
        </w:rPr>
        <w:t>SCHEDULE 1 TO EMPLOYMENT AGREEMENT WITH MICHAEL J. CAVANAGH</w:t>
      </w:r>
    </w:p>
    <w:p>
      <w:pPr>
        <w:spacing w:after="0" w:line="225" w:lineRule="exact"/>
        <w:rPr>
          <w:sz w:val="20"/>
          <w:szCs w:val="20"/>
          <w:color w:val="auto"/>
        </w:rPr>
      </w:pPr>
    </w:p>
    <w:p>
      <w:pPr>
        <w:ind w:left="1500" w:right="5500" w:hanging="1492"/>
        <w:spacing w:after="0" w:line="293" w:lineRule="auto"/>
        <w:tabs>
          <w:tab w:leader="none" w:pos="6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Position: Senior Executive Vice President and Chief Financial Officer, Comcast Corporation</w:t>
      </w:r>
    </w:p>
    <w:p>
      <w:pPr>
        <w:spacing w:after="0" w:line="156"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 $2,300,000</w:t>
      </w:r>
    </w:p>
    <w:p>
      <w:pPr>
        <w:spacing w:after="0" w:line="225" w:lineRule="exact"/>
        <w:rPr>
          <w:rFonts w:ascii="Arial" w:cs="Arial" w:eastAsia="Arial" w:hAnsi="Arial"/>
          <w:sz w:val="18"/>
          <w:szCs w:val="18"/>
          <w:color w:val="auto"/>
        </w:rPr>
      </w:pPr>
    </w:p>
    <w:p>
      <w:pPr>
        <w:ind w:left="660" w:right="44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Bonus. Target bonus potential under the Cash Bonus Plan: 300% of eligible earnings (</w:t>
      </w:r>
      <w:r>
        <w:rPr>
          <w:rFonts w:ascii="Arial" w:cs="Arial" w:eastAsia="Arial" w:hAnsi="Arial"/>
          <w:sz w:val="18"/>
          <w:szCs w:val="18"/>
          <w:u w:val="single" w:color="auto"/>
          <w:color w:val="auto"/>
        </w:rPr>
        <w:t>i.e.</w:t>
      </w:r>
      <w:r>
        <w:rPr>
          <w:rFonts w:ascii="Arial" w:cs="Arial" w:eastAsia="Arial" w:hAnsi="Arial"/>
          <w:sz w:val="18"/>
          <w:szCs w:val="18"/>
          <w:color w:val="auto"/>
        </w:rPr>
        <w:t>, the amount of Base Salary actually paid and/or deferred in the applicable period).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 and Health and Welfare Benefits Continuation Period following Termination Without Cause or Resignation With Good Reason: Twenty-four (24) months.</w:t>
      </w:r>
    </w:p>
    <w:p>
      <w:pPr>
        <w:spacing w:after="0" w:line="170" w:lineRule="exact"/>
        <w:rPr>
          <w:rFonts w:ascii="Arial" w:cs="Arial" w:eastAsia="Arial" w:hAnsi="Arial"/>
          <w:sz w:val="18"/>
          <w:szCs w:val="18"/>
          <w:color w:val="auto"/>
        </w:rPr>
      </w:pPr>
    </w:p>
    <w:p>
      <w:pPr>
        <w:ind w:left="660" w:right="10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Stock and Stock Option Plan Grants Continued Vesting Period following Termination Without Cause or Resignation With Good Reason: Twelve (12) months. Stock Option Plan Grants Continued Exercisability Period following Termination Without Cause or Resignation With Good Reason: the lesser of fifteen (15) months or the end of the stock option’s term.</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u w:val="single" w:color="auto"/>
          <w:color w:val="auto"/>
        </w:rPr>
        <w:t>SCHEDULE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LIMITED EXCLUSION NOTIFICATION</w:t>
      </w:r>
    </w:p>
    <w:p>
      <w:pPr>
        <w:spacing w:after="0" w:line="221"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THIS IS TO NOTIFY </w:t>
      </w:r>
      <w:r>
        <w:rPr>
          <w:rFonts w:ascii="Arial" w:cs="Arial" w:eastAsia="Arial" w:hAnsi="Arial"/>
          <w:sz w:val="18"/>
          <w:szCs w:val="18"/>
          <w:color w:val="auto"/>
        </w:rPr>
        <w:t>Employee in accordance with Section 2872 of the California Labor Code that this Agreement</w:t>
      </w:r>
      <w:r>
        <w:rPr>
          <w:rFonts w:ascii="Arial" w:cs="Arial" w:eastAsia="Arial" w:hAnsi="Arial"/>
          <w:sz w:val="18"/>
          <w:szCs w:val="18"/>
          <w:b w:val="1"/>
          <w:bCs w:val="1"/>
          <w:color w:val="auto"/>
        </w:rPr>
        <w:t xml:space="preserve"> does not </w:t>
      </w:r>
      <w:r>
        <w:rPr>
          <w:rFonts w:ascii="Arial" w:cs="Arial" w:eastAsia="Arial" w:hAnsi="Arial"/>
          <w:sz w:val="18"/>
          <w:szCs w:val="18"/>
          <w:color w:val="auto"/>
        </w:rPr>
        <w:t>require Employee to assign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 to assign to the Company any invention that Employee developed entirely on Employee’s own time </w:t>
      </w:r>
      <w:r>
        <w:rPr>
          <w:rFonts w:ascii="Arial" w:cs="Arial" w:eastAsia="Arial" w:hAnsi="Arial"/>
          <w:sz w:val="18"/>
          <w:szCs w:val="18"/>
          <w:b w:val="1"/>
          <w:bCs w:val="1"/>
          <w:color w:val="auto"/>
        </w:rPr>
        <w:t>without using</w:t>
      </w:r>
      <w:r>
        <w:rPr>
          <w:rFonts w:ascii="Arial" w:cs="Arial" w:eastAsia="Arial" w:hAnsi="Arial"/>
          <w:sz w:val="18"/>
          <w:szCs w:val="18"/>
          <w:color w:val="auto"/>
        </w:rPr>
        <w:t xml:space="preserve"> the Company’s equipment, supplies, facilities or trade secret information </w:t>
      </w:r>
      <w:r>
        <w:rPr>
          <w:rFonts w:ascii="Arial" w:cs="Arial" w:eastAsia="Arial" w:hAnsi="Arial"/>
          <w:sz w:val="18"/>
          <w:szCs w:val="18"/>
          <w:b w:val="1"/>
          <w:bCs w:val="1"/>
          <w:color w:val="auto"/>
        </w:rPr>
        <w:t>except for</w:t>
      </w:r>
      <w:r>
        <w:rPr>
          <w:rFonts w:ascii="Arial" w:cs="Arial" w:eastAsia="Arial" w:hAnsi="Arial"/>
          <w:sz w:val="18"/>
          <w:szCs w:val="18"/>
          <w:color w:val="auto"/>
        </w:rPr>
        <w:t xml:space="preserve"> those inventions that </w:t>
      </w:r>
      <w:r>
        <w:rPr>
          <w:rFonts w:ascii="Arial" w:cs="Arial" w:eastAsia="Arial" w:hAnsi="Arial"/>
          <w:sz w:val="18"/>
          <w:szCs w:val="18"/>
          <w:b w:val="1"/>
          <w:bCs w:val="1"/>
          <w:color w:val="auto"/>
        </w:rPr>
        <w:t>either:</w:t>
      </w:r>
    </w:p>
    <w:p>
      <w:pPr>
        <w:spacing w:after="0" w:line="180" w:lineRule="exact"/>
        <w:rPr>
          <w:sz w:val="20"/>
          <w:szCs w:val="20"/>
          <w:color w:val="auto"/>
        </w:rPr>
      </w:pPr>
    </w:p>
    <w:p>
      <w:pPr>
        <w:ind w:left="980" w:right="4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Company’s business, or actual demonstrably anticipated research or development of the Company;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 from any work performed by you for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54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1."/>
      <w:numFmt w:val="decimal"/>
      <w:start w:val="1"/>
    </w:lvl>
    <w:lvl w:ilvl="1">
      <w:lvlJc w:val="left"/>
      <w:lvlText w:val="(%2)"/>
      <w:numFmt w:val="lowerLetter"/>
      <w:start w:val="1"/>
    </w:lvl>
  </w:abstractNum>
  <w:abstractNum w:abstractNumId="2">
    <w:nsid w:val="41A7C4C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
    <w:nsid w:val="6B68079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
    <w:nsid w:val="4E6AFB66"/>
    <w:multiLevelType w:val="hybridMultilevel"/>
    <w:lvl w:ilvl="0">
      <w:lvlJc w:val="left"/>
      <w:lvlText w:val="%1"/>
      <w:numFmt w:val="lowerLetter"/>
      <w:start w:val="1"/>
    </w:lvl>
    <w:lvl w:ilvl="1">
      <w:lvlJc w:val="left"/>
      <w:lvlText w:val="(%2)"/>
      <w:numFmt w:val="lowerLetter"/>
      <w:start w:val="35"/>
    </w:lvl>
  </w:abstractNum>
  <w:abstractNum w:abstractNumId="5">
    <w:nsid w:val="25E45D32"/>
    <w:multiLevelType w:val="hybridMultilevel"/>
    <w:lvl w:ilvl="0">
      <w:lvlJc w:val="left"/>
      <w:lvlText w:val="(%1)"/>
      <w:numFmt w:val="lowerLetter"/>
      <w:start w:val="4"/>
    </w:lvl>
    <w:lvl w:ilvl="1">
      <w:lvlJc w:val="left"/>
      <w:lvlText w:val="(%2)"/>
      <w:numFmt w:val="lowerLetter"/>
      <w:start w:val="9"/>
    </w:lvl>
  </w:abstractNum>
  <w:abstractNum w:abstractNumId="6">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
    <w:nsid w:val="431BD7B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8">
    <w:nsid w:val="3F2DBA31"/>
    <w:multiLevelType w:val="hybridMultilevel"/>
    <w:lvl w:ilvl="0">
      <w:lvlJc w:val="left"/>
      <w:lvlText w:val="(%1)"/>
      <w:numFmt w:val="lowerLetter"/>
      <w:start w:val="2"/>
    </w:lvl>
    <w:lvl w:ilvl="1">
      <w:lvlJc w:val="left"/>
      <w:lvlText w:val="(%2)"/>
      <w:numFmt w:val="lowerRoman"/>
      <w:start w:val="1"/>
    </w:lvl>
  </w:abstractNum>
  <w:abstractNum w:abstractNumId="9">
    <w:nsid w:val="7C83E458"/>
    <w:multiLevelType w:val="hybridMultilevel"/>
    <w:lvl w:ilvl="0">
      <w:lvlJc w:val="left"/>
      <w:lvlText w:val="(%1)"/>
      <w:numFmt w:val="lowerRoman"/>
      <w:start w:val="3"/>
    </w:lvl>
  </w:abstractNum>
  <w:abstractNum w:abstractNumId="10">
    <w:nsid w:val="257130A3"/>
    <w:multiLevelType w:val="hybridMultilevel"/>
    <w:lvl w:ilvl="0">
      <w:lvlJc w:val="left"/>
      <w:lvlText w:val="(%1)"/>
      <w:numFmt w:val="lowerRoman"/>
      <w:start w:val="5"/>
    </w:lvl>
  </w:abstractNum>
  <w:abstractNum w:abstractNumId="11">
    <w:nsid w:val="62BBD95A"/>
    <w:multiLevelType w:val="hybridMultilevel"/>
    <w:lvl w:ilvl="0">
      <w:lvlJc w:val="left"/>
      <w:lvlText w:val="%1"/>
      <w:numFmt w:val="decimal"/>
      <w:start w:val="1"/>
    </w:lvl>
    <w:lvl w:ilvl="1">
      <w:lvlJc w:val="left"/>
      <w:lvlText w:val="(%2)"/>
      <w:numFmt w:val="lowerRoman"/>
      <w:start w:val="5"/>
    </w:lvl>
  </w:abstractNum>
  <w:abstractNum w:abstractNumId="12">
    <w:nsid w:val="436C6125"/>
    <w:multiLevelType w:val="hybridMultilevel"/>
    <w:lvl w:ilvl="0">
      <w:lvlJc w:val="left"/>
      <w:lvlText w:val="%1."/>
      <w:numFmt w:val="decimal"/>
      <w:start w:val="8"/>
    </w:lvl>
    <w:lvl w:ilvl="1">
      <w:lvlJc w:val="left"/>
      <w:lvlText w:val="%2"/>
      <w:numFmt w:val="lowerRoman"/>
      <w:start w:val="1"/>
    </w:lvl>
  </w:abstractNum>
  <w:abstractNum w:abstractNumId="13">
    <w:nsid w:val="628C895D"/>
    <w:multiLevelType w:val="hybridMultilevel"/>
    <w:lvl w:ilvl="0">
      <w:lvlJc w:val="left"/>
      <w:lvlText w:val="(%1)"/>
      <w:numFmt w:val="lowerLetter"/>
      <w:start w:val="1"/>
    </w:lvl>
    <w:lvl w:ilvl="1">
      <w:lvlJc w:val="left"/>
      <w:lvlText w:val="(%2)"/>
      <w:numFmt w:val="lowerRoman"/>
      <w:start w:val="2"/>
    </w:lvl>
  </w:abstractNum>
  <w:abstractNum w:abstractNumId="14">
    <w:nsid w:val="333AB105"/>
    <w:multiLevelType w:val="hybridMultilevel"/>
    <w:lvl w:ilvl="0">
      <w:lvlJc w:val="left"/>
      <w:lvlText w:val="(%1)"/>
      <w:numFmt w:val="lowerLetter"/>
      <w:start w:val="4"/>
    </w:lvl>
  </w:abstractNum>
  <w:abstractNum w:abstractNumId="15">
    <w:nsid w:val="721DA317"/>
    <w:multiLevelType w:val="hybridMultilevel"/>
    <w:lvl w:ilvl="0">
      <w:lvlJc w:val="left"/>
      <w:lvlText w:val="(%1)"/>
      <w:numFmt w:val="lowerLetter"/>
      <w:start w:val="5"/>
    </w:lvl>
  </w:abstractNum>
  <w:abstractNum w:abstractNumId="16">
    <w:nsid w:val="2443A858"/>
    <w:multiLevelType w:val="hybridMultilevel"/>
    <w:lvl w:ilvl="0">
      <w:lvlJc w:val="left"/>
      <w:lvlText w:val="%1."/>
      <w:numFmt w:val="decimal"/>
      <w:start w:val="9"/>
    </w:lvl>
    <w:lvl w:ilvl="1">
      <w:lvlJc w:val="left"/>
      <w:lvlText w:val="(%2)"/>
      <w:numFmt w:val="lowerLetter"/>
      <w:start w:val="1"/>
    </w:lvl>
  </w:abstractNum>
  <w:abstractNum w:abstractNumId="17">
    <w:nsid w:val="2D1D5AE9"/>
    <w:multiLevelType w:val="hybridMultilevel"/>
    <w:lvl w:ilvl="0">
      <w:lvlJc w:val="left"/>
      <w:lvlText w:val="%1"/>
      <w:numFmt w:val="decimal"/>
      <w:start w:val="1"/>
    </w:lvl>
    <w:lvl w:ilvl="1">
      <w:lvlJc w:val="left"/>
      <w:lvlText w:val="(%2)"/>
      <w:numFmt w:val="lowerLetter"/>
      <w:start w:val="3"/>
    </w:lvl>
  </w:abstractNum>
  <w:abstractNum w:abstractNumId="18">
    <w:nsid w:val="6763845E"/>
    <w:multiLevelType w:val="hybridMultilevel"/>
    <w:lvl w:ilvl="0">
      <w:lvlJc w:val="left"/>
      <w:lvlText w:val="%1."/>
      <w:numFmt w:val="decimal"/>
      <w:start w:val="11"/>
    </w:lvl>
    <w:lvl w:ilvl="1">
      <w:lvlJc w:val="left"/>
      <w:lvlText w:val="(%2)"/>
      <w:numFmt w:val="lowerLetter"/>
      <w:start w:val="1"/>
    </w:lvl>
  </w:abstractNum>
  <w:abstractNum w:abstractNumId="19">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0">
    <w:nsid w:val="8EDBD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
    <w:nsid w:val="79838CB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2">
    <w:nsid w:val="4353D0CD"/>
    <w:multiLevelType w:val="hybridMultilevel"/>
    <w:lvl w:ilvl="0">
      <w:lvlJc w:val="left"/>
      <w:lvlText w:val="%1"/>
      <w:numFmt w:val="decimal"/>
      <w:start w:val="1"/>
    </w:lvl>
    <w:lvl w:ilvl="1">
      <w:lvlJc w:val="left"/>
      <w:lvlText w:val="(%2)"/>
      <w:numFmt w:val="lowerLetter"/>
      <w:start w:val="4"/>
    </w:lvl>
  </w:abstractNum>
  <w:abstractNum w:abstractNumId="23">
    <w:nsid w:val="B03E0C6"/>
    <w:multiLevelType w:val="hybridMultilevel"/>
    <w:lvl w:ilvl="0">
      <w:lvlJc w:val="left"/>
      <w:lvlText w:val="%1."/>
      <w:numFmt w:val="decimal"/>
      <w:start w:val="14"/>
    </w:lvl>
    <w:lvl w:ilvl="1">
      <w:lvlJc w:val="left"/>
      <w:lvlText w:val="(%2)"/>
      <w:numFmt w:val="lowerLetter"/>
      <w:start w:val="1"/>
    </w:lvl>
  </w:abstractNum>
  <w:abstractNum w:abstractNumId="24">
    <w:nsid w:val="189A769B"/>
    <w:multiLevelType w:val="hybridMultilevel"/>
    <w:lvl w:ilvl="0">
      <w:lvlJc w:val="left"/>
      <w:lvlText w:val="%1."/>
      <w:numFmt w:val="decimal"/>
      <w:start w:val="16"/>
    </w:lvl>
  </w:abstractNum>
  <w:abstractNum w:abstractNumId="25">
    <w:nsid w:val="54E49EB4"/>
    <w:multiLevelType w:val="hybridMultilevel"/>
    <w:lvl w:ilvl="0">
      <w:lvlJc w:val="left"/>
      <w:lvlText w:val="%1."/>
      <w:numFmt w:val="decimal"/>
      <w:start w:val="20"/>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2019-12-28T17:16:49Z</dcterms:created>
  <dcterms:modified xsi:type="dcterms:W3CDTF">2019-12-28T17:16:49Z</dcterms:modified>
</cp:coreProperties>
</file>