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33,530.63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27,957.63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acquired on the vesting of restricted stock units.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Shares withheld for payment of tax liability.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3. Each restricted share represents a contigent right to receive one share of Class A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4. The restricted stock units vest in installments of 20% on the 1st, 2nd, 3rd, 4th and 5th anniversaries of the date of grant, respectively.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Salva, Lawrence J.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04/30/2007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-3507740</wp:posOffset>
            </wp:positionV>
            <wp:extent cx="24765" cy="2114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2019-12-18T09:55:41Z</dcterms:created>
  <dcterms:modified xsi:type="dcterms:W3CDTF">2019-12-18T09:55:41Z</dcterms:modified>
</cp:coreProperties>
</file>