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 October 30, 2013</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(State or Other Jurisdiction of Incorporation)</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120" w:type="dxa"/>
            <w:vAlign w:val="bottom"/>
            <w:gridSpan w:val="3"/>
          </w:tcPr>
          <w:p>
            <w:pPr>
              <w:jc w:val="center"/>
              <w:ind w:right="2421"/>
              <w:spacing w:after="0"/>
              <w:rPr>
                <w:sz w:val="20"/>
                <w:szCs w:val="20"/>
                <w:color w:val="auto"/>
              </w:rPr>
            </w:pPr>
            <w:r>
              <w:rPr>
                <w:rFonts w:ascii="Arial" w:cs="Arial" w:eastAsia="Arial" w:hAnsi="Arial"/>
                <w:sz w:val="18"/>
                <w:szCs w:val="18"/>
                <w:b w:val="1"/>
                <w:bCs w:val="1"/>
                <w:color w:val="auto"/>
                <w:w w:val="90"/>
              </w:rPr>
              <w:t>001-32871</w:t>
            </w:r>
          </w:p>
        </w:tc>
        <w:tc>
          <w:tcPr>
            <w:tcW w:w="384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27-0000798</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80" w:type="dxa"/>
            <w:vAlign w:val="bottom"/>
          </w:tcPr>
          <w:p>
            <w:pPr>
              <w:jc w:val="center"/>
              <w:ind w:right="3761"/>
              <w:spacing w:after="0"/>
              <w:rPr>
                <w:sz w:val="20"/>
                <w:szCs w:val="20"/>
                <w:color w:val="auto"/>
              </w:rPr>
            </w:pPr>
            <w:r>
              <w:rPr>
                <w:rFonts w:ascii="Arial" w:cs="Arial" w:eastAsia="Arial" w:hAnsi="Arial"/>
                <w:sz w:val="14"/>
                <w:szCs w:val="14"/>
                <w:color w:val="auto"/>
                <w:w w:val="94"/>
              </w:rPr>
              <w:t>(Commission File Number)</w:t>
            </w:r>
          </w:p>
        </w:tc>
        <w:tc>
          <w:tcPr>
            <w:tcW w:w="3840" w:type="dxa"/>
            <w:vAlign w:val="bottom"/>
          </w:tcPr>
          <w:p>
            <w:pPr>
              <w:jc w:val="center"/>
              <w:ind w:right="173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426"/>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jc w:val="center"/>
              <w:ind w:right="3761"/>
              <w:spacing w:after="0"/>
              <w:rPr>
                <w:sz w:val="20"/>
                <w:szCs w:val="20"/>
                <w:color w:val="auto"/>
              </w:rPr>
            </w:pPr>
            <w:r>
              <w:rPr>
                <w:rFonts w:ascii="Arial" w:cs="Arial" w:eastAsia="Arial" w:hAnsi="Arial"/>
                <w:sz w:val="18"/>
                <w:szCs w:val="18"/>
                <w:b w:val="1"/>
                <w:bCs w:val="1"/>
                <w:color w:val="auto"/>
                <w:w w:val="90"/>
              </w:rPr>
              <w:t>One Comcast Center</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jc w:val="center"/>
              <w:ind w:right="3761"/>
              <w:spacing w:after="0"/>
              <w:rPr>
                <w:sz w:val="20"/>
                <w:szCs w:val="20"/>
                <w:color w:val="auto"/>
              </w:rPr>
            </w:pPr>
            <w:r>
              <w:rPr>
                <w:rFonts w:ascii="Arial" w:cs="Arial" w:eastAsia="Arial" w:hAnsi="Arial"/>
                <w:sz w:val="18"/>
                <w:szCs w:val="18"/>
                <w:b w:val="1"/>
                <w:bCs w:val="1"/>
                <w:color w:val="auto"/>
                <w:w w:val="92"/>
              </w:rPr>
              <w:t>Philadelphia, PA</w:t>
            </w:r>
          </w:p>
        </w:tc>
        <w:tc>
          <w:tcPr>
            <w:tcW w:w="3840" w:type="dxa"/>
            <w:vAlign w:val="bottom"/>
          </w:tcPr>
          <w:p>
            <w:pPr>
              <w:jc w:val="center"/>
              <w:ind w:right="1759"/>
              <w:spacing w:after="0"/>
              <w:rPr>
                <w:sz w:val="20"/>
                <w:szCs w:val="20"/>
                <w:color w:val="auto"/>
              </w:rPr>
            </w:pPr>
            <w:r>
              <w:rPr>
                <w:rFonts w:ascii="Arial" w:cs="Arial" w:eastAsia="Arial" w:hAnsi="Arial"/>
                <w:sz w:val="18"/>
                <w:szCs w:val="18"/>
                <w:b w:val="1"/>
                <w:bCs w:val="1"/>
                <w:color w:val="auto"/>
                <w:w w:val="91"/>
              </w:rPr>
              <w:t>19103-2838</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20" w:type="dxa"/>
            <w:vAlign w:val="bottom"/>
            <w:gridSpan w:val="2"/>
          </w:tcPr>
          <w:p>
            <w:pPr>
              <w:jc w:val="center"/>
              <w:ind w:right="3521"/>
              <w:spacing w:after="0"/>
              <w:rPr>
                <w:sz w:val="20"/>
                <w:szCs w:val="20"/>
                <w:color w:val="auto"/>
              </w:rPr>
            </w:pPr>
            <w:r>
              <w:rPr>
                <w:rFonts w:ascii="Arial" w:cs="Arial" w:eastAsia="Arial" w:hAnsi="Arial"/>
                <w:sz w:val="14"/>
                <w:szCs w:val="14"/>
                <w:color w:val="auto"/>
                <w:w w:val="95"/>
              </w:rPr>
              <w:t>(Address of Principal Executive Offices)</w:t>
            </w:r>
          </w:p>
        </w:tc>
        <w:tc>
          <w:tcPr>
            <w:tcW w:w="3840" w:type="dxa"/>
            <w:vAlign w:val="bottom"/>
          </w:tcPr>
          <w:p>
            <w:pPr>
              <w:jc w:val="center"/>
              <w:ind w:right="175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2"/>
          </w:tcPr>
          <w:p>
            <w:pPr>
              <w:jc w:val="center"/>
              <w:ind w:right="1779"/>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c>
          <w:tcPr>
            <w:tcW w:w="0" w:type="dxa"/>
            <w:vAlign w:val="bottom"/>
          </w:tcPr>
          <w:p>
            <w:pPr>
              <w:spacing w:after="0"/>
              <w:rPr>
                <w:sz w:val="1"/>
                <w:szCs w:val="1"/>
                <w:color w:val="auto"/>
              </w:rPr>
            </w:pPr>
          </w:p>
        </w:tc>
      </w:tr>
      <w:tr>
        <w:trPr>
          <w:trHeight w:val="393"/>
        </w:trPr>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jc w:val="center"/>
              <w:ind w:left="1901"/>
              <w:spacing w:after="0"/>
              <w:rPr>
                <w:sz w:val="20"/>
                <w:szCs w:val="20"/>
                <w:color w:val="auto"/>
              </w:rPr>
            </w:pPr>
            <w:r>
              <w:rPr>
                <w:rFonts w:ascii="Arial" w:cs="Arial" w:eastAsia="Arial" w:hAnsi="Arial"/>
                <w:sz w:val="14"/>
                <w:szCs w:val="14"/>
                <w:color w:val="auto"/>
                <w:w w:val="93"/>
              </w:rPr>
              <w:t>(Former Name or Former Address, if Changed Since Last Report)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60" w:type="dxa"/>
            <w:vAlign w:val="bottom"/>
            <w:gridSpan w:val="5"/>
          </w:tcPr>
          <w:p>
            <w:pPr>
              <w:ind w:left="340"/>
              <w:spacing w:after="0"/>
              <w:rPr>
                <w:sz w:val="20"/>
                <w:szCs w:val="20"/>
                <w:color w:val="auto"/>
              </w:rPr>
            </w:pPr>
            <w:r>
              <w:rPr>
                <w:rFonts w:ascii="Arial" w:cs="Arial" w:eastAsia="Arial" w:hAnsi="Arial"/>
                <w:sz w:val="18"/>
                <w:szCs w:val="18"/>
                <w:color w:val="auto"/>
                <w:w w:val="97"/>
              </w:rPr>
              <w:t>Check the appropriate box below if the Form 8-K filing is intended to simultaneously satisfy the filing obligation of the registrant under any of the</w:t>
            </w:r>
          </w:p>
        </w:tc>
        <w:tc>
          <w:tcPr>
            <w:tcW w:w="0" w:type="dxa"/>
            <w:vAlign w:val="bottom"/>
          </w:tcPr>
          <w:p>
            <w:pPr>
              <w:spacing w:after="0"/>
              <w:rPr>
                <w:sz w:val="1"/>
                <w:szCs w:val="1"/>
                <w:color w:val="auto"/>
              </w:rPr>
            </w:pPr>
          </w:p>
        </w:tc>
      </w:tr>
      <w:tr>
        <w:trPr>
          <w:trHeight w:val="190"/>
        </w:trPr>
        <w:tc>
          <w:tcPr>
            <w:tcW w:w="7620" w:type="dxa"/>
            <w:vAlign w:val="bottom"/>
            <w:gridSpan w:val="4"/>
          </w:tcPr>
          <w:p>
            <w:pPr>
              <w:spacing w:after="0" w:line="190" w:lineRule="exact"/>
              <w:rPr>
                <w:sz w:val="20"/>
                <w:szCs w:val="20"/>
                <w:color w:val="auto"/>
              </w:rPr>
            </w:pPr>
            <w:r>
              <w:rPr>
                <w:rFonts w:ascii="Arial" w:cs="Arial" w:eastAsia="Arial" w:hAnsi="Arial"/>
                <w:sz w:val="18"/>
                <w:szCs w:val="18"/>
                <w:color w:val="auto"/>
              </w:rPr>
              <w:t>following provisions (see General Instruction A.2. below):</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ind w:left="340"/>
              <w:spacing w:after="0"/>
              <w:rPr>
                <w:sz w:val="20"/>
                <w:szCs w:val="20"/>
                <w:color w:val="auto"/>
              </w:rPr>
            </w:pPr>
            <w:r>
              <w:rPr>
                <w:rFonts w:ascii="Arial" w:cs="Arial" w:eastAsia="Arial" w:hAnsi="Arial"/>
                <w:sz w:val="22"/>
                <w:szCs w:val="22"/>
                <w:color w:val="auto"/>
              </w:rPr>
              <w:t>£</w:t>
            </w: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00" w:type="dxa"/>
            <w:vAlign w:val="bottom"/>
            <w:vMerge w:val="continue"/>
          </w:tcPr>
          <w:p>
            <w:pPr>
              <w:spacing w:after="0"/>
              <w:rPr>
                <w:sz w:val="24"/>
                <w:szCs w:val="24"/>
                <w:color w:val="auto"/>
              </w:rPr>
            </w:pPr>
          </w:p>
        </w:tc>
        <w:tc>
          <w:tcPr>
            <w:tcW w:w="7120" w:type="dxa"/>
            <w:vAlign w:val="bottom"/>
            <w:gridSpan w:val="3"/>
          </w:tcPr>
          <w:p>
            <w:pPr>
              <w:ind w:left="80"/>
              <w:spacing w:after="0"/>
              <w:rPr>
                <w:sz w:val="20"/>
                <w:szCs w:val="20"/>
                <w:color w:val="auto"/>
              </w:rPr>
            </w:pPr>
            <w:r>
              <w:rPr>
                <w:rFonts w:ascii="Arial" w:cs="Arial" w:eastAsia="Arial" w:hAnsi="Arial"/>
                <w:sz w:val="18"/>
                <w:szCs w:val="18"/>
                <w:color w:val="auto"/>
                <w:w w:val="98"/>
              </w:rPr>
              <w:t>Written communications pursuant to Rule 425 under the Securities Act (17 CFR 230.425)</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7120" w:type="dxa"/>
            <w:vAlign w:val="bottom"/>
            <w:gridSpan w:val="3"/>
          </w:tcPr>
          <w:p>
            <w:pPr>
              <w:ind w:left="80"/>
              <w:spacing w:after="0"/>
              <w:rPr>
                <w:sz w:val="20"/>
                <w:szCs w:val="20"/>
                <w:color w:val="auto"/>
              </w:rPr>
            </w:pPr>
            <w:r>
              <w:rPr>
                <w:rFonts w:ascii="Arial" w:cs="Arial" w:eastAsia="Arial" w:hAnsi="Arial"/>
                <w:sz w:val="18"/>
                <w:szCs w:val="18"/>
                <w:color w:val="auto"/>
                <w:w w:val="98"/>
              </w:rPr>
              <w:t>Soliciting material pursuant to Rule 14a-12 under the Exchange Act (17 CFR 240.14a-12)</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c>
          <w:tcPr>
            <w:tcW w:w="0" w:type="dxa"/>
            <w:vAlign w:val="bottom"/>
          </w:tcPr>
          <w:p>
            <w:pPr>
              <w:spacing w:after="0"/>
              <w:rPr>
                <w:sz w:val="1"/>
                <w:szCs w:val="1"/>
                <w:color w:val="auto"/>
              </w:rPr>
            </w:pPr>
          </w:p>
        </w:tc>
      </w:tr>
      <w:tr>
        <w:trPr>
          <w:trHeight w:val="351"/>
        </w:trPr>
        <w:tc>
          <w:tcPr>
            <w:tcW w:w="500" w:type="dxa"/>
            <w:vAlign w:val="bottom"/>
          </w:tcPr>
          <w:p>
            <w:pPr>
              <w:ind w:left="340"/>
              <w:spacing w:after="0"/>
              <w:rPr>
                <w:sz w:val="20"/>
                <w:szCs w:val="20"/>
                <w:color w:val="auto"/>
              </w:rPr>
            </w:pPr>
            <w:r>
              <w:rPr>
                <w:rFonts w:ascii="Arial" w:cs="Arial" w:eastAsia="Arial" w:hAnsi="Arial"/>
                <w:sz w:val="22"/>
                <w:szCs w:val="22"/>
                <w:color w:val="auto"/>
              </w:rPr>
              <w:t>£</w:t>
            </w:r>
          </w:p>
        </w:tc>
        <w:tc>
          <w:tcPr>
            <w:tcW w:w="10960" w:type="dxa"/>
            <w:vAlign w:val="bottom"/>
            <w:gridSpan w:val="4"/>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c>
          <w:tcPr>
            <w:tcW w:w="0" w:type="dxa"/>
            <w:vAlign w:val="bottom"/>
          </w:tcPr>
          <w:p>
            <w:pPr>
              <w:spacing w:after="0"/>
              <w:rPr>
                <w:sz w:val="1"/>
                <w:szCs w:val="1"/>
                <w:color w:val="auto"/>
              </w:rPr>
            </w:pPr>
          </w:p>
        </w:tc>
      </w:tr>
      <w:tr>
        <w:trPr>
          <w:trHeight w:val="338"/>
        </w:trPr>
        <w:tc>
          <w:tcPr>
            <w:tcW w:w="50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780" w:type="dxa"/>
            <w:vAlign w:val="bottom"/>
            <w:tcBorders>
              <w:bottom w:val="single" w:sz="8" w:color="010101"/>
            </w:tcBorders>
          </w:tcPr>
          <w:p>
            <w:pPr>
              <w:spacing w:after="0"/>
              <w:rPr>
                <w:sz w:val="24"/>
                <w:szCs w:val="24"/>
                <w:color w:val="auto"/>
              </w:rPr>
            </w:pPr>
          </w:p>
        </w:tc>
        <w:tc>
          <w:tcPr>
            <w:tcW w:w="38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ind w:right="40"/>
        <w:spacing w:after="0" w:line="272" w:lineRule="auto"/>
        <w:rPr>
          <w:sz w:val="20"/>
          <w:szCs w:val="20"/>
          <w:color w:val="auto"/>
        </w:rPr>
      </w:pPr>
      <w:r>
        <w:rPr>
          <w:rFonts w:ascii="Arial" w:cs="Arial" w:eastAsia="Arial" w:hAnsi="Arial"/>
          <w:sz w:val="17"/>
          <w:szCs w:val="17"/>
          <w:color w:val="auto"/>
        </w:rPr>
        <w:t>On October 30, 2013, Comcast Corporation (“Comcast”) issued a press release reporting the results of its operations for the three and nine months ended September 30, 2013.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1"/>
              </w:rPr>
              <w:t>Item 9.01. Exhibits</w:t>
            </w:r>
          </w:p>
        </w:tc>
        <w:tc>
          <w:tcPr>
            <w:tcW w:w="900" w:type="dxa"/>
            <w:vAlign w:val="bottom"/>
          </w:tcPr>
          <w:p>
            <w:pPr>
              <w:spacing w:after="0"/>
              <w:rPr>
                <w:sz w:val="20"/>
                <w:szCs w:val="20"/>
                <w:color w:val="auto"/>
              </w:rPr>
            </w:pPr>
          </w:p>
        </w:tc>
        <w:tc>
          <w:tcPr>
            <w:tcW w:w="9100" w:type="dxa"/>
            <w:vAlign w:val="bottom"/>
          </w:tcPr>
          <w:p>
            <w:pPr>
              <w:spacing w:after="0"/>
              <w:rPr>
                <w:sz w:val="20"/>
                <w:szCs w:val="20"/>
                <w:color w:val="auto"/>
              </w:rPr>
            </w:pPr>
          </w:p>
        </w:tc>
      </w:tr>
      <w:tr>
        <w:trPr>
          <w:trHeight w:val="468"/>
        </w:trPr>
        <w:tc>
          <w:tcPr>
            <w:tcW w:w="180" w:type="dxa"/>
            <w:vAlign w:val="bottom"/>
          </w:tcPr>
          <w:p>
            <w:pPr>
              <w:spacing w:after="0"/>
              <w:rPr>
                <w:sz w:val="24"/>
                <w:szCs w:val="2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1280" w:type="dxa"/>
            <w:vAlign w:val="bottom"/>
            <w:gridSpan w:val="2"/>
          </w:tcPr>
          <w:p>
            <w:pPr>
              <w:jc w:val="center"/>
              <w:ind w:right="640"/>
              <w:spacing w:after="0" w:line="194" w:lineRule="exact"/>
              <w:rPr>
                <w:sz w:val="20"/>
                <w:szCs w:val="20"/>
                <w:color w:val="auto"/>
              </w:rPr>
            </w:pPr>
            <w:r>
              <w:rPr>
                <w:rFonts w:ascii="Arial" w:cs="Arial" w:eastAsia="Arial" w:hAnsi="Arial"/>
                <w:sz w:val="18"/>
                <w:szCs w:val="18"/>
                <w:b w:val="1"/>
                <w:bCs w:val="1"/>
                <w:color w:val="auto"/>
                <w:w w:val="94"/>
              </w:rPr>
              <w:t>Number</w:t>
            </w:r>
          </w:p>
        </w:tc>
        <w:tc>
          <w:tcPr>
            <w:tcW w:w="100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438"/>
        </w:trPr>
        <w:tc>
          <w:tcPr>
            <w:tcW w:w="1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6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Comcast Corporation press release dated October 30, 2013.</w:t>
            </w:r>
          </w:p>
        </w:tc>
      </w:tr>
      <w:tr>
        <w:trPr>
          <w:trHeight w:val="230"/>
        </w:trPr>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99.2</w:t>
            </w:r>
          </w:p>
        </w:tc>
        <w:tc>
          <w:tcPr>
            <w:tcW w:w="6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Explanation of Non-GAAP and Other Financial Measures.</w:t>
            </w:r>
          </w:p>
        </w:tc>
      </w:tr>
      <w:tr>
        <w:trPr>
          <w:trHeight w:val="348"/>
        </w:trPr>
        <w:tc>
          <w:tcPr>
            <w:tcW w:w="1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910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648" w:right="199" w:bottom="276"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190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581"/>
        </w:trPr>
        <w:tc>
          <w:tcPr>
            <w:tcW w:w="3820" w:type="dxa"/>
            <w:vAlign w:val="bottom"/>
          </w:tcPr>
          <w:p>
            <w:pPr>
              <w:spacing w:after="0"/>
              <w:rPr>
                <w:sz w:val="20"/>
                <w:szCs w:val="20"/>
                <w:color w:val="auto"/>
              </w:rPr>
            </w:pPr>
            <w:r>
              <w:rPr>
                <w:rFonts w:ascii="Arial" w:cs="Arial" w:eastAsia="Arial" w:hAnsi="Arial"/>
                <w:sz w:val="18"/>
                <w:szCs w:val="18"/>
                <w:color w:val="auto"/>
              </w:rPr>
              <w:t>Date:   October 30, 2013</w:t>
            </w:r>
          </w:p>
        </w:tc>
        <w:tc>
          <w:tcPr>
            <w:tcW w:w="7600" w:type="dxa"/>
            <w:vAlign w:val="bottom"/>
            <w:gridSpan w:val="2"/>
          </w:tcPr>
          <w:p>
            <w:pPr>
              <w:ind w:left="190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c>
          <w:tcPr>
            <w:tcW w:w="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82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48336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3360" cy="6172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912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Investor Contacts:</w:t>
            </w:r>
          </w:p>
        </w:tc>
        <w:tc>
          <w:tcPr>
            <w:tcW w:w="2680" w:type="dxa"/>
            <w:vAlign w:val="bottom"/>
          </w:tcPr>
          <w:p>
            <w:pPr>
              <w:spacing w:after="0"/>
              <w:rPr>
                <w:sz w:val="17"/>
                <w:szCs w:val="17"/>
                <w:color w:val="auto"/>
              </w:rPr>
            </w:pPr>
          </w:p>
        </w:tc>
        <w:tc>
          <w:tcPr>
            <w:tcW w:w="2860" w:type="dxa"/>
            <w:vAlign w:val="bottom"/>
          </w:tcPr>
          <w:p>
            <w:pPr>
              <w:ind w:left="1260"/>
              <w:spacing w:after="0"/>
              <w:rPr>
                <w:sz w:val="20"/>
                <w:szCs w:val="20"/>
                <w:color w:val="auto"/>
              </w:rPr>
            </w:pPr>
            <w:r>
              <w:rPr>
                <w:rFonts w:ascii="Arial" w:cs="Arial" w:eastAsia="Arial" w:hAnsi="Arial"/>
                <w:sz w:val="18"/>
                <w:szCs w:val="18"/>
                <w:color w:val="auto"/>
              </w:rPr>
              <w:t>Press Contacts:</w:t>
            </w:r>
          </w:p>
        </w:tc>
        <w:tc>
          <w:tcPr>
            <w:tcW w:w="1440" w:type="dxa"/>
            <w:vAlign w:val="bottom"/>
          </w:tcPr>
          <w:p>
            <w:pPr>
              <w:spacing w:after="0"/>
              <w:rPr>
                <w:sz w:val="17"/>
                <w:szCs w:val="17"/>
                <w:color w:val="auto"/>
              </w:rPr>
            </w:pPr>
          </w:p>
        </w:tc>
      </w:tr>
      <w:tr>
        <w:trPr>
          <w:trHeight w:val="189"/>
        </w:trPr>
        <w:tc>
          <w:tcPr>
            <w:tcW w:w="1780" w:type="dxa"/>
            <w:vAlign w:val="bottom"/>
          </w:tcPr>
          <w:p>
            <w:pPr>
              <w:spacing w:after="0"/>
              <w:rPr>
                <w:sz w:val="20"/>
                <w:szCs w:val="20"/>
                <w:color w:val="auto"/>
              </w:rPr>
            </w:pPr>
            <w:r>
              <w:rPr>
                <w:rFonts w:ascii="Arial" w:cs="Arial" w:eastAsia="Arial" w:hAnsi="Arial"/>
                <w:sz w:val="16"/>
                <w:szCs w:val="16"/>
                <w:color w:val="auto"/>
              </w:rPr>
              <w:t>Marlene S. Dooner</w:t>
            </w:r>
          </w:p>
        </w:tc>
        <w:tc>
          <w:tcPr>
            <w:tcW w:w="2680" w:type="dxa"/>
            <w:vAlign w:val="bottom"/>
          </w:tcPr>
          <w:p>
            <w:pPr>
              <w:jc w:val="right"/>
              <w:ind w:right="1179"/>
              <w:spacing w:after="0"/>
              <w:rPr>
                <w:sz w:val="20"/>
                <w:szCs w:val="20"/>
                <w:color w:val="auto"/>
              </w:rPr>
            </w:pPr>
            <w:r>
              <w:rPr>
                <w:rFonts w:ascii="Arial" w:cs="Arial" w:eastAsia="Arial" w:hAnsi="Arial"/>
                <w:sz w:val="16"/>
                <w:szCs w:val="16"/>
                <w:color w:val="auto"/>
              </w:rPr>
              <w:t>(215) 286-7392</w:t>
            </w:r>
          </w:p>
        </w:tc>
        <w:tc>
          <w:tcPr>
            <w:tcW w:w="2860" w:type="dxa"/>
            <w:vAlign w:val="bottom"/>
          </w:tcPr>
          <w:p>
            <w:pPr>
              <w:ind w:left="1260"/>
              <w:spacing w:after="0"/>
              <w:rPr>
                <w:sz w:val="20"/>
                <w:szCs w:val="20"/>
                <w:color w:val="auto"/>
              </w:rPr>
            </w:pPr>
            <w:r>
              <w:rPr>
                <w:rFonts w:ascii="Arial" w:cs="Arial" w:eastAsia="Arial" w:hAnsi="Arial"/>
                <w:sz w:val="16"/>
                <w:szCs w:val="16"/>
                <w:color w:val="auto"/>
              </w:rPr>
              <w:t>D’Arcy Rudnay</w:t>
            </w:r>
          </w:p>
        </w:tc>
        <w:tc>
          <w:tcPr>
            <w:tcW w:w="14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780" w:type="dxa"/>
            <w:vAlign w:val="bottom"/>
          </w:tcPr>
          <w:p>
            <w:pPr>
              <w:spacing w:after="0"/>
              <w:rPr>
                <w:sz w:val="20"/>
                <w:szCs w:val="20"/>
                <w:color w:val="auto"/>
              </w:rPr>
            </w:pPr>
            <w:r>
              <w:rPr>
                <w:rFonts w:ascii="Arial" w:cs="Arial" w:eastAsia="Arial" w:hAnsi="Arial"/>
                <w:sz w:val="16"/>
                <w:szCs w:val="16"/>
                <w:color w:val="auto"/>
              </w:rPr>
              <w:t>Jane B. Kearns</w:t>
            </w:r>
          </w:p>
        </w:tc>
        <w:tc>
          <w:tcPr>
            <w:tcW w:w="2680" w:type="dxa"/>
            <w:vAlign w:val="bottom"/>
          </w:tcPr>
          <w:p>
            <w:pPr>
              <w:jc w:val="right"/>
              <w:ind w:right="1179"/>
              <w:spacing w:after="0"/>
              <w:rPr>
                <w:sz w:val="20"/>
                <w:szCs w:val="20"/>
                <w:color w:val="auto"/>
              </w:rPr>
            </w:pPr>
            <w:r>
              <w:rPr>
                <w:rFonts w:ascii="Arial" w:cs="Arial" w:eastAsia="Arial" w:hAnsi="Arial"/>
                <w:sz w:val="16"/>
                <w:szCs w:val="16"/>
                <w:color w:val="auto"/>
              </w:rPr>
              <w:t>(215) 286-4794</w:t>
            </w:r>
          </w:p>
        </w:tc>
        <w:tc>
          <w:tcPr>
            <w:tcW w:w="2860" w:type="dxa"/>
            <w:vAlign w:val="bottom"/>
          </w:tcPr>
          <w:p>
            <w:pPr>
              <w:ind w:left="1260"/>
              <w:spacing w:after="0"/>
              <w:rPr>
                <w:sz w:val="20"/>
                <w:szCs w:val="20"/>
                <w:color w:val="auto"/>
              </w:rPr>
            </w:pPr>
            <w:r>
              <w:rPr>
                <w:rFonts w:ascii="Arial" w:cs="Arial" w:eastAsia="Arial" w:hAnsi="Arial"/>
                <w:sz w:val="16"/>
                <w:szCs w:val="16"/>
                <w:color w:val="auto"/>
              </w:rPr>
              <w:t>John Demming</w:t>
            </w:r>
          </w:p>
        </w:tc>
        <w:tc>
          <w:tcPr>
            <w:tcW w:w="14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COMCAST REPORTS 3rd QUARTER 2013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Revenue Increased 5.2% and Operating Cash Flow Increased 10.5%, Excluding the 2012</w:t>
      </w:r>
    </w:p>
    <w:p>
      <w:pPr>
        <w:jc w:val="center"/>
        <w:spacing w:after="0"/>
        <w:rPr>
          <w:sz w:val="20"/>
          <w:szCs w:val="20"/>
          <w:color w:val="auto"/>
        </w:rPr>
      </w:pPr>
      <w:r>
        <w:rPr>
          <w:rFonts w:ascii="Arial" w:cs="Arial" w:eastAsia="Arial" w:hAnsi="Arial"/>
          <w:sz w:val="18"/>
          <w:szCs w:val="18"/>
          <w:color w:val="auto"/>
        </w:rPr>
        <w:t>London Olympics and Pension Termination Costs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Revenue Decreased 2.4%, Operating Cash Flow Increased 6.4% and</w:t>
      </w:r>
    </w:p>
    <w:p>
      <w:pPr>
        <w:jc w:val="center"/>
        <w:spacing w:after="0"/>
        <w:rPr>
          <w:sz w:val="20"/>
          <w:szCs w:val="20"/>
          <w:color w:val="auto"/>
        </w:rPr>
      </w:pPr>
      <w:r>
        <w:rPr>
          <w:rFonts w:ascii="Arial" w:cs="Arial" w:eastAsia="Arial" w:hAnsi="Arial"/>
          <w:sz w:val="18"/>
          <w:szCs w:val="18"/>
          <w:color w:val="auto"/>
        </w:rPr>
        <w:t>Operating Income Increased 12.0%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Earnings per Share of $0.65 Increased 41.3%, Excluding Gains on Asset Sales in Prior Year;</w:t>
      </w:r>
    </w:p>
    <w:p>
      <w:pPr>
        <w:jc w:val="center"/>
        <w:spacing w:after="0"/>
        <w:rPr>
          <w:sz w:val="20"/>
          <w:szCs w:val="20"/>
          <w:color w:val="auto"/>
        </w:rPr>
      </w:pPr>
      <w:r>
        <w:rPr>
          <w:rFonts w:ascii="Arial" w:cs="Arial" w:eastAsia="Arial" w:hAnsi="Arial"/>
          <w:sz w:val="18"/>
          <w:szCs w:val="18"/>
          <w:color w:val="auto"/>
        </w:rPr>
        <w:t>Including These Gains EPS Decreased 16.7%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Free Cash Flow Increased 30.0% to $2.0 Billion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Dividends and Share Repurchases Totaled $1.0 Billion</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PHILADELPHIA – October 30, 2013… Comcast Corporation (NASDAQ: CMCSA, CMCSK) today reported results for the quarter ended September 30, 2013.</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Brian L. Roberts, Chairman and Chief Executive Officer of Comcast Corporation, said, “Our businesses generated strong revenue and cash flow growth and record free cash flow for the third quarter. Cable’s results highlight the underlying strength of our residential and business services. We are driving innovation, expanding our service offerings, and bringing new and rich content to more platforms than ever before. NBCUniversal delivered solid performance in every one of its segments, with healthy growth in revenue and double-digit cash flow growth, adjusting for the results of the Olympics last year. Comcast NBCUniversal has real momentum and many opportunities ahead.”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Borders>
              <w:top w:val="single" w:sz="8" w:color="004EA8"/>
            </w:tcBorders>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3360" w:type="dxa"/>
            <w:vAlign w:val="bottom"/>
            <w:tcBorders>
              <w:top w:val="single" w:sz="8" w:color="004EA8"/>
            </w:tcBorders>
            <w:gridSpan w:val="2"/>
          </w:tcPr>
          <w:p>
            <w:pPr>
              <w:jc w:val="right"/>
              <w:ind w:right="688"/>
              <w:spacing w:after="0"/>
              <w:rPr>
                <w:sz w:val="20"/>
                <w:szCs w:val="20"/>
                <w:color w:val="auto"/>
              </w:rPr>
            </w:pPr>
            <w:r>
              <w:rPr>
                <w:rFonts w:ascii="Arial" w:cs="Arial" w:eastAsia="Arial" w:hAnsi="Arial"/>
                <w:sz w:val="14"/>
                <w:szCs w:val="14"/>
                <w:color w:val="auto"/>
              </w:rPr>
              <w:t>3rd Quarter</w:t>
            </w:r>
          </w:p>
        </w:tc>
        <w:tc>
          <w:tcPr>
            <w:tcW w:w="1140" w:type="dxa"/>
            <w:vAlign w:val="bottom"/>
            <w:tcBorders>
              <w:top w:val="single" w:sz="8" w:color="004EA8"/>
            </w:tcBorders>
          </w:tcPr>
          <w:p>
            <w:pPr>
              <w:spacing w:after="0"/>
              <w:rPr>
                <w:sz w:val="18"/>
                <w:szCs w:val="18"/>
                <w:color w:val="auto"/>
              </w:rPr>
            </w:pPr>
          </w:p>
        </w:tc>
        <w:tc>
          <w:tcPr>
            <w:tcW w:w="2300" w:type="dxa"/>
            <w:vAlign w:val="bottom"/>
            <w:tcBorders>
              <w:top w:val="single" w:sz="8" w:color="004EA8"/>
            </w:tcBorders>
            <w:gridSpan w:val="2"/>
          </w:tcPr>
          <w:p>
            <w:pPr>
              <w:jc w:val="right"/>
              <w:ind w:right="668"/>
              <w:spacing w:after="0"/>
              <w:rPr>
                <w:sz w:val="20"/>
                <w:szCs w:val="20"/>
                <w:color w:val="auto"/>
              </w:rPr>
            </w:pPr>
            <w:r>
              <w:rPr>
                <w:rFonts w:ascii="Arial" w:cs="Arial" w:eastAsia="Arial" w:hAnsi="Arial"/>
                <w:sz w:val="14"/>
                <w:szCs w:val="14"/>
                <w:color w:val="auto"/>
              </w:rPr>
              <w:t>Year to Date</w:t>
            </w:r>
          </w:p>
        </w:tc>
        <w:tc>
          <w:tcPr>
            <w:tcW w:w="860" w:type="dxa"/>
            <w:vAlign w:val="bottom"/>
            <w:tcBorders>
              <w:top w:val="single" w:sz="8" w:color="004EA8"/>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60" w:type="dxa"/>
            <w:vAlign w:val="bottom"/>
            <w:tcBorders>
              <w:bottom w:val="single" w:sz="8" w:color="auto"/>
            </w:tcBorders>
            <w:vMerge w:val="continue"/>
          </w:tcPr>
          <w:p>
            <w:pPr>
              <w:spacing w:after="0"/>
              <w:rPr>
                <w:sz w:val="13"/>
                <w:szCs w:val="13"/>
                <w:color w:val="auto"/>
              </w:rPr>
            </w:pPr>
          </w:p>
        </w:tc>
        <w:tc>
          <w:tcPr>
            <w:tcW w:w="220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46"/>
        </w:trPr>
        <w:tc>
          <w:tcPr>
            <w:tcW w:w="3760" w:type="dxa"/>
            <w:vAlign w:val="bottom"/>
          </w:tcPr>
          <w:p>
            <w:pPr>
              <w:ind w:left="40"/>
              <w:spacing w:after="0" w:line="147" w:lineRule="exact"/>
              <w:rPr>
                <w:sz w:val="20"/>
                <w:szCs w:val="20"/>
                <w:color w:val="auto"/>
              </w:rPr>
            </w:pPr>
            <w:r>
              <w:rPr>
                <w:rFonts w:ascii="Arial" w:cs="Arial" w:eastAsia="Arial" w:hAnsi="Arial"/>
                <w:sz w:val="14"/>
                <w:szCs w:val="14"/>
                <w:color w:val="auto"/>
              </w:rPr>
              <w:t>Revenue</w:t>
            </w:r>
          </w:p>
        </w:tc>
        <w:tc>
          <w:tcPr>
            <w:tcW w:w="22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$16,544</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$16,151</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(2.4%)</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$46,633</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$47,731</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Super Bowl &amp; Olympics</w:t>
            </w:r>
          </w:p>
        </w:tc>
        <w:tc>
          <w:tcPr>
            <w:tcW w:w="2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$15,356</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$16,151</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5.2%</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$45,186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$47,731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5.6%</w:t>
            </w:r>
          </w:p>
        </w:tc>
        <w:tc>
          <w:tcPr>
            <w:tcW w:w="0" w:type="dxa"/>
            <w:vAlign w:val="bottom"/>
          </w:tcPr>
          <w:p>
            <w:pPr>
              <w:spacing w:after="0"/>
              <w:rPr>
                <w:sz w:val="1"/>
                <w:szCs w:val="1"/>
                <w:color w:val="auto"/>
              </w:rPr>
            </w:pPr>
          </w:p>
        </w:tc>
      </w:tr>
      <w:tr>
        <w:trPr>
          <w:trHeight w:val="146"/>
        </w:trPr>
        <w:tc>
          <w:tcPr>
            <w:tcW w:w="3760" w:type="dxa"/>
            <w:vAlign w:val="bottom"/>
          </w:tcPr>
          <w:p>
            <w:pPr>
              <w:ind w:left="40"/>
              <w:spacing w:after="0" w:line="147" w:lineRule="exact"/>
              <w:rPr>
                <w:sz w:val="20"/>
                <w:szCs w:val="20"/>
                <w:color w:val="auto"/>
              </w:rPr>
            </w:pPr>
            <w:r>
              <w:rPr>
                <w:rFonts w:ascii="Arial" w:cs="Arial" w:eastAsia="Arial" w:hAnsi="Arial"/>
                <w:sz w:val="14"/>
                <w:szCs w:val="14"/>
                <w:color w:val="auto"/>
              </w:rPr>
              <w:t>Operating Cash Flow (OCF)</w:t>
            </w:r>
            <w:r>
              <w:rPr>
                <w:rFonts w:ascii="Arial" w:cs="Arial" w:eastAsia="Arial" w:hAnsi="Arial"/>
                <w:sz w:val="14"/>
                <w:szCs w:val="14"/>
                <w:color w:val="auto"/>
                <w:vertAlign w:val="superscript"/>
              </w:rPr>
              <w:t>1</w:t>
            </w:r>
          </w:p>
        </w:tc>
        <w:tc>
          <w:tcPr>
            <w:tcW w:w="22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$5,008</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$5,330</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6.4%</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$14,700</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$15,789</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&amp; Pension Costs</w:t>
            </w:r>
          </w:p>
        </w:tc>
        <w:tc>
          <w:tcPr>
            <w:tcW w:w="2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$4,888</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$5,404</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10.5%</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$14,580</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$15,863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8.8%</w:t>
            </w:r>
          </w:p>
        </w:tc>
        <w:tc>
          <w:tcPr>
            <w:tcW w:w="0" w:type="dxa"/>
            <w:vAlign w:val="bottom"/>
          </w:tcPr>
          <w:p>
            <w:pPr>
              <w:spacing w:after="0"/>
              <w:rPr>
                <w:sz w:val="1"/>
                <w:szCs w:val="1"/>
                <w:color w:val="auto"/>
              </w:rPr>
            </w:pPr>
          </w:p>
        </w:tc>
      </w:tr>
      <w:tr>
        <w:trPr>
          <w:trHeight w:val="156"/>
        </w:trPr>
        <w:tc>
          <w:tcPr>
            <w:tcW w:w="37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22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$3,048</w:t>
            </w:r>
          </w:p>
        </w:tc>
        <w:tc>
          <w:tcPr>
            <w:tcW w:w="11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$3,414</w:t>
            </w:r>
          </w:p>
        </w:tc>
        <w:tc>
          <w:tcPr>
            <w:tcW w:w="11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12.0%</w:t>
            </w:r>
          </w:p>
        </w:tc>
        <w:tc>
          <w:tcPr>
            <w:tcW w:w="11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$8,885</w:t>
            </w:r>
          </w:p>
        </w:tc>
        <w:tc>
          <w:tcPr>
            <w:tcW w:w="11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$9,916</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6"/>
        </w:trPr>
        <w:tc>
          <w:tcPr>
            <w:tcW w:w="3760" w:type="dxa"/>
            <w:vAlign w:val="bottom"/>
          </w:tcPr>
          <w:p>
            <w:pPr>
              <w:ind w:left="40"/>
              <w:spacing w:after="0" w:line="147"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22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$0.78</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$0.65</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(16.7%)</w:t>
            </w:r>
          </w:p>
        </w:tc>
        <w:tc>
          <w:tcPr>
            <w:tcW w:w="116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$1.72</w:t>
            </w:r>
          </w:p>
        </w:tc>
        <w:tc>
          <w:tcPr>
            <w:tcW w:w="114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$1.84</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Gains on Asset Sales</w:t>
            </w:r>
          </w:p>
        </w:tc>
        <w:tc>
          <w:tcPr>
            <w:tcW w:w="2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$0.46</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$0.65</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41.3%</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$1.40</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$1.81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29.3%</w:t>
            </w:r>
          </w:p>
        </w:tc>
        <w:tc>
          <w:tcPr>
            <w:tcW w:w="0" w:type="dxa"/>
            <w:vAlign w:val="bottom"/>
          </w:tcPr>
          <w:p>
            <w:pPr>
              <w:spacing w:after="0"/>
              <w:rPr>
                <w:sz w:val="1"/>
                <w:szCs w:val="1"/>
                <w:color w:val="auto"/>
              </w:rPr>
            </w:pPr>
          </w:p>
        </w:tc>
      </w:tr>
      <w:tr>
        <w:trPr>
          <w:trHeight w:val="179"/>
        </w:trPr>
        <w:tc>
          <w:tcPr>
            <w:tcW w:w="376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2200" w:type="dxa"/>
            <w:vAlign w:val="bottom"/>
          </w:tcPr>
          <w:p>
            <w:pPr>
              <w:jc w:val="right"/>
              <w:ind w:right="228"/>
              <w:spacing w:after="0"/>
              <w:rPr>
                <w:sz w:val="20"/>
                <w:szCs w:val="20"/>
                <w:color w:val="auto"/>
              </w:rPr>
            </w:pPr>
            <w:r>
              <w:rPr>
                <w:rFonts w:ascii="Arial" w:cs="Arial" w:eastAsia="Arial" w:hAnsi="Arial"/>
                <w:sz w:val="14"/>
                <w:szCs w:val="14"/>
                <w:color w:val="auto"/>
              </w:rPr>
              <w:t>$1,514</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$1,968</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30.0%</w:t>
            </w: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$6,107</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$7,054</w:t>
            </w: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third quarter of 2013 decreased 2.4% to $16.2 billion. Excluding $1.2 billion of revenue generated by the Olympics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quarter of 2012, revenue increased 5.2%.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6.4% to $5.3 billion. Excluding $120 million of operating cash flow generated by the Olympics in the third quarter of 2012 and $74 million of costs in the third quarter of 2013 associated with the termination of a pension plan, operating cash flow increased 10.5% (see Table 5). </w:t>
      </w: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xml:space="preserve"> increased 12.0% to $3.4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2013, revenue increased 2.4% to $47.7 billion. Excluding $259 million of revenue generated by the NFL’s Super Bowl in the first quarter of 2012 and the impact of the Olympics in the third quarter of 2012, revenue increased 5.6%. Operating cash flow increased 7.4% to $15.8 billion. Excluding the Olympics in the third quarter of 2012 and pension termination costs in the third quarter of 2013, operating cash flow increased 8.8% (see Table 5). Operating income increased 11.6% to $9.9 billion.</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2013 was $0.65, a 16.7% decrease from the $0.78 reported in the third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gains of $0.32 per share related to our share of SpectrumCo’s sale of wireless spectrum licenses and NBCUniversal’s interest in A&amp;E Television Networks in the third quarter of 2012, EPS increased 41.3% in the third quarter of 2013. Our third quarter 2013 EPS of $0.65 reflects a non-recurring $0.11 gain related to the sale of our investment in Clearwire, fully offset by other investment losses and pension termination costs (see Table 4).</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EPS for the nine months ended September 30, 2013 was $1.84, a 7.0% increase from the $1.72 reported in the prior year. Excluding gains on asset sales, investment losses and pension termination costs, EPS increased 29.3% (see Table 4).</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9.1% to $1.7 billion in the third quarter of 2013 compared to the third quarter of 2012. Cable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increased $68 million, or 5.0%, to $1.4 billion in the third quarter of 2013, primarily reflecting increased investment on customer premises equipment, such as advanced digital boxes, including X1, and wireless gateways. Cable capital expenditures represented 13.6% of Cable revenue in the third quarter of 2013, consistent with last year’s third quarter. NBCUniversal’s capital expenditures increased $75 million to $284 million in the third quarter of 2013, primarily reflecting increased investments in Theme Parks.</w:t>
      </w:r>
    </w:p>
    <w:p>
      <w:pPr>
        <w:sectPr>
          <w:pgSz w:w="11900" w:h="16838" w:orient="portrait"/>
          <w:cols w:equalWidth="0" w:num="1">
            <w:col w:w="11420"/>
          </w:cols>
          <w:pgMar w:left="240" w:top="118" w:right="239" w:bottom="0" w:gutter="0" w:footer="0" w:header="0"/>
        </w:sectPr>
      </w:pPr>
    </w:p>
    <w:bookmarkStart w:id="3" w:name="page4"/>
    <w:bookmarkEnd w:id="3"/>
    <w:p>
      <w:pPr>
        <w:jc w:val="both"/>
        <w:spacing w:after="0"/>
        <w:rPr>
          <w:sz w:val="20"/>
          <w:szCs w:val="20"/>
          <w:color w:val="auto"/>
        </w:rPr>
      </w:pPr>
      <w:r>
        <w:rPr>
          <w:rFonts w:ascii="Arial" w:cs="Arial" w:eastAsia="Arial" w:hAnsi="Arial"/>
          <w:sz w:val="18"/>
          <w:szCs w:val="18"/>
          <w:color w:val="auto"/>
        </w:rPr>
        <w:t>For the nine months ended September 30, 2013, capital expenditures increased 13.6% to $4.6 billion compared to the prior year. Cable Communications capital expenditures increased $222 million, or 6.3%, to $3.8 billion and represented 12.1% of Cable revenue. NBCUniversal’s capital expenditures increased $331 million to $807 million for the first nine months of 2013.</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30.0% to $2.0 billion in the third quarter of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$ 1.5 billion in the third quarter of 2012, reflecting growth in consolidated operating cash flow and improvements in working capital, partially offset by higher capital expenditures and taxes. Free cash flow for the nine months ended September 30, 2013 increased 15.5% to $7.1 billion compared to $6.1 billion in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2580" w:type="dxa"/>
            <w:vAlign w:val="bottom"/>
            <w:gridSpan w:val="2"/>
          </w:tcPr>
          <w:p>
            <w:pPr>
              <w:jc w:val="right"/>
              <w:ind w:right="628"/>
              <w:spacing w:after="0"/>
              <w:rPr>
                <w:sz w:val="20"/>
                <w:szCs w:val="20"/>
                <w:color w:val="auto"/>
              </w:rPr>
            </w:pPr>
            <w:r>
              <w:rPr>
                <w:rFonts w:ascii="Arial" w:cs="Arial" w:eastAsia="Arial" w:hAnsi="Arial"/>
                <w:sz w:val="14"/>
                <w:szCs w:val="14"/>
                <w:color w:val="auto"/>
              </w:rPr>
              <w:t>3rd Quarter</w:t>
            </w:r>
          </w:p>
        </w:tc>
        <w:tc>
          <w:tcPr>
            <w:tcW w:w="1040" w:type="dxa"/>
            <w:vAlign w:val="bottom"/>
          </w:tcPr>
          <w:p>
            <w:pPr>
              <w:spacing w:after="0"/>
              <w:rPr>
                <w:sz w:val="14"/>
                <w:szCs w:val="14"/>
                <w:color w:val="auto"/>
              </w:rPr>
            </w:pPr>
          </w:p>
        </w:tc>
        <w:tc>
          <w:tcPr>
            <w:tcW w:w="2120" w:type="dxa"/>
            <w:vAlign w:val="bottom"/>
            <w:gridSpan w:val="2"/>
          </w:tcPr>
          <w:p>
            <w:pPr>
              <w:jc w:val="right"/>
              <w:ind w:right="588"/>
              <w:spacing w:after="0"/>
              <w:rPr>
                <w:sz w:val="20"/>
                <w:szCs w:val="20"/>
                <w:color w:val="auto"/>
              </w:rPr>
            </w:pPr>
            <w:r>
              <w:rPr>
                <w:rFonts w:ascii="Arial" w:cs="Arial" w:eastAsia="Arial" w:hAnsi="Arial"/>
                <w:sz w:val="14"/>
                <w:szCs w:val="14"/>
                <w:color w:val="auto"/>
              </w:rPr>
              <w:t>Year to Date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40" w:type="dxa"/>
            <w:vAlign w:val="bottom"/>
            <w:tcBorders>
              <w:bottom w:val="single" w:sz="8" w:color="auto"/>
            </w:tcBorders>
            <w:vMerge w:val="continue"/>
          </w:tcPr>
          <w:p>
            <w:pPr>
              <w:spacing w:after="0"/>
              <w:rPr>
                <w:sz w:val="13"/>
                <w:szCs w:val="13"/>
                <w:color w:val="auto"/>
              </w:rPr>
            </w:pPr>
          </w:p>
        </w:tc>
        <w:tc>
          <w:tcPr>
            <w:tcW w:w="152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2013</w:t>
            </w:r>
          </w:p>
        </w:tc>
        <w:tc>
          <w:tcPr>
            <w:tcW w:w="104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Growth</w:t>
            </w:r>
          </w:p>
        </w:tc>
        <w:tc>
          <w:tcPr>
            <w:tcW w:w="10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Cash Flow</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$5,008</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$5,330</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6.4%</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$14,700</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$15,789</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Capital Expenditures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(1,582)</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(1,726)</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9.1%</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(4,043)</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(4,593)</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Cash Paid for Capitalized Software and Other Intangible Assets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(191)</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(250)</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30.9%</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(605)</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(694)</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Cash Interest Expense</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(567)</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(636)</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12.2%</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(1,725)</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(1,768)</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Cash Taxes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(833)</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(958)</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15.0%</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(1,855)</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(3,180)</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Changes in Operating Assets and Liabilities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(295)</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165</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(254)</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583</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63</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31</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145</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917</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Free Cash Flow (Incl. Economic Stimulus Packages)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$1,603</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$1,956</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22.0%</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$6,363</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$7,054</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Economic Stimulus Packages</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(89)</w:t>
            </w:r>
          </w:p>
        </w:tc>
        <w:tc>
          <w:tcPr>
            <w:tcW w:w="10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12</w:t>
            </w: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NM</w:t>
            </w:r>
          </w:p>
        </w:tc>
        <w:tc>
          <w:tcPr>
            <w:tcW w:w="10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(256)</w:t>
            </w:r>
          </w:p>
        </w:tc>
        <w:tc>
          <w:tcPr>
            <w:tcW w:w="10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484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$1,514</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$1,968</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30.0%</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$6,107</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$7,054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Note: The definition of Free Cash Flow excludes any impact from Economic Stimulus packages. These amounts have been excluded from Free Cash Flow to provide an appropriate comparison. “Other” in 2013 is substantially comprised of adjustments for cash taxes paid related to certain nonoperating transactions, cash taxes paid in 2013 related to 2012 taxable income that were reflected as a reduction of 2012 Free Cash Flow and payments associated with the pension termination. NM=comparison not meaningful.</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2013, Comcast paid dividends totaling $512 million and repurchased 12.0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$ 500 million. In the first nine months of 2013, Comcast has repurchased 37.9 million of its common shares for $1.5 billion. As of September 30, 2013, Comcast had approximately $2.0 billion available under its share repurchase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Borders>
              <w:top w:val="single" w:sz="8" w:color="808080"/>
            </w:tcBorders>
            <w:vMerge w:val="restart"/>
          </w:tcPr>
          <w:p>
            <w:pPr>
              <w:ind w:left="40"/>
              <w:spacing w:after="0"/>
              <w:rPr>
                <w:sz w:val="20"/>
                <w:szCs w:val="20"/>
                <w:color w:val="auto"/>
              </w:rPr>
            </w:pPr>
            <w:r>
              <w:rPr>
                <w:rFonts w:ascii="Arial" w:cs="Arial" w:eastAsia="Arial" w:hAnsi="Arial"/>
                <w:sz w:val="11"/>
                <w:szCs w:val="11"/>
                <w:i w:val="1"/>
                <w:iCs w:val="1"/>
                <w:color w:val="auto"/>
              </w:rPr>
              <w:t>($ in millions)</w:t>
            </w:r>
          </w:p>
        </w:tc>
        <w:tc>
          <w:tcPr>
            <w:tcW w:w="3060" w:type="dxa"/>
            <w:vAlign w:val="bottom"/>
            <w:tcBorders>
              <w:top w:val="single" w:sz="8" w:color="808080"/>
            </w:tcBorders>
            <w:gridSpan w:val="2"/>
          </w:tcPr>
          <w:p>
            <w:pPr>
              <w:jc w:val="right"/>
              <w:ind w:right="708"/>
              <w:spacing w:after="0"/>
              <w:rPr>
                <w:sz w:val="20"/>
                <w:szCs w:val="20"/>
                <w:color w:val="auto"/>
              </w:rPr>
            </w:pPr>
            <w:r>
              <w:rPr>
                <w:rFonts w:ascii="Arial" w:cs="Arial" w:eastAsia="Arial" w:hAnsi="Arial"/>
                <w:sz w:val="14"/>
                <w:szCs w:val="14"/>
                <w:color w:val="auto"/>
              </w:rPr>
              <w:t>3rd Quarter</w:t>
            </w:r>
          </w:p>
        </w:tc>
        <w:tc>
          <w:tcPr>
            <w:tcW w:w="1140" w:type="dxa"/>
            <w:vAlign w:val="bottom"/>
            <w:tcBorders>
              <w:top w:val="single" w:sz="8" w:color="808080"/>
            </w:tcBorders>
          </w:tcPr>
          <w:p>
            <w:pPr>
              <w:spacing w:after="0"/>
              <w:rPr>
                <w:sz w:val="16"/>
                <w:szCs w:val="16"/>
                <w:color w:val="auto"/>
              </w:rPr>
            </w:pPr>
          </w:p>
        </w:tc>
        <w:tc>
          <w:tcPr>
            <w:tcW w:w="2300" w:type="dxa"/>
            <w:vAlign w:val="bottom"/>
            <w:tcBorders>
              <w:top w:val="single" w:sz="8" w:color="808080"/>
            </w:tcBorders>
            <w:gridSpan w:val="2"/>
          </w:tcPr>
          <w:p>
            <w:pPr>
              <w:jc w:val="right"/>
              <w:ind w:right="688"/>
              <w:spacing w:after="0"/>
              <w:rPr>
                <w:sz w:val="20"/>
                <w:szCs w:val="20"/>
                <w:color w:val="auto"/>
              </w:rPr>
            </w:pPr>
            <w:r>
              <w:rPr>
                <w:rFonts w:ascii="Arial" w:cs="Arial" w:eastAsia="Arial" w:hAnsi="Arial"/>
                <w:sz w:val="14"/>
                <w:szCs w:val="14"/>
                <w:color w:val="auto"/>
              </w:rPr>
              <w:t>Year to Date</w:t>
            </w:r>
          </w:p>
        </w:tc>
        <w:tc>
          <w:tcPr>
            <w:tcW w:w="86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60" w:type="dxa"/>
            <w:vAlign w:val="bottom"/>
            <w:tcBorders>
              <w:bottom w:val="single" w:sz="8" w:color="auto"/>
            </w:tcBorders>
            <w:vMerge w:val="continue"/>
          </w:tcPr>
          <w:p>
            <w:pPr>
              <w:spacing w:after="0"/>
              <w:rPr>
                <w:sz w:val="13"/>
                <w:szCs w:val="13"/>
                <w:color w:val="auto"/>
              </w:rPr>
            </w:pPr>
          </w:p>
        </w:tc>
        <w:tc>
          <w:tcPr>
            <w:tcW w:w="190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114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2013</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9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$4,981</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$5,127</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2.9%</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$14,949</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$15,415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2,403</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2,592</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7.9%</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7,106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7,684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895</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919</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2,662</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2,729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662</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836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26.4%</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1,866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2,365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607</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541</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(10.8%)</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1,633</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1,587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428</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476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11.6%</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1,256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1,395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11"/>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900" w:type="dxa"/>
            <w:vAlign w:val="bottom"/>
          </w:tcPr>
          <w:p>
            <w:pPr>
              <w:jc w:val="right"/>
              <w:ind w:right="228"/>
              <w:spacing w:after="0"/>
              <w:rPr>
                <w:sz w:val="20"/>
                <w:szCs w:val="20"/>
                <w:color w:val="auto"/>
              </w:rPr>
            </w:pPr>
            <w:r>
              <w:rPr>
                <w:rFonts w:ascii="Arial" w:cs="Arial" w:eastAsia="Arial" w:hAnsi="Arial"/>
                <w:sz w:val="14"/>
                <w:szCs w:val="14"/>
                <w:b w:val="1"/>
                <w:bCs w:val="1"/>
                <w:color w:val="auto"/>
              </w:rPr>
              <w:t>$9,976</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$10,491</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5.2%</w:t>
            </w:r>
          </w:p>
        </w:tc>
        <w:tc>
          <w:tcPr>
            <w:tcW w:w="1160" w:type="dxa"/>
            <w:vAlign w:val="bottom"/>
          </w:tcPr>
          <w:p>
            <w:pPr>
              <w:jc w:val="right"/>
              <w:ind w:right="248"/>
              <w:spacing w:after="0"/>
              <w:rPr>
                <w:sz w:val="20"/>
                <w:szCs w:val="20"/>
                <w:color w:val="auto"/>
              </w:rPr>
            </w:pPr>
            <w:r>
              <w:rPr>
                <w:rFonts w:ascii="Arial" w:cs="Arial" w:eastAsia="Arial" w:hAnsi="Arial"/>
                <w:sz w:val="14"/>
                <w:szCs w:val="14"/>
                <w:b w:val="1"/>
                <w:bCs w:val="1"/>
                <w:color w:val="auto"/>
              </w:rPr>
              <w:t>$29,472</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$31,175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88"/>
        </w:trPr>
        <w:tc>
          <w:tcPr>
            <w:tcW w:w="40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OCF</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$3,998</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$4,246</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6.2%</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$12,054</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$12,800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211"/>
        </w:trPr>
        <w:tc>
          <w:tcPr>
            <w:tcW w:w="4060" w:type="dxa"/>
            <w:vAlign w:val="bottom"/>
          </w:tcPr>
          <w:p>
            <w:pPr>
              <w:ind w:left="40"/>
              <w:spacing w:after="0"/>
              <w:rPr>
                <w:sz w:val="20"/>
                <w:szCs w:val="20"/>
                <w:color w:val="auto"/>
              </w:rPr>
            </w:pPr>
            <w:r>
              <w:rPr>
                <w:rFonts w:ascii="Arial" w:cs="Arial" w:eastAsia="Arial" w:hAnsi="Arial"/>
                <w:sz w:val="14"/>
                <w:szCs w:val="14"/>
                <w:i w:val="1"/>
                <w:iCs w:val="1"/>
                <w:color w:val="auto"/>
              </w:rPr>
              <w:t>OCF Margin</w:t>
            </w:r>
          </w:p>
        </w:tc>
        <w:tc>
          <w:tcPr>
            <w:tcW w:w="1900" w:type="dxa"/>
            <w:vAlign w:val="bottom"/>
          </w:tcPr>
          <w:p>
            <w:pPr>
              <w:jc w:val="right"/>
              <w:ind w:right="228"/>
              <w:spacing w:after="0"/>
              <w:rPr>
                <w:sz w:val="20"/>
                <w:szCs w:val="20"/>
                <w:color w:val="auto"/>
              </w:rPr>
            </w:pPr>
            <w:r>
              <w:rPr>
                <w:rFonts w:ascii="Arial" w:cs="Arial" w:eastAsia="Arial" w:hAnsi="Arial"/>
                <w:sz w:val="14"/>
                <w:szCs w:val="14"/>
                <w:i w:val="1"/>
                <w:iCs w:val="1"/>
                <w:color w:val="auto"/>
              </w:rPr>
              <w:t>40.1%</w:t>
            </w:r>
          </w:p>
        </w:tc>
        <w:tc>
          <w:tcPr>
            <w:tcW w:w="1160" w:type="dxa"/>
            <w:vAlign w:val="bottom"/>
          </w:tcPr>
          <w:p>
            <w:pPr>
              <w:jc w:val="right"/>
              <w:ind w:right="248"/>
              <w:spacing w:after="0"/>
              <w:rPr>
                <w:sz w:val="20"/>
                <w:szCs w:val="20"/>
                <w:color w:val="auto"/>
              </w:rPr>
            </w:pPr>
            <w:r>
              <w:rPr>
                <w:rFonts w:ascii="Arial" w:cs="Arial" w:eastAsia="Arial" w:hAnsi="Arial"/>
                <w:sz w:val="14"/>
                <w:szCs w:val="14"/>
                <w:i w:val="1"/>
                <w:iCs w:val="1"/>
                <w:color w:val="auto"/>
              </w:rPr>
              <w:t>40.5%</w:t>
            </w:r>
          </w:p>
        </w:tc>
        <w:tc>
          <w:tcPr>
            <w:tcW w:w="1140" w:type="dxa"/>
            <w:vAlign w:val="bottom"/>
          </w:tcPr>
          <w:p>
            <w:pPr>
              <w:spacing w:after="0"/>
              <w:rPr>
                <w:sz w:val="18"/>
                <w:szCs w:val="18"/>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i w:val="1"/>
                <w:iCs w:val="1"/>
                <w:color w:val="auto"/>
              </w:rPr>
              <w:t>40.9%</w:t>
            </w: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41.1%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Communications Capital Expenditures</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$1,364</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$1,432</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5.0%</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$3,544</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$3,766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13.7%</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13.6%</w:t>
            </w: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12.0%</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12.1%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5.2% to $10.5 billion in the third quarter of 2013 compared to $10.0 billion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reflecting increases of 7.9% in high-speed Internet, 26.4% in business services and 2.9% in video, partially offset by a 10.8% decline in advertising primarily due to lower political advertising revenue. The increase in Cable revenue reflects rate adjustments, customers receiving higher levels of services and customer growth (see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2013, Cable revenue increased 5.8% to $31.2 billion compared to $29.5 billion in 2012.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Combined Video, High-Speed Internet and Voice Customers </w:t>
      </w:r>
      <w:r>
        <w:rPr>
          <w:rFonts w:ascii="Arial" w:cs="Arial" w:eastAsia="Arial" w:hAnsi="Arial"/>
          <w:sz w:val="18"/>
          <w:szCs w:val="18"/>
          <w:color w:val="auto"/>
        </w:rPr>
        <w:t>increased by 337,000 in the third quarter of 2013, a 14.9% increase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compared to third quarter 2012, driven by growth in high-speed Internet and voice customers, partially offset by video customer losses. As of September 30, 2013, video, high-speed Internet and voice customers totaled 52.4 million, an increase of 1.6 million or 3.2% over last year’s third quarter.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vMerge w:val="restart"/>
          </w:tcPr>
          <w:p>
            <w:pPr>
              <w:ind w:left="40"/>
              <w:spacing w:after="0"/>
              <w:rPr>
                <w:sz w:val="20"/>
                <w:szCs w:val="20"/>
                <w:color w:val="auto"/>
              </w:rPr>
            </w:pPr>
            <w:r>
              <w:rPr>
                <w:rFonts w:ascii="Arial" w:cs="Arial" w:eastAsia="Arial" w:hAnsi="Arial"/>
                <w:sz w:val="11"/>
                <w:szCs w:val="11"/>
                <w:i w:val="1"/>
                <w:iCs w:val="1"/>
                <w:color w:val="auto"/>
              </w:rPr>
              <w:t>(in thousands)</w:t>
            </w:r>
          </w:p>
        </w:tc>
        <w:tc>
          <w:tcPr>
            <w:tcW w:w="300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320" w:type="dxa"/>
            <w:vAlign w:val="bottom"/>
          </w:tcPr>
          <w:p>
            <w:pPr>
              <w:spacing w:after="0"/>
              <w:rPr>
                <w:sz w:val="14"/>
                <w:szCs w:val="14"/>
                <w:color w:val="auto"/>
              </w:rPr>
            </w:pPr>
          </w:p>
        </w:tc>
        <w:tc>
          <w:tcPr>
            <w:tcW w:w="1880" w:type="dxa"/>
            <w:vAlign w:val="bottom"/>
          </w:tcPr>
          <w:p>
            <w:pPr>
              <w:jc w:val="right"/>
              <w:ind w:right="8"/>
              <w:spacing w:after="0"/>
              <w:rPr>
                <w:sz w:val="20"/>
                <w:szCs w:val="20"/>
                <w:color w:val="auto"/>
              </w:rPr>
            </w:pPr>
            <w:r>
              <w:rPr>
                <w:rFonts w:ascii="Arial" w:cs="Arial" w:eastAsia="Arial" w:hAnsi="Arial"/>
                <w:sz w:val="14"/>
                <w:szCs w:val="14"/>
                <w:color w:val="auto"/>
              </w:rPr>
              <w:t>Net Adds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20" w:type="dxa"/>
            <w:vAlign w:val="bottom"/>
            <w:tcBorders>
              <w:bottom w:val="single" w:sz="8" w:color="auto"/>
            </w:tcBorders>
            <w:vMerge w:val="continue"/>
          </w:tcPr>
          <w:p>
            <w:pPr>
              <w:spacing w:after="0"/>
              <w:rPr>
                <w:sz w:val="13"/>
                <w:szCs w:val="13"/>
                <w:color w:val="auto"/>
              </w:rPr>
            </w:pPr>
          </w:p>
        </w:tc>
        <w:tc>
          <w:tcPr>
            <w:tcW w:w="3000" w:type="dxa"/>
            <w:vAlign w:val="bottom"/>
            <w:tcBorders>
              <w:bottom w:val="single" w:sz="8" w:color="auto"/>
            </w:tcBorders>
          </w:tcPr>
          <w:p>
            <w:pPr>
              <w:jc w:val="right"/>
              <w:ind w:right="608"/>
              <w:spacing w:after="0" w:line="157" w:lineRule="exact"/>
              <w:rPr>
                <w:sz w:val="20"/>
                <w:szCs w:val="20"/>
                <w:color w:val="auto"/>
              </w:rPr>
            </w:pPr>
            <w:r>
              <w:rPr>
                <w:rFonts w:ascii="Arial" w:cs="Arial" w:eastAsia="Arial" w:hAnsi="Arial"/>
                <w:sz w:val="14"/>
                <w:szCs w:val="14"/>
                <w:color w:val="auto"/>
              </w:rPr>
              <w:t>3Q12</w:t>
            </w:r>
          </w:p>
        </w:tc>
        <w:tc>
          <w:tcPr>
            <w:tcW w:w="1320" w:type="dxa"/>
            <w:vAlign w:val="bottom"/>
            <w:tcBorders>
              <w:bottom w:val="single" w:sz="8" w:color="auto"/>
            </w:tcBorders>
          </w:tcPr>
          <w:p>
            <w:pPr>
              <w:jc w:val="right"/>
              <w:ind w:right="768"/>
              <w:spacing w:after="0" w:line="157" w:lineRule="exact"/>
              <w:rPr>
                <w:sz w:val="20"/>
                <w:szCs w:val="20"/>
                <w:color w:val="auto"/>
              </w:rPr>
            </w:pPr>
            <w:r>
              <w:rPr>
                <w:rFonts w:ascii="Arial" w:cs="Arial" w:eastAsia="Arial" w:hAnsi="Arial"/>
                <w:sz w:val="14"/>
                <w:szCs w:val="14"/>
                <w:color w:val="auto"/>
              </w:rPr>
              <w:t>3Q13</w:t>
            </w:r>
          </w:p>
        </w:tc>
        <w:tc>
          <w:tcPr>
            <w:tcW w:w="1880" w:type="dxa"/>
            <w:vAlign w:val="bottom"/>
            <w:tcBorders>
              <w:bottom w:val="single" w:sz="8" w:color="auto"/>
            </w:tcBorders>
          </w:tcPr>
          <w:p>
            <w:pPr>
              <w:jc w:val="right"/>
              <w:ind w:right="588"/>
              <w:spacing w:after="0" w:line="157" w:lineRule="exact"/>
              <w:rPr>
                <w:sz w:val="20"/>
                <w:szCs w:val="20"/>
                <w:color w:val="auto"/>
              </w:rPr>
            </w:pPr>
            <w:r>
              <w:rPr>
                <w:rFonts w:ascii="Arial" w:cs="Arial" w:eastAsia="Arial" w:hAnsi="Arial"/>
                <w:sz w:val="14"/>
                <w:szCs w:val="14"/>
                <w:color w:val="auto"/>
              </w:rPr>
              <w:t>3Q12</w:t>
            </w: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3Q13</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 Customers</w:t>
            </w:r>
          </w:p>
        </w:tc>
        <w:tc>
          <w:tcPr>
            <w:tcW w:w="3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22,002</w:t>
            </w:r>
          </w:p>
        </w:tc>
        <w:tc>
          <w:tcPr>
            <w:tcW w:w="13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21,647</w:t>
            </w:r>
          </w:p>
        </w:tc>
        <w:tc>
          <w:tcPr>
            <w:tcW w:w="18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(117)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 Customers</w:t>
            </w:r>
          </w:p>
        </w:tc>
        <w:tc>
          <w:tcPr>
            <w:tcW w:w="3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19,025</w:t>
            </w:r>
          </w:p>
        </w:tc>
        <w:tc>
          <w:tcPr>
            <w:tcW w:w="13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20,283</w:t>
            </w:r>
          </w:p>
        </w:tc>
        <w:tc>
          <w:tcPr>
            <w:tcW w:w="18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287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 Customers</w:t>
            </w:r>
          </w:p>
        </w:tc>
        <w:tc>
          <w:tcPr>
            <w:tcW w:w="3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9,787</w:t>
            </w:r>
          </w:p>
        </w:tc>
        <w:tc>
          <w:tcPr>
            <w:tcW w:w="13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10,496</w:t>
            </w:r>
          </w:p>
        </w:tc>
        <w:tc>
          <w:tcPr>
            <w:tcW w:w="18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123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4"/>
        </w:trPr>
        <w:tc>
          <w:tcPr>
            <w:tcW w:w="4720" w:type="dxa"/>
            <w:vAlign w:val="bottom"/>
          </w:tcPr>
          <w:p>
            <w:pPr>
              <w:ind w:left="40"/>
              <w:spacing w:after="0"/>
              <w:rPr>
                <w:sz w:val="20"/>
                <w:szCs w:val="20"/>
                <w:color w:val="auto"/>
              </w:rPr>
            </w:pPr>
            <w:r>
              <w:rPr>
                <w:rFonts w:ascii="Arial" w:cs="Arial" w:eastAsia="Arial" w:hAnsi="Arial"/>
                <w:sz w:val="14"/>
                <w:szCs w:val="14"/>
                <w:color w:val="auto"/>
              </w:rPr>
              <w:t>Combined Video, HSI and Voice Customers</w:t>
            </w:r>
          </w:p>
        </w:tc>
        <w:tc>
          <w:tcPr>
            <w:tcW w:w="3000" w:type="dxa"/>
            <w:vAlign w:val="bottom"/>
          </w:tcPr>
          <w:p>
            <w:pPr>
              <w:jc w:val="right"/>
              <w:ind w:right="608"/>
              <w:spacing w:after="0"/>
              <w:rPr>
                <w:sz w:val="20"/>
                <w:szCs w:val="20"/>
                <w:color w:val="auto"/>
              </w:rPr>
            </w:pPr>
            <w:r>
              <w:rPr>
                <w:rFonts w:ascii="Arial" w:cs="Arial" w:eastAsia="Arial" w:hAnsi="Arial"/>
                <w:sz w:val="14"/>
                <w:szCs w:val="14"/>
                <w:color w:val="auto"/>
              </w:rPr>
              <w:t>50,814</w:t>
            </w:r>
          </w:p>
        </w:tc>
        <w:tc>
          <w:tcPr>
            <w:tcW w:w="1320" w:type="dxa"/>
            <w:vAlign w:val="bottom"/>
          </w:tcPr>
          <w:p>
            <w:pPr>
              <w:jc w:val="right"/>
              <w:ind w:right="768"/>
              <w:spacing w:after="0"/>
              <w:rPr>
                <w:sz w:val="20"/>
                <w:szCs w:val="20"/>
                <w:color w:val="auto"/>
              </w:rPr>
            </w:pPr>
            <w:r>
              <w:rPr>
                <w:rFonts w:ascii="Arial" w:cs="Arial" w:eastAsia="Arial" w:hAnsi="Arial"/>
                <w:sz w:val="14"/>
                <w:szCs w:val="14"/>
                <w:color w:val="auto"/>
              </w:rPr>
              <w:t>52,427</w:t>
            </w:r>
          </w:p>
        </w:tc>
        <w:tc>
          <w:tcPr>
            <w:tcW w:w="1880" w:type="dxa"/>
            <w:vAlign w:val="bottom"/>
          </w:tcPr>
          <w:p>
            <w:pPr>
              <w:jc w:val="right"/>
              <w:ind w:right="588"/>
              <w:spacing w:after="0"/>
              <w:rPr>
                <w:sz w:val="20"/>
                <w:szCs w:val="20"/>
                <w:color w:val="auto"/>
              </w:rPr>
            </w:pPr>
            <w:r>
              <w:rPr>
                <w:rFonts w:ascii="Arial" w:cs="Arial" w:eastAsia="Arial" w:hAnsi="Arial"/>
                <w:sz w:val="14"/>
                <w:szCs w:val="14"/>
                <w:color w:val="auto"/>
              </w:rPr>
              <w:t>294</w:t>
            </w:r>
          </w:p>
        </w:tc>
        <w:tc>
          <w:tcPr>
            <w:tcW w:w="500" w:type="dxa"/>
            <w:vAlign w:val="bottom"/>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6.2% to $4.2 billion in the third quarter of 2013 compared to $ 4.0 billion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driven by higher revenue, partially offset by a 4.5% increase in operating expenses primarily related to higher programming costs. This quarter’s operating cash flow margin was 40.5%, compared to 40.1% in the prior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2013, Cable operating cash flow increased 6.2% to $12.8 billion compared to $12.1 billion in 2012.</w:t>
      </w:r>
    </w:p>
    <w:p>
      <w:pPr>
        <w:spacing w:after="0"/>
        <w:rPr>
          <w:sz w:val="20"/>
          <w:szCs w:val="20"/>
          <w:color w:val="auto"/>
        </w:rPr>
      </w:pPr>
      <w:r>
        <w:rPr>
          <w:rFonts w:ascii="Arial" w:cs="Arial" w:eastAsia="Arial" w:hAnsi="Arial"/>
          <w:sz w:val="18"/>
          <w:szCs w:val="18"/>
          <w:color w:val="auto"/>
        </w:rPr>
        <w:t>Year-to-date operating cash flow margin was 41.1% compared to 40.9% in 2012.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vMerge w:val="restart"/>
          </w:tcPr>
          <w:p>
            <w:pPr>
              <w:spacing w:after="0"/>
              <w:rPr>
                <w:sz w:val="20"/>
                <w:szCs w:val="20"/>
                <w:color w:val="auto"/>
              </w:rPr>
            </w:pPr>
            <w:r>
              <w:rPr>
                <w:rFonts w:ascii="Arial" w:cs="Arial" w:eastAsia="Arial" w:hAnsi="Arial"/>
                <w:sz w:val="11"/>
                <w:szCs w:val="11"/>
                <w:i w:val="1"/>
                <w:iCs w:val="1"/>
                <w:color w:val="auto"/>
              </w:rPr>
              <w:t>($ in millions)</w:t>
            </w:r>
          </w:p>
        </w:tc>
        <w:tc>
          <w:tcPr>
            <w:tcW w:w="1800" w:type="dxa"/>
            <w:vAlign w:val="bottom"/>
          </w:tcPr>
          <w:p>
            <w:pPr>
              <w:jc w:val="right"/>
              <w:spacing w:after="0"/>
              <w:rPr>
                <w:sz w:val="20"/>
                <w:szCs w:val="20"/>
                <w:color w:val="auto"/>
              </w:rPr>
            </w:pPr>
            <w:r>
              <w:rPr>
                <w:rFonts w:ascii="Arial" w:cs="Arial" w:eastAsia="Arial" w:hAnsi="Arial"/>
                <w:sz w:val="14"/>
                <w:szCs w:val="14"/>
                <w:color w:val="auto"/>
              </w:rPr>
              <w:t>3rd Quarter</w:t>
            </w: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40" w:type="dxa"/>
            <w:vAlign w:val="bottom"/>
            <w:gridSpan w:val="2"/>
          </w:tcPr>
          <w:p>
            <w:pPr>
              <w:jc w:val="right"/>
              <w:ind w:right="768"/>
              <w:spacing w:after="0"/>
              <w:rPr>
                <w:sz w:val="20"/>
                <w:szCs w:val="20"/>
                <w:color w:val="auto"/>
              </w:rPr>
            </w:pPr>
            <w:r>
              <w:rPr>
                <w:rFonts w:ascii="Arial" w:cs="Arial" w:eastAsia="Arial" w:hAnsi="Arial"/>
                <w:sz w:val="14"/>
                <w:szCs w:val="14"/>
                <w:color w:val="auto"/>
              </w:rPr>
              <w:t>Year to Date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60" w:type="dxa"/>
            <w:vAlign w:val="bottom"/>
            <w:vMerge w:val="continue"/>
          </w:tcPr>
          <w:p>
            <w:pPr>
              <w:spacing w:after="0"/>
              <w:rPr>
                <w:sz w:val="14"/>
                <w:szCs w:val="14"/>
                <w:color w:val="auto"/>
              </w:rPr>
            </w:pPr>
          </w:p>
        </w:tc>
        <w:tc>
          <w:tcPr>
            <w:tcW w:w="1800" w:type="dxa"/>
            <w:vAlign w:val="bottom"/>
          </w:tcPr>
          <w:p>
            <w:pPr>
              <w:jc w:val="right"/>
              <w:ind w:right="668"/>
              <w:spacing w:after="0"/>
              <w:rPr>
                <w:sz w:val="20"/>
                <w:szCs w:val="20"/>
                <w:color w:val="auto"/>
              </w:rPr>
            </w:pPr>
            <w:r>
              <w:rPr>
                <w:rFonts w:ascii="Arial" w:cs="Arial" w:eastAsia="Arial" w:hAnsi="Arial"/>
                <w:sz w:val="14"/>
                <w:szCs w:val="14"/>
                <w:color w:val="auto"/>
              </w:rPr>
              <w:t>2012</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Growth</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2012</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840" w:type="dxa"/>
            <w:vAlign w:val="bottom"/>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6"/>
        </w:trPr>
        <w:tc>
          <w:tcPr>
            <w:tcW w:w="4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NBCUniversal Revenue</w:t>
            </w:r>
          </w:p>
        </w:tc>
        <w:tc>
          <w:tcPr>
            <w:tcW w:w="18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$2,152</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97"/>
              </w:rPr>
              <w:t>$2,239</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4.0%</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$6,520</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$6,877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Broadcast Television</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2,790</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1,644</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(41.1%)</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6,203</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4,893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Filmed Entertainment</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1,355</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1,400</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3,778</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4,004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Theme Parks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614</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661</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7.9%</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1,565</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1,669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Headquarters, Other and Eliminations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(89)</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(93)</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(268)</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4"/>
                <w:szCs w:val="14"/>
                <w:b w:val="1"/>
                <w:bCs w:val="1"/>
                <w:color w:val="auto"/>
              </w:rPr>
              <w:t>NBCUniversal Revenue</w:t>
            </w:r>
          </w:p>
        </w:tc>
        <w:tc>
          <w:tcPr>
            <w:tcW w:w="1800" w:type="dxa"/>
            <w:vAlign w:val="bottom"/>
          </w:tcPr>
          <w:p>
            <w:pPr>
              <w:jc w:val="right"/>
              <w:ind w:right="668"/>
              <w:spacing w:after="0"/>
              <w:rPr>
                <w:sz w:val="20"/>
                <w:szCs w:val="20"/>
                <w:color w:val="auto"/>
              </w:rPr>
            </w:pPr>
            <w:r>
              <w:rPr>
                <w:rFonts w:ascii="Arial" w:cs="Arial" w:eastAsia="Arial" w:hAnsi="Arial"/>
                <w:sz w:val="14"/>
                <w:szCs w:val="14"/>
                <w:b w:val="1"/>
                <w:bCs w:val="1"/>
                <w:color w:val="auto"/>
              </w:rPr>
              <w:t>$6,822</w:t>
            </w: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w w:val="97"/>
              </w:rPr>
              <w:t>$5,851</w:t>
            </w: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color w:val="auto"/>
              </w:rPr>
              <w:t>(14.2%)</w:t>
            </w:r>
          </w:p>
        </w:tc>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$17,798</w:t>
            </w: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$17,186</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88"/>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growth excluding 2012 Olympics and Super Bowl</w:t>
            </w:r>
          </w:p>
        </w:tc>
        <w:tc>
          <w:tcPr>
            <w:tcW w:w="1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i w:val="1"/>
                <w:iCs w:val="1"/>
                <w:color w:val="auto"/>
              </w:rPr>
              <w:t>3.9%</w:t>
            </w: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5.1%</w:t>
            </w:r>
          </w:p>
        </w:tc>
        <w:tc>
          <w:tcPr>
            <w:tcW w:w="0" w:type="dxa"/>
            <w:vAlign w:val="bottom"/>
          </w:tcPr>
          <w:p>
            <w:pPr>
              <w:spacing w:after="0"/>
              <w:rPr>
                <w:sz w:val="1"/>
                <w:szCs w:val="1"/>
                <w:color w:val="auto"/>
              </w:rPr>
            </w:pPr>
          </w:p>
        </w:tc>
      </w:tr>
      <w:tr>
        <w:trPr>
          <w:trHeight w:val="81"/>
        </w:trPr>
        <w:tc>
          <w:tcPr>
            <w:tcW w:w="416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NBCUniversal OCF</w:t>
            </w:r>
          </w:p>
        </w:tc>
        <w:tc>
          <w:tcPr>
            <w:tcW w:w="18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$809</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$853</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5.4%</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$2,408</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$2,572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Broadcast Television</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88</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(61.1%)</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268</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Filmed Entertainment</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72</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189</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164.1%</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291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Theme Parks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316</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343</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8.6%</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708</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747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Headquarters, Other and Eliminations</w:t>
            </w:r>
          </w:p>
        </w:tc>
        <w:tc>
          <w:tcPr>
            <w:tcW w:w="18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(145)</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(169)</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(444)</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(421)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4"/>
                <w:szCs w:val="14"/>
                <w:b w:val="1"/>
                <w:bCs w:val="1"/>
                <w:color w:val="auto"/>
              </w:rPr>
              <w:t>NBCUniversal OCF</w:t>
            </w:r>
          </w:p>
        </w:tc>
        <w:tc>
          <w:tcPr>
            <w:tcW w:w="1800" w:type="dxa"/>
            <w:vAlign w:val="bottom"/>
          </w:tcPr>
          <w:p>
            <w:pPr>
              <w:jc w:val="right"/>
              <w:ind w:right="668"/>
              <w:spacing w:after="0"/>
              <w:rPr>
                <w:sz w:val="20"/>
                <w:szCs w:val="20"/>
                <w:color w:val="auto"/>
              </w:rPr>
            </w:pPr>
            <w:r>
              <w:rPr>
                <w:rFonts w:ascii="Arial" w:cs="Arial" w:eastAsia="Arial" w:hAnsi="Arial"/>
                <w:sz w:val="14"/>
                <w:szCs w:val="14"/>
                <w:b w:val="1"/>
                <w:bCs w:val="1"/>
                <w:color w:val="auto"/>
              </w:rPr>
              <w:t>$1,140</w:t>
            </w: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w w:val="97"/>
              </w:rPr>
              <w:t>$1,250</w:t>
            </w: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color w:val="auto"/>
              </w:rPr>
              <w:t>9.6%</w:t>
            </w:r>
          </w:p>
        </w:tc>
        <w:tc>
          <w:tcPr>
            <w:tcW w:w="1300" w:type="dxa"/>
            <w:vAlign w:val="bottom"/>
          </w:tcPr>
          <w:p>
            <w:pPr>
              <w:jc w:val="right"/>
              <w:ind w:right="328"/>
              <w:spacing w:after="0"/>
              <w:rPr>
                <w:sz w:val="20"/>
                <w:szCs w:val="20"/>
                <w:color w:val="auto"/>
              </w:rPr>
            </w:pPr>
            <w:r>
              <w:rPr>
                <w:rFonts w:ascii="Arial" w:cs="Arial" w:eastAsia="Arial" w:hAnsi="Arial"/>
                <w:sz w:val="14"/>
                <w:szCs w:val="14"/>
                <w:b w:val="1"/>
                <w:bCs w:val="1"/>
                <w:color w:val="auto"/>
              </w:rPr>
              <w:t>$2,935</w:t>
            </w: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$3,394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4"/>
                <w:szCs w:val="14"/>
                <w:b w:val="1"/>
                <w:bCs w:val="1"/>
                <w:i w:val="1"/>
                <w:iCs w:val="1"/>
                <w:color w:val="auto"/>
              </w:rPr>
              <w:t>% growth excluding 2012 Olympics</w:t>
            </w:r>
          </w:p>
        </w:tc>
        <w:tc>
          <w:tcPr>
            <w:tcW w:w="1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i w:val="1"/>
                <w:iCs w:val="1"/>
                <w:color w:val="auto"/>
              </w:rPr>
              <w:t>22.4%</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14.2% to $5.9 billion in the third quarter of 2013 compared to $6.8 billion in the third quarter of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$1.2 billion of revenue generated by the Olympics in the third quarter of 2012, revenue increased 3.9%.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9.6% to $1.3 billion compared to $1.1 billion in the third quarter of 2012. Excluding $120 million of operating cash flow generated by the Olympics in the third quarter of 2012, operating cash flow increased 22.4% reflecting improved operating performance in all segments (see Table 5).</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2013, NBCUniversal revenue decreased 3.4% to $17.2 billion compared to $17.8 billion in 2012. Excluding $ 259 million of revenue generated by the broadcast of the NFL’s Super Bowl in the first quarter of 2012 and the impact of the Olympics in the third quarter of 2012, revenue increased 5.1%. Operating cash flow increased 15.6% to $3.4 billion compared to $ 2.9 billion in the first nine months of 2012. Excluding the impact of the Olympics in the third quarter of 2012, operating cash flow increased 20.5% (see Table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third quarter of 2013, revenue from the Cable Networks segment increased 4.0% to $2.2 billion compared to the third quarter of 2012, reflecting a 5.4% increase in distribution revenue and a 4.6% increase in advertising revenue, partially offset by a 6.5% decline in content licensing and other revenue. Operating cash flow increased 5.4% to $853 million compared to $809 million in the third quarter of 2012, reflecting higher revenue, partially offset by higher programming and production costs from our continued investment in original programming and higher sports programming rights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2013, revenue from the Cable Networks segment increased 5.5% to $6.9 billion compared to $6.5 billion in 2012. Operating cash flow increased 6.8% to $2.6 billion compared to $2.4 billion in the first nine months of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third quarter of 2013, revenue from the Broadcast Television segment decreased 41.1% to $1.6 billion compared to $2.8 billion in the third quarter of 2012. Excluding $1.2 billion of revenue generated by the Olympics in the third quarter of 2012, revenue increased 2.6% driven by higher retransmission consent fees and a 2.6% increase in advertising revenue. Operating cash flow decreased 61.1% to $34 million compared to $88 million in the third quarter of 2012. Excluding $ 120 million of operating cash flow generated by the Olympics in the third quarter of 2012, operating cash flow increased $66 million reflecting higher revenue and relatively flat operating costs and expenses (See Table 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2013, revenue from the Broadcast Television segment decreased 21.1% to $4.9 billion compared to $6.2 billion in 2012. Excluding $259 million of revenue generated by the NFL’s Super Bowl in the first quarter of 2012 and the impact of the Olympics in the third quarter of 2012, revenue increased 2.9%. Operating cash flow decreased 23.4% to $205 million compared to $268 million in the first nine months of 2012. Excluding the impact of the Olympics in the third quarter of 2012, operating cash flow increased 38.9% (see Table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third quarter of 2013, revenue from the Filmed Entertainment segment increased 3.3% to $1.4 billion compared to the third quarter of 2012, driven by higher theatrical revenue from the strong box office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partially offset by a decrease in home entertainment revenue due to lower volume of new releases compared to last year. Operating cash flow increased $117 million to $189 million compared to $72 million in the third quarter of 2012, reflecting the strong performance of the film slate.</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2013, revenue from the Filmed Entertainment segment increased 6.0% to $4.0 billion compared to $3.8 billion in 2012. Operating cash flow increased $296 million to $291 million compared to a loss of $5 million in the first nine months of 2012.</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third quarter of 2013, revenue from the Theme Parks segment increased 7.9% to $661 million compared to $614 million in the third quarter of 2012, driven by higher per capita spending at the Orlando and Hollywood theme parks and higher guest attendance at our Orlando park following the launch of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 Third quarter operating cash flow increased 8.6% to $343 million compared to $316 million in the third quarter of 2012, primarily reflecting higher revenue, partially offset by increased operating costs to support new attractions.</w:t>
      </w:r>
    </w:p>
    <w:p>
      <w:pPr>
        <w:sectPr>
          <w:pgSz w:w="11900" w:h="16838" w:orient="portrait"/>
          <w:cols w:equalWidth="0" w:num="1">
            <w:col w:w="11420"/>
          </w:cols>
          <w:pgMar w:left="240" w:top="319" w:right="239" w:bottom="130"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For the nine months ended September 30, 2013, revenue from the Theme Parks segment increased 6.7% to $1.7 billion compared to $1.6 billion in 2012. Operating cash flow increased 5.6% to $747 million compared to $708 million in the first nine months of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2013, NBCUniversal Headquarters, Other and Eliminations operating cash flow loss was $169 million compared to a loss of $145 million in the third quarter of 2012, reflecting higher employee costs.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2013, NBCUniversal Headquarters, Other and Eliminations operating cash flow loss was $421 million compared to a loss of $444 million in 2012.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include corporate operations, Comcast-Spectacor and eliminations among Comcast’s businesses. For the quarter ended September 30, 2013, Corporate, Other and Eliminations revenue was ($ 191) million compared to ($254) million in 2012. The operating cash flow loss was $166 million, including $74 million of costs associated with the termination of a pension plan, and compared to a loss of $130 million in the third quarter of 2012.</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2013, Corporate, Other and Eliminations revenue was ($630) million compared to ($637) million in 2012. The operating cash flow loss was $405 million, including $74 million of costs associated with the termination of a pension plan, compared to a loss of $289 million in the first nine months of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31" w:lineRule="exact"/>
        <w:rPr>
          <w:sz w:val="20"/>
          <w:szCs w:val="20"/>
          <w:color w:val="auto"/>
        </w:rPr>
      </w:pPr>
    </w:p>
    <w:p>
      <w:pPr>
        <w:ind w:left="180" w:hanging="166"/>
        <w:spacing w:after="0" w:line="246"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hanging="166"/>
        <w:spacing w:after="0"/>
        <w:tabs>
          <w:tab w:leader="none" w:pos="213"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October 30, 2013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Those parties interested in participating via telephone should dial (800) 263-8495 with the conference ID number 63826624. A replay of the call will be available starting at 12:30 p.m. ET on October 30, 2013, on the Investor Relations website or by telephone. To access the telephone replay, which will be available until Wednesday, November 6, 2013 at midnight ET, please dial (855) 859-2056 and enter the conference ID number 63826624.</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on our corporate blog, </w:t>
      </w:r>
      <w:r>
        <w:rPr>
          <w:rFonts w:ascii="Arial" w:cs="Arial" w:eastAsia="Arial" w:hAnsi="Arial"/>
          <w:sz w:val="18"/>
          <w:szCs w:val="18"/>
          <w:u w:val="single" w:color="auto"/>
          <w:color w:val="auto"/>
        </w:rPr>
        <w:t>www.corporate.comcast.com/comcast-voices</w:t>
      </w:r>
      <w:r>
        <w:rPr>
          <w:rFonts w:ascii="Arial" w:cs="Arial" w:eastAsia="Arial" w:hAnsi="Arial"/>
          <w:sz w:val="18"/>
          <w:szCs w:val="18"/>
          <w:color w:val="auto"/>
        </w:rPr>
        <w:t xml:space="preserve">.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p>
      <w:pPr>
        <w:sectPr>
          <w:pgSz w:w="11900" w:h="16838" w:orient="portrait"/>
          <w:cols w:equalWidth="0" w:num="1">
            <w:col w:w="11420"/>
          </w:cols>
          <w:pgMar w:left="240" w:top="140" w:right="239" w:bottom="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403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340"/>
              <w:spacing w:after="0" w:line="202" w:lineRule="exact"/>
              <w:rPr>
                <w:sz w:val="20"/>
                <w:szCs w:val="20"/>
                <w:color w:val="auto"/>
              </w:rPr>
            </w:pPr>
            <w:r>
              <w:rPr>
                <w:rFonts w:ascii="Arial" w:cs="Arial" w:eastAsia="Arial" w:hAnsi="Arial"/>
                <w:sz w:val="18"/>
                <w:szCs w:val="18"/>
                <w:color w:val="auto"/>
              </w:rPr>
              <w:t>(in millions, except per share data)</w:t>
            </w:r>
          </w:p>
        </w:tc>
        <w:tc>
          <w:tcPr>
            <w:tcW w:w="180" w:type="dxa"/>
            <w:vAlign w:val="bottom"/>
          </w:tcPr>
          <w:p>
            <w:pPr>
              <w:spacing w:after="0"/>
              <w:rPr>
                <w:sz w:val="17"/>
                <w:szCs w:val="17"/>
                <w:color w:val="auto"/>
              </w:rPr>
            </w:pPr>
          </w:p>
        </w:tc>
        <w:tc>
          <w:tcPr>
            <w:tcW w:w="2960" w:type="dxa"/>
            <w:vAlign w:val="bottom"/>
            <w:gridSpan w:val="4"/>
          </w:tcPr>
          <w:p>
            <w:pPr>
              <w:jc w:val="center"/>
              <w:ind w:right="400"/>
              <w:spacing w:after="0" w:line="202" w:lineRule="exact"/>
              <w:rPr>
                <w:sz w:val="20"/>
                <w:szCs w:val="20"/>
                <w:color w:val="auto"/>
              </w:rPr>
            </w:pPr>
            <w:r>
              <w:rPr>
                <w:rFonts w:ascii="Arial" w:cs="Arial" w:eastAsia="Arial" w:hAnsi="Arial"/>
                <w:sz w:val="18"/>
                <w:szCs w:val="18"/>
                <w:b w:val="1"/>
                <w:bCs w:val="1"/>
                <w:color w:val="auto"/>
              </w:rPr>
              <w:t>September 30,</w:t>
            </w:r>
          </w:p>
        </w:tc>
        <w:tc>
          <w:tcPr>
            <w:tcW w:w="2540" w:type="dxa"/>
            <w:vAlign w:val="bottom"/>
            <w:gridSpan w:val="3"/>
          </w:tcPr>
          <w:p>
            <w:pPr>
              <w:jc w:val="right"/>
              <w:ind w:right="570"/>
              <w:spacing w:after="0" w:line="202" w:lineRule="exact"/>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Revenue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28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$16,151</w:t>
            </w:r>
          </w:p>
        </w:tc>
        <w:tc>
          <w:tcPr>
            <w:tcW w:w="4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$46,633</w:t>
            </w:r>
          </w:p>
        </w:tc>
        <w:tc>
          <w:tcPr>
            <w:tcW w:w="28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560" w:type="dxa"/>
            <w:vAlign w:val="bottom"/>
          </w:tcPr>
          <w:p>
            <w:pPr>
              <w:ind w:left="520"/>
              <w:spacing w:after="0"/>
              <w:rPr>
                <w:sz w:val="20"/>
                <w:szCs w:val="20"/>
                <w:color w:val="auto"/>
              </w:rPr>
            </w:pPr>
            <w:r>
              <w:rPr>
                <w:rFonts w:ascii="Arial" w:cs="Arial" w:eastAsia="Arial" w:hAnsi="Arial"/>
                <w:sz w:val="18"/>
                <w:szCs w:val="18"/>
                <w:color w:val="auto"/>
              </w:rPr>
              <w:t>Programming and production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5,726</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4,787</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15,013</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14,418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520"/>
              <w:spacing w:after="0" w:line="202" w:lineRule="exact"/>
              <w:rPr>
                <w:sz w:val="20"/>
                <w:szCs w:val="20"/>
                <w:color w:val="auto"/>
              </w:rPr>
            </w:pPr>
            <w:r>
              <w:rPr>
                <w:rFonts w:ascii="Arial" w:cs="Arial" w:eastAsia="Arial" w:hAnsi="Arial"/>
                <w:sz w:val="18"/>
                <w:szCs w:val="18"/>
                <w:color w:val="auto"/>
              </w:rPr>
              <w:t>Other operating and administrative</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4,580</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4,751</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13,190</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520"/>
              <w:spacing w:after="0"/>
              <w:rPr>
                <w:sz w:val="20"/>
                <w:szCs w:val="20"/>
                <w:color w:val="auto"/>
              </w:rPr>
            </w:pPr>
            <w:r>
              <w:rPr>
                <w:rFonts w:ascii="Arial" w:cs="Arial" w:eastAsia="Arial" w:hAnsi="Arial"/>
                <w:sz w:val="18"/>
                <w:szCs w:val="18"/>
                <w:color w:val="auto"/>
              </w:rPr>
              <w:t>Advertising, marketing and promotion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1,283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3,730</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11,536</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10,821</w:t>
            </w:r>
          </w:p>
        </w:tc>
        <w:tc>
          <w:tcPr>
            <w:tcW w:w="4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31,933</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Operating cash flow</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5,008</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5,330</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15,789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60" w:type="dxa"/>
            <w:vAlign w:val="bottom"/>
          </w:tcPr>
          <w:p>
            <w:pPr>
              <w:ind w:left="520"/>
              <w:spacing w:after="0"/>
              <w:rPr>
                <w:sz w:val="20"/>
                <w:szCs w:val="20"/>
                <w:color w:val="auto"/>
              </w:rPr>
            </w:pPr>
            <w:r>
              <w:rPr>
                <w:rFonts w:ascii="Arial" w:cs="Arial" w:eastAsia="Arial" w:hAnsi="Arial"/>
                <w:sz w:val="18"/>
                <w:szCs w:val="18"/>
                <w:color w:val="auto"/>
              </w:rPr>
              <w:t>Depreciation expense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1,520</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520"/>
              <w:spacing w:after="0"/>
              <w:rPr>
                <w:sz w:val="20"/>
                <w:szCs w:val="20"/>
                <w:color w:val="auto"/>
              </w:rPr>
            </w:pPr>
            <w:r>
              <w:rPr>
                <w:rFonts w:ascii="Arial" w:cs="Arial" w:eastAsia="Arial" w:hAnsi="Arial"/>
                <w:sz w:val="18"/>
                <w:szCs w:val="18"/>
                <w:color w:val="auto"/>
              </w:rPr>
              <w:t>Amortization expense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396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1,960</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1,916</w:t>
            </w:r>
          </w:p>
        </w:tc>
        <w:tc>
          <w:tcPr>
            <w:tcW w:w="4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5,815</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5,873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3,048</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3,414</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8,885</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9,916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556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(639)</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60" w:type="dxa"/>
            <w:vAlign w:val="bottom"/>
          </w:tcPr>
          <w:p>
            <w:pPr>
              <w:ind w:left="520"/>
              <w:spacing w:after="0" w:line="181" w:lineRule="exact"/>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(633)</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(1,898)</w:t>
            </w: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520"/>
              <w:spacing w:after="0" w:line="202" w:lineRule="exact"/>
              <w:rPr>
                <w:sz w:val="20"/>
                <w:szCs w:val="20"/>
                <w:color w:val="auto"/>
              </w:rPr>
            </w:pPr>
            <w:r>
              <w:rPr>
                <w:rFonts w:ascii="Arial" w:cs="Arial" w:eastAsia="Arial" w:hAnsi="Arial"/>
                <w:sz w:val="18"/>
                <w:szCs w:val="18"/>
                <w:color w:val="auto"/>
              </w:rPr>
              <w:t>Investment income (loss), net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464</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52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911</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520"/>
              <w:spacing w:after="0"/>
              <w:rPr>
                <w:sz w:val="20"/>
                <w:szCs w:val="20"/>
                <w:color w:val="auto"/>
              </w:rPr>
            </w:pPr>
            <w:r>
              <w:rPr>
                <w:rFonts w:ascii="Arial" w:cs="Arial" w:eastAsia="Arial" w:hAnsi="Arial"/>
                <w:sz w:val="18"/>
                <w:szCs w:val="18"/>
                <w:color w:val="auto"/>
              </w:rPr>
              <w:t>Other income (expense), net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1,335</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(615)</w:t>
            </w:r>
          </w:p>
        </w:tc>
        <w:tc>
          <w:tcPr>
            <w:tcW w:w="4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56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4,383</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2,799</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8,161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w:t>
            </w:r>
          </w:p>
        </w:tc>
        <w:tc>
          <w:tcPr>
            <w:tcW w:w="4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2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56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1,778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6,058</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60" w:type="dxa"/>
            <w:vAlign w:val="bottom"/>
          </w:tcPr>
          <w:p>
            <w:pPr>
              <w:ind w:left="520"/>
              <w:spacing w:after="0"/>
              <w:rPr>
                <w:sz w:val="20"/>
                <w:szCs w:val="20"/>
                <w:color w:val="auto"/>
              </w:rPr>
            </w:pPr>
            <w:r>
              <w:rPr>
                <w:rFonts w:ascii="Arial" w:cs="Arial" w:eastAsia="Arial" w:hAnsi="Arial"/>
                <w:sz w:val="18"/>
                <w:szCs w:val="18"/>
                <w:color w:val="auto"/>
              </w:rPr>
              <w:t>Net (income) loss attributable to noncontrolling interests and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tcPr>
          <w:p>
            <w:pPr>
              <w:ind w:left="700"/>
              <w:spacing w:after="0"/>
              <w:rPr>
                <w:sz w:val="20"/>
                <w:szCs w:val="20"/>
                <w:color w:val="auto"/>
              </w:rPr>
            </w:pPr>
            <w:r>
              <w:rPr>
                <w:rFonts w:ascii="Arial" w:cs="Arial" w:eastAsia="Arial" w:hAnsi="Arial"/>
                <w:sz w:val="18"/>
                <w:szCs w:val="18"/>
                <w:color w:val="auto"/>
              </w:rPr>
              <w:t>redeemable subsidiary preferred stock</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2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$2,113</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$1,732</w:t>
            </w:r>
          </w:p>
        </w:tc>
        <w:tc>
          <w:tcPr>
            <w:tcW w:w="4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$4,685</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$4,903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$0.65</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520"/>
              <w:spacing w:after="0"/>
              <w:rPr>
                <w:sz w:val="20"/>
                <w:szCs w:val="20"/>
                <w:color w:val="auto"/>
              </w:rPr>
            </w:pPr>
            <w:r>
              <w:rPr>
                <w:rFonts w:ascii="Arial" w:cs="Arial" w:eastAsia="Arial" w:hAnsi="Arial"/>
                <w:sz w:val="18"/>
                <w:szCs w:val="18"/>
                <w:b w:val="1"/>
                <w:bCs w:val="1"/>
                <w:color w:val="auto"/>
              </w:rPr>
              <w:t>Corporation shareholders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Dividends declared per common share attributable to</w:t>
            </w: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$0.195</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$0.585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60" w:type="dxa"/>
            <w:vAlign w:val="bottom"/>
          </w:tcPr>
          <w:p>
            <w:pPr>
              <w:ind w:left="520"/>
              <w:spacing w:after="0"/>
              <w:rPr>
                <w:sz w:val="20"/>
                <w:szCs w:val="20"/>
                <w:color w:val="auto"/>
              </w:rPr>
            </w:pPr>
            <w:r>
              <w:rPr>
                <w:rFonts w:ascii="Arial" w:cs="Arial" w:eastAsia="Arial" w:hAnsi="Arial"/>
                <w:sz w:val="18"/>
                <w:szCs w:val="18"/>
                <w:b w:val="1"/>
                <w:bCs w:val="1"/>
                <w:color w:val="auto"/>
              </w:rPr>
              <w:t>Comcast Corporation shareholders</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$0.1625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$0.4875</w:t>
            </w:r>
          </w:p>
        </w:tc>
        <w:tc>
          <w:tcPr>
            <w:tcW w:w="2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560" w:type="dxa"/>
            <w:vAlign w:val="bottom"/>
          </w:tcPr>
          <w:p>
            <w:pPr>
              <w:ind w:left="340"/>
              <w:spacing w:after="0"/>
              <w:rPr>
                <w:sz w:val="20"/>
                <w:szCs w:val="20"/>
                <w:color w:val="auto"/>
              </w:rPr>
            </w:pPr>
            <w:r>
              <w:rPr>
                <w:rFonts w:ascii="Arial" w:cs="Arial" w:eastAsia="Arial" w:hAnsi="Arial"/>
                <w:sz w:val="18"/>
                <w:szCs w:val="18"/>
                <w:color w:val="auto"/>
              </w:rPr>
              <w:t>Diluted weighted-average number of common shares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2,658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2,668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560" w:type="dxa"/>
            <w:vAlign w:val="bottom"/>
          </w:tcPr>
          <w:p>
            <w:pPr>
              <w:spacing w:after="0"/>
              <w:rPr>
                <w:sz w:val="24"/>
                <w:szCs w:val="24"/>
                <w:color w:val="auto"/>
              </w:rPr>
            </w:pPr>
          </w:p>
        </w:tc>
        <w:tc>
          <w:tcPr>
            <w:tcW w:w="1320" w:type="dxa"/>
            <w:vAlign w:val="bottom"/>
            <w:gridSpan w:val="2"/>
          </w:tcPr>
          <w:p>
            <w:pPr>
              <w:jc w:val="right"/>
              <w:ind w:right="1030"/>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6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400" w:type="dxa"/>
            <w:vAlign w:val="bottom"/>
            <w:tcBorders>
              <w:bottom w:val="single" w:sz="8" w:color="010101"/>
            </w:tcBorders>
          </w:tcPr>
          <w:p>
            <w:pPr>
              <w:spacing w:after="0"/>
              <w:rPr>
                <w:sz w:val="10"/>
                <w:szCs w:val="10"/>
                <w:color w:val="auto"/>
              </w:rPr>
            </w:pPr>
          </w:p>
        </w:tc>
        <w:tc>
          <w:tcPr>
            <w:tcW w:w="11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349250</wp:posOffset>
            </wp:positionV>
            <wp:extent cx="96075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440" w:type="dxa"/>
            <w:vAlign w:val="bottom"/>
          </w:tcPr>
          <w:p>
            <w:pPr>
              <w:spacing w:after="0"/>
              <w:rPr>
                <w:sz w:val="20"/>
                <w:szCs w:val="20"/>
                <w:color w:val="auto"/>
              </w:rPr>
            </w:pPr>
            <w:r>
              <w:rPr>
                <w:rFonts w:ascii="Arial" w:cs="Arial" w:eastAsia="Arial" w:hAnsi="Arial"/>
                <w:sz w:val="18"/>
                <w:szCs w:val="18"/>
                <w:color w:val="auto"/>
              </w:rPr>
              <w:t>(in millions)</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4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r>
        <w:trPr>
          <w:trHeight w:val="181"/>
        </w:trPr>
        <w:tc>
          <w:tcPr>
            <w:tcW w:w="744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$10,951</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360"/>
              <w:spacing w:after="0" w:line="202" w:lineRule="exact"/>
              <w:rPr>
                <w:sz w:val="20"/>
                <w:szCs w:val="20"/>
                <w:color w:val="auto"/>
              </w:rPr>
            </w:pPr>
            <w:r>
              <w:rPr>
                <w:rFonts w:ascii="Arial" w:cs="Arial" w:eastAsia="Arial" w:hAnsi="Arial"/>
                <w:sz w:val="18"/>
                <w:szCs w:val="18"/>
                <w:color w:val="auto"/>
              </w:rPr>
              <w:t>Investments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4,132</w:t>
            </w:r>
          </w:p>
        </w:tc>
        <w:tc>
          <w:tcPr>
            <w:tcW w:w="0" w:type="dxa"/>
            <w:vAlign w:val="bottom"/>
          </w:tcPr>
          <w:p>
            <w:pPr>
              <w:spacing w:after="0"/>
              <w:rPr>
                <w:sz w:val="1"/>
                <w:szCs w:val="1"/>
                <w:color w:val="auto"/>
              </w:rPr>
            </w:pPr>
          </w:p>
        </w:tc>
      </w:tr>
      <w:tr>
        <w:trPr>
          <w:trHeight w:val="203"/>
        </w:trPr>
        <w:tc>
          <w:tcPr>
            <w:tcW w:w="744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5,521</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5,501</w:t>
            </w:r>
          </w:p>
        </w:tc>
        <w:tc>
          <w:tcPr>
            <w:tcW w:w="0" w:type="dxa"/>
            <w:vAlign w:val="bottom"/>
          </w:tcPr>
          <w:p>
            <w:pPr>
              <w:spacing w:after="0"/>
              <w:rPr>
                <w:sz w:val="1"/>
                <w:szCs w:val="1"/>
                <w:color w:val="auto"/>
              </w:rPr>
            </w:pPr>
          </w:p>
        </w:tc>
      </w:tr>
      <w:tr>
        <w:trPr>
          <w:trHeight w:val="203"/>
        </w:trPr>
        <w:tc>
          <w:tcPr>
            <w:tcW w:w="744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959</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0" w:type="dxa"/>
            <w:vAlign w:val="bottom"/>
          </w:tcPr>
          <w:p>
            <w:pPr>
              <w:spacing w:after="0"/>
              <w:rPr>
                <w:sz w:val="1"/>
                <w:szCs w:val="1"/>
                <w:color w:val="auto"/>
              </w:rPr>
            </w:pPr>
          </w:p>
        </w:tc>
      </w:tr>
      <w:tr>
        <w:trPr>
          <w:trHeight w:val="196"/>
        </w:trPr>
        <w:tc>
          <w:tcPr>
            <w:tcW w:w="7440" w:type="dxa"/>
            <w:vAlign w:val="bottom"/>
          </w:tcPr>
          <w:p>
            <w:pPr>
              <w:ind w:left="540"/>
              <w:spacing w:after="0" w:line="196" w:lineRule="exact"/>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19,991</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13,407</w:t>
            </w:r>
          </w:p>
        </w:tc>
        <w:tc>
          <w:tcPr>
            <w:tcW w:w="0" w:type="dxa"/>
            <w:vAlign w:val="bottom"/>
          </w:tcPr>
          <w:p>
            <w:pPr>
              <w:spacing w:after="0"/>
              <w:rPr>
                <w:sz w:val="1"/>
                <w:szCs w:val="1"/>
                <w:color w:val="auto"/>
              </w:rPr>
            </w:pPr>
          </w:p>
        </w:tc>
      </w:tr>
      <w:tr>
        <w:trPr>
          <w:trHeight w:val="412"/>
        </w:trPr>
        <w:tc>
          <w:tcPr>
            <w:tcW w:w="744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580" w:type="dxa"/>
            <w:vAlign w:val="bottom"/>
          </w:tcPr>
          <w:p>
            <w:pPr>
              <w:jc w:val="right"/>
              <w:spacing w:after="0"/>
              <w:rPr>
                <w:sz w:val="20"/>
                <w:szCs w:val="20"/>
                <w:color w:val="auto"/>
              </w:rPr>
            </w:pPr>
            <w:r>
              <w:rPr>
                <w:rFonts w:ascii="Arial" w:cs="Arial" w:eastAsia="Arial" w:hAnsi="Arial"/>
                <w:sz w:val="18"/>
                <w:szCs w:val="18"/>
                <w:color w:val="auto"/>
              </w:rPr>
              <w:t>5,054</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4,588</w:t>
            </w:r>
          </w:p>
        </w:tc>
        <w:tc>
          <w:tcPr>
            <w:tcW w:w="0" w:type="dxa"/>
            <w:vAlign w:val="bottom"/>
          </w:tcPr>
          <w:p>
            <w:pPr>
              <w:spacing w:after="0"/>
              <w:rPr>
                <w:sz w:val="1"/>
                <w:szCs w:val="1"/>
                <w:color w:val="auto"/>
              </w:rPr>
            </w:pPr>
          </w:p>
        </w:tc>
      </w:tr>
    </w:tbl>
    <w:p>
      <w:pPr>
        <w:sectPr>
          <w:pgSz w:w="11900" w:h="16838" w:orient="portrait"/>
          <w:cols w:equalWidth="0" w:num="1">
            <w:col w:w="11460"/>
          </w:cols>
          <w:pgMar w:left="240" w:top="636"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ind w:left="520"/>
              <w:spacing w:after="0"/>
              <w:rPr>
                <w:sz w:val="20"/>
                <w:szCs w:val="20"/>
                <w:color w:val="auto"/>
              </w:rPr>
            </w:pPr>
            <w:r>
              <w:rPr>
                <w:rFonts w:ascii="Arial" w:cs="Arial" w:eastAsia="Arial" w:hAnsi="Arial"/>
                <w:sz w:val="18"/>
                <w:szCs w:val="18"/>
                <w:color w:val="auto"/>
              </w:rPr>
              <w:t>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6,325</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3,672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jc w:val="right"/>
              <w:spacing w:after="0"/>
              <w:rPr>
                <w:sz w:val="20"/>
                <w:szCs w:val="20"/>
                <w:color w:val="auto"/>
              </w:rPr>
            </w:pPr>
            <w:r>
              <w:rPr>
                <w:rFonts w:ascii="Arial" w:cs="Arial" w:eastAsia="Arial" w:hAnsi="Arial"/>
                <w:sz w:val="18"/>
                <w:szCs w:val="18"/>
                <w:color w:val="auto"/>
              </w:rPr>
              <w:t>27,232</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28,806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Franchise rights</w:t>
            </w:r>
          </w:p>
        </w:tc>
        <w:tc>
          <w:tcPr>
            <w:tcW w:w="1580" w:type="dxa"/>
            <w:vAlign w:val="bottom"/>
          </w:tcPr>
          <w:p>
            <w:pPr>
              <w:jc w:val="right"/>
              <w:spacing w:after="0"/>
              <w:rPr>
                <w:sz w:val="20"/>
                <w:szCs w:val="20"/>
                <w:color w:val="auto"/>
              </w:rPr>
            </w:pPr>
            <w:r>
              <w:rPr>
                <w:rFonts w:ascii="Arial" w:cs="Arial" w:eastAsia="Arial" w:hAnsi="Arial"/>
                <w:sz w:val="18"/>
                <w:szCs w:val="18"/>
                <w:color w:val="auto"/>
              </w:rPr>
              <w:t>59,364</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59,364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Goodwill</w:t>
            </w:r>
          </w:p>
        </w:tc>
        <w:tc>
          <w:tcPr>
            <w:tcW w:w="1580" w:type="dxa"/>
            <w:vAlign w:val="bottom"/>
          </w:tcPr>
          <w:p>
            <w:pPr>
              <w:jc w:val="right"/>
              <w:spacing w:after="0"/>
              <w:rPr>
                <w:sz w:val="20"/>
                <w:szCs w:val="20"/>
                <w:color w:val="auto"/>
              </w:rPr>
            </w:pPr>
            <w:r>
              <w:rPr>
                <w:rFonts w:ascii="Arial" w:cs="Arial" w:eastAsia="Arial" w:hAnsi="Arial"/>
                <w:sz w:val="18"/>
                <w:szCs w:val="18"/>
                <w:color w:val="auto"/>
              </w:rPr>
              <w:t>26,985</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27,079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Other intangible assets, net</w:t>
            </w:r>
          </w:p>
        </w:tc>
        <w:tc>
          <w:tcPr>
            <w:tcW w:w="1580" w:type="dxa"/>
            <w:vAlign w:val="bottom"/>
          </w:tcPr>
          <w:p>
            <w:pPr>
              <w:jc w:val="right"/>
              <w:spacing w:after="0"/>
              <w:rPr>
                <w:sz w:val="20"/>
                <w:szCs w:val="20"/>
                <w:color w:val="auto"/>
              </w:rPr>
            </w:pPr>
            <w:r>
              <w:rPr>
                <w:rFonts w:ascii="Arial" w:cs="Arial" w:eastAsia="Arial" w:hAnsi="Arial"/>
                <w:sz w:val="18"/>
                <w:szCs w:val="18"/>
                <w:color w:val="auto"/>
              </w:rPr>
              <w:t>17,840</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17,334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80" w:type="dxa"/>
            <w:vAlign w:val="bottom"/>
          </w:tcPr>
          <w:p>
            <w:pPr>
              <w:ind w:left="520"/>
              <w:spacing w:after="0"/>
              <w:rPr>
                <w:sz w:val="20"/>
                <w:szCs w:val="20"/>
                <w:color w:val="auto"/>
              </w:rPr>
            </w:pPr>
            <w:r>
              <w:rPr>
                <w:rFonts w:ascii="Arial" w:cs="Arial" w:eastAsia="Arial" w:hAnsi="Arial"/>
                <w:sz w:val="18"/>
                <w:szCs w:val="18"/>
                <w:color w:val="auto"/>
              </w:rPr>
              <w:t>Other noncurrent assets, net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LIABILITIES AND EQUITY</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80" w:type="dxa"/>
            <w:vAlign w:val="bottom"/>
          </w:tcPr>
          <w:p>
            <w:pPr>
              <w:ind w:left="520"/>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$6,032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780" w:type="dxa"/>
            <w:vAlign w:val="bottom"/>
          </w:tcPr>
          <w:p>
            <w:pPr>
              <w:ind w:left="7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$6,206</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Accrued participations and residuals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Deferred revenue</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7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3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7,924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700"/>
              <w:spacing w:after="0"/>
              <w:rPr>
                <w:sz w:val="20"/>
                <w:szCs w:val="20"/>
                <w:color w:val="auto"/>
              </w:rPr>
            </w:pPr>
            <w:r>
              <w:rPr>
                <w:rFonts w:ascii="Arial" w:cs="Arial" w:eastAsia="Arial" w:hAnsi="Arial"/>
                <w:sz w:val="18"/>
                <w:szCs w:val="18"/>
                <w:color w:val="auto"/>
              </w:rPr>
              <w:t>Current portion of long-term debt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880"/>
              <w:spacing w:after="0" w:line="196" w:lineRule="exact"/>
              <w:rPr>
                <w:sz w:val="20"/>
                <w:szCs w:val="20"/>
                <w:color w:val="auto"/>
              </w:rPr>
            </w:pPr>
            <w:r>
              <w:rPr>
                <w:rFonts w:ascii="Arial" w:cs="Arial" w:eastAsia="Arial" w:hAnsi="Arial"/>
                <w:sz w:val="18"/>
                <w:szCs w:val="18"/>
                <w:color w:val="auto"/>
              </w:rPr>
              <w:t>Total current liabilities</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16,714</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18,666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780" w:type="dxa"/>
            <w:vAlign w:val="bottom"/>
          </w:tcPr>
          <w:p>
            <w:pPr>
              <w:ind w:left="520"/>
              <w:spacing w:after="0"/>
              <w:rPr>
                <w:sz w:val="20"/>
                <w:szCs w:val="20"/>
                <w:color w:val="auto"/>
              </w:rPr>
            </w:pPr>
            <w:r>
              <w:rPr>
                <w:rFonts w:ascii="Arial" w:cs="Arial" w:eastAsia="Arial" w:hAnsi="Arial"/>
                <w:sz w:val="18"/>
                <w:szCs w:val="18"/>
                <w:color w:val="auto"/>
              </w:rPr>
              <w:t>Long-term debt, less current portion</w:t>
            </w:r>
          </w:p>
        </w:tc>
        <w:tc>
          <w:tcPr>
            <w:tcW w:w="1580" w:type="dxa"/>
            <w:vAlign w:val="bottom"/>
          </w:tcPr>
          <w:p>
            <w:pPr>
              <w:jc w:val="right"/>
              <w:spacing w:after="0"/>
              <w:rPr>
                <w:sz w:val="20"/>
                <w:szCs w:val="20"/>
                <w:color w:val="auto"/>
              </w:rPr>
            </w:pPr>
            <w:r>
              <w:rPr>
                <w:rFonts w:ascii="Arial" w:cs="Arial" w:eastAsia="Arial" w:hAnsi="Arial"/>
                <w:sz w:val="18"/>
                <w:szCs w:val="18"/>
                <w:color w:val="auto"/>
              </w:rPr>
              <w:t>38,082</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44,188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30,110</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31,261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Other noncurrent liabilities</w:t>
            </w:r>
          </w:p>
        </w:tc>
        <w:tc>
          <w:tcPr>
            <w:tcW w:w="1580" w:type="dxa"/>
            <w:vAlign w:val="bottom"/>
          </w:tcPr>
          <w:p>
            <w:pPr>
              <w:jc w:val="right"/>
              <w:spacing w:after="0"/>
              <w:rPr>
                <w:sz w:val="20"/>
                <w:szCs w:val="20"/>
                <w:color w:val="auto"/>
              </w:rPr>
            </w:pPr>
            <w:r>
              <w:rPr>
                <w:rFonts w:ascii="Arial" w:cs="Arial" w:eastAsia="Arial" w:hAnsi="Arial"/>
                <w:sz w:val="18"/>
                <w:szCs w:val="18"/>
                <w:color w:val="auto"/>
              </w:rPr>
              <w:t>13,271</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11,493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80" w:type="dxa"/>
            <w:vAlign w:val="bottom"/>
          </w:tcPr>
          <w:p>
            <w:pPr>
              <w:ind w:left="5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16,998</w:t>
            </w:r>
          </w:p>
        </w:tc>
        <w:tc>
          <w:tcPr>
            <w:tcW w:w="3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80" w:type="dxa"/>
            <w:vAlign w:val="bottom"/>
          </w:tcPr>
          <w:p>
            <w:pPr>
              <w:ind w:left="520"/>
              <w:spacing w:after="0"/>
              <w:rPr>
                <w:sz w:val="20"/>
                <w:szCs w:val="20"/>
                <w:color w:val="auto"/>
              </w:rPr>
            </w:pPr>
            <w:r>
              <w:rPr>
                <w:rFonts w:ascii="Arial" w:cs="Arial" w:eastAsia="Arial" w:hAnsi="Arial"/>
                <w:sz w:val="18"/>
                <w:szCs w:val="18"/>
                <w:color w:val="auto"/>
              </w:rPr>
              <w:t>Equity</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49,718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780" w:type="dxa"/>
            <w:vAlign w:val="bottom"/>
          </w:tcPr>
          <w:p>
            <w:pPr>
              <w:ind w:left="700"/>
              <w:spacing w:after="0" w:line="181" w:lineRule="exact"/>
              <w:rPr>
                <w:sz w:val="20"/>
                <w:szCs w:val="20"/>
                <w:color w:val="auto"/>
              </w:rPr>
            </w:pPr>
            <w:r>
              <w:rPr>
                <w:rFonts w:ascii="Arial" w:cs="Arial" w:eastAsia="Arial" w:hAnsi="Arial"/>
                <w:sz w:val="18"/>
                <w:szCs w:val="18"/>
                <w:color w:val="auto"/>
              </w:rPr>
              <w:t>Comcast Corporation shareholders’ equity</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49,356</w:t>
            </w:r>
          </w:p>
        </w:tc>
        <w:tc>
          <w:tcPr>
            <w:tcW w:w="3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880"/>
              <w:spacing w:after="0" w:line="196" w:lineRule="exact"/>
              <w:rPr>
                <w:sz w:val="20"/>
                <w:szCs w:val="20"/>
                <w:color w:val="auto"/>
              </w:rPr>
            </w:pPr>
            <w:r>
              <w:rPr>
                <w:rFonts w:ascii="Arial" w:cs="Arial" w:eastAsia="Arial" w:hAnsi="Arial"/>
                <w:sz w:val="18"/>
                <w:szCs w:val="18"/>
                <w:color w:val="auto"/>
              </w:rPr>
              <w:t>Total equity</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49,796</w:t>
            </w: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50,134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$164,971</w:t>
            </w:r>
          </w:p>
        </w:tc>
        <w:tc>
          <w:tcPr>
            <w:tcW w:w="3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7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780" w:type="dxa"/>
            <w:vAlign w:val="bottom"/>
            <w:tcBorders>
              <w:bottom w:val="single" w:sz="8" w:color="010101"/>
            </w:tcBorders>
          </w:tcPr>
          <w:p>
            <w:pPr>
              <w:spacing w:after="0"/>
              <w:rPr>
                <w:sz w:val="10"/>
                <w:szCs w:val="10"/>
                <w:color w:val="auto"/>
              </w:rPr>
            </w:pPr>
          </w:p>
        </w:tc>
        <w:tc>
          <w:tcPr>
            <w:tcW w:w="158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15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900" w:type="dxa"/>
            <w:vAlign w:val="bottom"/>
          </w:tcPr>
          <w:p>
            <w:pPr>
              <w:spacing w:after="0"/>
              <w:rPr>
                <w:sz w:val="20"/>
                <w:szCs w:val="20"/>
                <w:color w:val="auto"/>
              </w:rPr>
            </w:pPr>
            <w:r>
              <w:rPr>
                <w:rFonts w:ascii="Arial" w:cs="Arial" w:eastAsia="Arial" w:hAnsi="Arial"/>
                <w:sz w:val="18"/>
                <w:szCs w:val="18"/>
                <w:color w:val="auto"/>
              </w:rPr>
              <w:t>(in millions)</w:t>
            </w:r>
          </w:p>
        </w:tc>
        <w:tc>
          <w:tcPr>
            <w:tcW w:w="3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7900" w:type="dxa"/>
            <w:vAlign w:val="bottom"/>
          </w:tcPr>
          <w:p>
            <w:pPr>
              <w:spacing w:after="0"/>
              <w:rPr>
                <w:sz w:val="19"/>
                <w:szCs w:val="19"/>
                <w:color w:val="auto"/>
              </w:rPr>
            </w:pPr>
          </w:p>
        </w:tc>
        <w:tc>
          <w:tcPr>
            <w:tcW w:w="21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4"/>
              </w:rPr>
              <w:t>2013</w:t>
            </w:r>
          </w:p>
        </w:tc>
        <w:tc>
          <w:tcPr>
            <w:tcW w:w="0" w:type="dxa"/>
            <w:vAlign w:val="bottom"/>
          </w:tcPr>
          <w:p>
            <w:pPr>
              <w:spacing w:after="0"/>
              <w:rPr>
                <w:sz w:val="1"/>
                <w:szCs w:val="1"/>
                <w:color w:val="auto"/>
              </w:rPr>
            </w:pPr>
          </w:p>
        </w:tc>
      </w:tr>
      <w:tr>
        <w:trPr>
          <w:trHeight w:val="203"/>
        </w:trPr>
        <w:tc>
          <w:tcPr>
            <w:tcW w:w="790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9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$5,167</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$6,058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5,873</w:t>
            </w:r>
          </w:p>
        </w:tc>
        <w:tc>
          <w:tcPr>
            <w:tcW w:w="0" w:type="dxa"/>
            <w:vAlign w:val="bottom"/>
          </w:tcPr>
          <w:p>
            <w:pPr>
              <w:spacing w:after="0"/>
              <w:rPr>
                <w:sz w:val="1"/>
                <w:szCs w:val="1"/>
                <w:color w:val="auto"/>
              </w:rPr>
            </w:pPr>
          </w:p>
        </w:tc>
      </w:tr>
      <w:tr>
        <w:trPr>
          <w:trHeight w:val="181"/>
        </w:trPr>
        <w:tc>
          <w:tcPr>
            <w:tcW w:w="7900" w:type="dxa"/>
            <w:vAlign w:val="bottom"/>
          </w:tcPr>
          <w:p>
            <w:pPr>
              <w:ind w:left="360"/>
              <w:spacing w:after="0" w:line="181" w:lineRule="exact"/>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5,815</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7,295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5,998</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 (income),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Cash received from investees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(1,071)</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25"/>
        </w:trPr>
        <w:tc>
          <w:tcPr>
            <w:tcW w:w="79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181"/>
        </w:trPr>
        <w:tc>
          <w:tcPr>
            <w:tcW w:w="7900" w:type="dxa"/>
            <w:vAlign w:val="bottom"/>
          </w:tcPr>
          <w:p>
            <w:pPr>
              <w:ind w:left="36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(865)</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Change in film and television costs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(7,290)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(5,590)</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25"/>
        </w:trPr>
        <w:tc>
          <w:tcPr>
            <w:tcW w:w="7900" w:type="dxa"/>
            <w:vAlign w:val="bottom"/>
          </w:tcPr>
          <w:p>
            <w:pPr>
              <w:ind w:left="360"/>
              <w:spacing w:after="0"/>
              <w:rPr>
                <w:sz w:val="20"/>
                <w:szCs w:val="20"/>
                <w:color w:val="auto"/>
              </w:rPr>
            </w:pPr>
            <w:r>
              <w:rPr>
                <w:rFonts w:ascii="Arial" w:cs="Arial" w:eastAsia="Arial" w:hAnsi="Arial"/>
                <w:sz w:val="18"/>
                <w:szCs w:val="18"/>
                <w:color w:val="auto"/>
              </w:rPr>
              <w:t>Change in other operating assets and liabilities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752</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399"/>
        </w:trPr>
        <w:tc>
          <w:tcPr>
            <w:tcW w:w="79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11,239</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11,679</w:t>
            </w:r>
          </w:p>
        </w:tc>
        <w:tc>
          <w:tcPr>
            <w:tcW w:w="0" w:type="dxa"/>
            <w:vAlign w:val="bottom"/>
          </w:tcPr>
          <w:p>
            <w:pPr>
              <w:spacing w:after="0"/>
              <w:rPr>
                <w:sz w:val="1"/>
                <w:szCs w:val="1"/>
                <w:color w:val="auto"/>
              </w:rPr>
            </w:pPr>
          </w:p>
        </w:tc>
      </w:tr>
      <w:tr>
        <w:trPr>
          <w:trHeight w:val="398"/>
        </w:trPr>
        <w:tc>
          <w:tcPr>
            <w:tcW w:w="7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(4,593)</w:t>
            </w:r>
          </w:p>
        </w:tc>
        <w:tc>
          <w:tcPr>
            <w:tcW w:w="0" w:type="dxa"/>
            <w:vAlign w:val="bottom"/>
          </w:tcPr>
          <w:p>
            <w:pPr>
              <w:spacing w:after="0"/>
              <w:rPr>
                <w:sz w:val="1"/>
                <w:szCs w:val="1"/>
                <w:color w:val="auto"/>
              </w:rPr>
            </w:pPr>
          </w:p>
        </w:tc>
      </w:tr>
      <w:tr>
        <w:trPr>
          <w:trHeight w:val="181"/>
        </w:trPr>
        <w:tc>
          <w:tcPr>
            <w:tcW w:w="7900" w:type="dxa"/>
            <w:vAlign w:val="bottom"/>
          </w:tcPr>
          <w:p>
            <w:pPr>
              <w:ind w:left="180"/>
              <w:spacing w:after="0" w:line="181" w:lineRule="exact"/>
              <w:rPr>
                <w:sz w:val="20"/>
                <w:szCs w:val="20"/>
                <w:color w:val="auto"/>
              </w:rPr>
            </w:pPr>
            <w:r>
              <w:rPr>
                <w:rFonts w:ascii="Arial" w:cs="Arial" w:eastAsia="Arial" w:hAnsi="Arial"/>
                <w:sz w:val="18"/>
                <w:szCs w:val="18"/>
                <w:color w:val="auto"/>
              </w:rPr>
              <w:t>Capital expenditures</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(4,043)</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Cash paid for intangible assets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(694)</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Acquisitions of real estate properties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(1,705)</w:t>
            </w:r>
          </w:p>
        </w:tc>
        <w:tc>
          <w:tcPr>
            <w:tcW w:w="0" w:type="dxa"/>
            <w:vAlign w:val="bottom"/>
          </w:tcPr>
          <w:p>
            <w:pPr>
              <w:spacing w:after="0"/>
              <w:rPr>
                <w:sz w:val="1"/>
                <w:szCs w:val="1"/>
                <w:color w:val="auto"/>
              </w:rPr>
            </w:pPr>
          </w:p>
        </w:tc>
      </w:tr>
      <w:tr>
        <w:trPr>
          <w:trHeight w:val="203"/>
        </w:trPr>
        <w:tc>
          <w:tcPr>
            <w:tcW w:w="790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9"/>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sales of businesses and investments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3,095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0" w:type="dxa"/>
            <w:vAlign w:val="bottom"/>
          </w:tcPr>
          <w:p>
            <w:pPr>
              <w:spacing w:after="0"/>
              <w:rPr>
                <w:sz w:val="1"/>
                <w:szCs w:val="1"/>
                <w:color w:val="auto"/>
              </w:rPr>
            </w:pPr>
          </w:p>
        </w:tc>
      </w:tr>
    </w:tbl>
    <w:p>
      <w:pPr>
        <w:sectPr>
          <w:pgSz w:w="11900" w:h="16838" w:orient="portrait"/>
          <w:cols w:equalWidth="0" w:num="1">
            <w:col w:w="11460"/>
          </w:cols>
          <w:pgMar w:left="240" w:top="319" w:right="199" w:bottom="0" w:gutter="0" w:footer="0" w:header="0"/>
        </w:sectPr>
      </w:pPr>
    </w:p>
    <w:bookmarkStart w:id="8" w:name="page9"/>
    <w:bookmarkEnd w:id="8"/>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ind w:left="520"/>
              <w:spacing w:after="0"/>
              <w:rPr>
                <w:sz w:val="20"/>
                <w:szCs w:val="20"/>
                <w:color w:val="auto"/>
              </w:rPr>
            </w:pPr>
            <w:r>
              <w:rPr>
                <w:rFonts w:ascii="Arial" w:cs="Arial" w:eastAsia="Arial" w:hAnsi="Arial"/>
                <w:sz w:val="18"/>
                <w:szCs w:val="18"/>
                <w:color w:val="auto"/>
              </w:rPr>
              <w:t>Return of capital from investees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Purchases of investments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(1,177)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5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1060"/>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40" w:type="dxa"/>
            <w:vAlign w:val="bottom"/>
          </w:tcPr>
          <w:p>
            <w:pPr>
              <w:ind w:left="340"/>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52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(555)</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2,248</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Repurchases and repayments of debt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Dividends paid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Issuances of common stock</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520"/>
              <w:spacing w:after="0"/>
              <w:rPr>
                <w:sz w:val="20"/>
                <w:szCs w:val="20"/>
                <w:color w:val="auto"/>
              </w:rPr>
            </w:pPr>
            <w:r>
              <w:rPr>
                <w:rFonts w:ascii="Arial" w:cs="Arial" w:eastAsia="Arial" w:hAnsi="Arial"/>
                <w:sz w:val="18"/>
                <w:szCs w:val="18"/>
                <w:color w:val="auto"/>
              </w:rPr>
              <w:t>Purchase of NBCUniversal noncontrolling common equity interest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(10,761)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700"/>
              <w:spacing w:after="0" w:line="181" w:lineRule="exact"/>
              <w:rPr>
                <w:sz w:val="20"/>
                <w:szCs w:val="20"/>
                <w:color w:val="auto"/>
              </w:rPr>
            </w:pPr>
            <w:r>
              <w:rPr>
                <w:rFonts w:ascii="Arial" w:cs="Arial" w:eastAsia="Arial" w:hAnsi="Arial"/>
                <w:sz w:val="18"/>
                <w:szCs w:val="18"/>
                <w:color w:val="auto"/>
              </w:rPr>
              <w:t>stock</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(497)</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520"/>
              <w:spacing w:after="0" w:line="202" w:lineRule="exact"/>
              <w:rPr>
                <w:sz w:val="20"/>
                <w:szCs w:val="20"/>
                <w:color w:val="auto"/>
              </w:rPr>
            </w:pPr>
            <w:r>
              <w:rPr>
                <w:rFonts w:ascii="Arial" w:cs="Arial" w:eastAsia="Arial" w:hAnsi="Arial"/>
                <w:sz w:val="18"/>
                <w:szCs w:val="18"/>
                <w:color w:val="auto"/>
              </w:rPr>
              <w:t>Settlement of Station Venture liability</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5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ind w:left="340"/>
              <w:spacing w:after="0"/>
              <w:rPr>
                <w:sz w:val="20"/>
                <w:szCs w:val="20"/>
                <w:color w:val="auto"/>
              </w:rPr>
            </w:pPr>
            <w:r>
              <w:rPr>
                <w:rFonts w:ascii="Arial" w:cs="Arial" w:eastAsia="Arial" w:hAnsi="Arial"/>
                <w:sz w:val="18"/>
                <w:szCs w:val="18"/>
                <w:color w:val="auto"/>
              </w:rPr>
              <w:t>Increase (decrease) in 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7,279</w:t>
            </w: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(9,348)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1,620</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 end of period</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$8,899</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2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199" w:lineRule="exact"/>
        <w:rPr>
          <w:sz w:val="20"/>
          <w:szCs w:val="20"/>
          <w:color w:val="auto"/>
        </w:rPr>
      </w:pPr>
    </w:p>
    <w:p>
      <w:pPr>
        <w:ind w:right="2380"/>
        <w:spacing w:after="0" w:line="261" w:lineRule="auto"/>
        <w:rPr>
          <w:sz w:val="20"/>
          <w:szCs w:val="20"/>
          <w:color w:val="auto"/>
        </w:rPr>
      </w:pPr>
      <w:r>
        <w:rPr>
          <w:rFonts w:ascii="Arial" w:cs="Arial" w:eastAsia="Arial" w:hAnsi="Arial"/>
          <w:sz w:val="22"/>
          <w:szCs w:val="22"/>
          <w:b w:val="1"/>
          <w:bCs w:val="1"/>
          <w:color w:val="C9C9C9"/>
        </w:rPr>
        <w:t>Alternate Presentation of Net Cash Provided by Operating Activities and Free Cash Flow (Unaudited)</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180" w:type="dxa"/>
            <w:vAlign w:val="bottom"/>
            <w:gridSpan w:val="4"/>
          </w:tcPr>
          <w:p>
            <w:pPr>
              <w:jc w:val="center"/>
              <w:ind w:left="60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3"/>
          </w:tcPr>
          <w:p>
            <w:pPr>
              <w:jc w:val="center"/>
              <w:ind w:left="628"/>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2180" w:type="dxa"/>
            <w:vAlign w:val="bottom"/>
            <w:gridSpan w:val="4"/>
          </w:tcPr>
          <w:p>
            <w:pPr>
              <w:jc w:val="center"/>
              <w:ind w:left="608"/>
              <w:spacing w:after="0"/>
              <w:rPr>
                <w:sz w:val="20"/>
                <w:szCs w:val="20"/>
                <w:color w:val="auto"/>
              </w:rPr>
            </w:pPr>
            <w:r>
              <w:rPr>
                <w:rFonts w:ascii="Arial" w:cs="Arial" w:eastAsia="Arial" w:hAnsi="Arial"/>
                <w:sz w:val="14"/>
                <w:szCs w:val="14"/>
                <w:b w:val="1"/>
                <w:bCs w:val="1"/>
                <w:color w:val="auto"/>
              </w:rPr>
              <w:t>September 30,</w:t>
            </w: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September 30,</w:t>
            </w: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7"/>
        </w:trPr>
        <w:tc>
          <w:tcPr>
            <w:tcW w:w="4200" w:type="dxa"/>
            <w:vAlign w:val="bottom"/>
          </w:tcPr>
          <w:p>
            <w:pPr>
              <w:spacing w:after="0" w:line="157" w:lineRule="exact"/>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2012</w:t>
            </w:r>
          </w:p>
        </w:tc>
        <w:tc>
          <w:tcPr>
            <w:tcW w:w="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2012</w:t>
            </w:r>
          </w:p>
        </w:tc>
        <w:tc>
          <w:tcPr>
            <w:tcW w:w="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$3,048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$3,414</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$8,885</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$9,916</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1,960</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5,815</w:t>
            </w: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5,873</w:t>
            </w: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5,008</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5,330</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14,700</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15,789</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583</w:t>
            </w: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4,802</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5,594</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14,724</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16,684</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Payments of interest</w:t>
            </w:r>
          </w:p>
        </w:tc>
        <w:tc>
          <w:tcPr>
            <w:tcW w:w="1000" w:type="dxa"/>
            <w:vAlign w:val="bottom"/>
          </w:tcPr>
          <w:p>
            <w:pPr>
              <w:jc w:val="right"/>
              <w:spacing w:after="0"/>
              <w:rPr>
                <w:sz w:val="20"/>
                <w:szCs w:val="20"/>
                <w:color w:val="auto"/>
              </w:rPr>
            </w:pPr>
            <w:r>
              <w:rPr>
                <w:rFonts w:ascii="Arial" w:cs="Arial" w:eastAsia="Arial" w:hAnsi="Arial"/>
                <w:sz w:val="14"/>
                <w:szCs w:val="14"/>
                <w:color w:val="auto"/>
              </w:rPr>
              <w:t>(567)</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(1,725)</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(1,768)</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1000" w:type="dxa"/>
            <w:vAlign w:val="bottom"/>
          </w:tcPr>
          <w:p>
            <w:pPr>
              <w:jc w:val="right"/>
              <w:spacing w:after="0"/>
              <w:rPr>
                <w:sz w:val="20"/>
                <w:szCs w:val="20"/>
                <w:color w:val="auto"/>
              </w:rPr>
            </w:pPr>
            <w:r>
              <w:rPr>
                <w:rFonts w:ascii="Arial" w:cs="Arial" w:eastAsia="Arial" w:hAnsi="Arial"/>
                <w:sz w:val="14"/>
                <w:szCs w:val="14"/>
                <w:color w:val="auto"/>
              </w:rPr>
              <w:t>(833)</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(958)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(1,855)</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(3,180)</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Proceeds from investments and other</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$3,424</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$3,994</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$11,239</w:t>
            </w:r>
          </w:p>
        </w:tc>
        <w:tc>
          <w:tcPr>
            <w:tcW w:w="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$11,679</w:t>
            </w: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(1,582)</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(1,726)</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(4,043)</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(4,593)</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000" w:type="dxa"/>
            <w:vAlign w:val="bottom"/>
          </w:tcPr>
          <w:p>
            <w:pPr>
              <w:jc w:val="right"/>
              <w:spacing w:after="0"/>
              <w:rPr>
                <w:sz w:val="20"/>
                <w:szCs w:val="20"/>
                <w:color w:val="auto"/>
              </w:rPr>
            </w:pPr>
            <w:r>
              <w:rPr>
                <w:rFonts w:ascii="Arial" w:cs="Arial" w:eastAsia="Arial" w:hAnsi="Arial"/>
                <w:sz w:val="14"/>
                <w:szCs w:val="14"/>
                <w:color w:val="auto"/>
              </w:rPr>
              <w:t>(191)</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(694)</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4"/>
        </w:trPr>
        <w:tc>
          <w:tcPr>
            <w:tcW w:w="4200" w:type="dxa"/>
            <w:vAlign w:val="bottom"/>
          </w:tcPr>
          <w:p>
            <w:pPr>
              <w:ind w:left="180"/>
              <w:spacing w:after="0" w:line="144" w:lineRule="exact"/>
              <w:rPr>
                <w:sz w:val="20"/>
                <w:szCs w:val="20"/>
                <w:color w:val="auto"/>
              </w:rPr>
            </w:pPr>
            <w:r>
              <w:rPr>
                <w:rFonts w:ascii="Arial" w:cs="Arial" w:eastAsia="Arial" w:hAnsi="Arial"/>
                <w:sz w:val="14"/>
                <w:szCs w:val="14"/>
                <w:color w:val="auto"/>
              </w:rPr>
              <w:t>redeemable subsidiary preferred stock</w:t>
            </w:r>
          </w:p>
        </w:tc>
        <w:tc>
          <w:tcPr>
            <w:tcW w:w="1000" w:type="dxa"/>
            <w:vAlign w:val="bottom"/>
          </w:tcPr>
          <w:p>
            <w:pPr>
              <w:jc w:val="right"/>
              <w:spacing w:after="0" w:line="144" w:lineRule="exact"/>
              <w:rPr>
                <w:sz w:val="20"/>
                <w:szCs w:val="20"/>
                <w:color w:val="auto"/>
              </w:rPr>
            </w:pPr>
            <w:r>
              <w:rPr>
                <w:rFonts w:ascii="Arial" w:cs="Arial" w:eastAsia="Arial" w:hAnsi="Arial"/>
                <w:sz w:val="14"/>
                <w:szCs w:val="14"/>
                <w:color w:val="auto"/>
              </w:rPr>
              <w:t>(264)</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4"/>
                <w:szCs w:val="14"/>
                <w:color w:val="auto"/>
              </w:rPr>
              <w:t>(497)</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Arial" w:cs="Arial" w:eastAsia="Arial" w:hAnsi="Arial"/>
                <w:sz w:val="14"/>
                <w:szCs w:val="14"/>
                <w:color w:val="auto"/>
              </w:rPr>
              <w:t>Nonoperating items</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w:t>
            </w: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826</w:t>
            </w:r>
          </w:p>
        </w:tc>
        <w:tc>
          <w:tcPr>
            <w:tcW w:w="0" w:type="dxa"/>
            <w:vAlign w:val="bottom"/>
          </w:tcPr>
          <w:p>
            <w:pPr>
              <w:spacing w:after="0"/>
              <w:rPr>
                <w:sz w:val="1"/>
                <w:szCs w:val="1"/>
                <w:color w:val="auto"/>
              </w:rPr>
            </w:pPr>
          </w:p>
        </w:tc>
      </w:tr>
      <w:tr>
        <w:trPr>
          <w:trHeight w:val="142"/>
        </w:trPr>
        <w:tc>
          <w:tcPr>
            <w:tcW w:w="4200" w:type="dxa"/>
            <w:vAlign w:val="bottom"/>
          </w:tcPr>
          <w:p>
            <w:pPr>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$1,603</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$1,956</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8"/>
              <w:spacing w:after="0" w:line="143" w:lineRule="exact"/>
              <w:rPr>
                <w:sz w:val="20"/>
                <w:szCs w:val="20"/>
                <w:color w:val="auto"/>
              </w:rPr>
            </w:pPr>
            <w:r>
              <w:rPr>
                <w:rFonts w:ascii="Arial" w:cs="Arial" w:eastAsia="Arial" w:hAnsi="Arial"/>
                <w:sz w:val="14"/>
                <w:szCs w:val="14"/>
                <w:color w:val="auto"/>
              </w:rPr>
              <w:t>$6,363</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$7,054</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20"/>
                <w:szCs w:val="20"/>
                <w:color w:val="auto"/>
              </w:rPr>
            </w:pPr>
            <w:r>
              <w:rPr>
                <w:rFonts w:ascii="Arial" w:cs="Arial" w:eastAsia="Arial" w:hAnsi="Arial"/>
                <w:sz w:val="14"/>
                <w:szCs w:val="14"/>
                <w:color w:val="auto"/>
              </w:rPr>
              <w:t>Economic stimulus packages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420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$1,514</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$1,968</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$6,107</w:t>
            </w:r>
          </w:p>
        </w:tc>
        <w:tc>
          <w:tcPr>
            <w:tcW w:w="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$7,054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100"/>
        <w:spacing w:after="0" w:line="261" w:lineRule="auto"/>
        <w:rPr>
          <w:sz w:val="20"/>
          <w:szCs w:val="20"/>
          <w:color w:val="auto"/>
        </w:rPr>
      </w:pPr>
      <w:r>
        <w:rPr>
          <w:rFonts w:ascii="Arial" w:cs="Arial" w:eastAsia="Arial" w:hAnsi="Arial"/>
          <w:sz w:val="22"/>
          <w:szCs w:val="22"/>
          <w:b w:val="1"/>
          <w:bCs w:val="1"/>
          <w:color w:val="C9C9C9"/>
        </w:rPr>
        <w:t>Reconciliation of EPS Excluding Gains and Losses Related to Investments, Gain on Sale of Wireless Spectrum Licenses and Pension Termination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3"/>
          </w:tcPr>
          <w:p>
            <w:pPr>
              <w:ind w:left="20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370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100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(1)</w:t>
            </w:r>
          </w:p>
        </w:tc>
        <w:tc>
          <w:tcPr>
            <w:tcW w:w="10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(1)</w:t>
            </w:r>
          </w:p>
        </w:tc>
        <w:tc>
          <w:tcPr>
            <w:tcW w:w="160" w:type="dxa"/>
            <w:vAlign w:val="bottom"/>
          </w:tcPr>
          <w:p>
            <w:pPr>
              <w:spacing w:after="0"/>
              <w:rPr>
                <w:sz w:val="13"/>
                <w:szCs w:val="13"/>
                <w:color w:val="auto"/>
              </w:rPr>
            </w:pPr>
          </w:p>
        </w:tc>
        <w:tc>
          <w:tcPr>
            <w:tcW w:w="96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(1)</w:t>
            </w: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 xml:space="preserve">EPS </w:t>
            </w:r>
            <w:r>
              <w:rPr>
                <w:rFonts w:ascii="Arial" w:cs="Arial" w:eastAsia="Arial" w:hAnsi="Arial"/>
                <w:sz w:val="14"/>
                <w:szCs w:val="14"/>
                <w:b w:val="1"/>
                <w:bCs w:val="1"/>
                <w:color w:val="auto"/>
                <w:w w:val="96"/>
                <w:vertAlign w:val="superscript"/>
              </w:rPr>
              <w:t>(1)</w:t>
            </w: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0" w:type="dxa"/>
            <w:vAlign w:val="bottom"/>
            <w:tcBorders>
              <w:right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7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00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rPr>
              <w:t>$2,113</w:t>
            </w:r>
          </w:p>
        </w:tc>
        <w:tc>
          <w:tcPr>
            <w:tcW w:w="66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$0.78</w:t>
            </w:r>
          </w:p>
        </w:tc>
        <w:tc>
          <w:tcPr>
            <w:tcW w:w="120" w:type="dxa"/>
            <w:vAlign w:val="bottom"/>
          </w:tcPr>
          <w:p>
            <w:pPr>
              <w:spacing w:after="0"/>
              <w:rPr>
                <w:sz w:val="24"/>
                <w:szCs w:val="24"/>
                <w:color w:val="auto"/>
              </w:rPr>
            </w:pPr>
          </w:p>
        </w:tc>
        <w:tc>
          <w:tcPr>
            <w:tcW w:w="10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$1,732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$0.65</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color w:val="auto"/>
              </w:rPr>
              <w:t>$4,685</w:t>
            </w:r>
          </w:p>
        </w:tc>
        <w:tc>
          <w:tcPr>
            <w:tcW w:w="64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4"/>
                <w:szCs w:val="24"/>
                <w:color w:val="auto"/>
              </w:rPr>
            </w:pPr>
          </w:p>
        </w:tc>
        <w:tc>
          <w:tcPr>
            <w:tcW w:w="9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$4,903</w:t>
            </w: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i w:val="1"/>
                <w:iCs w:val="1"/>
                <w:color w:val="auto"/>
              </w:rPr>
              <w:t>(18.0%)</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(16.7%)</w:t>
            </w: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i w:val="1"/>
                <w:iCs w:val="1"/>
                <w:color w:val="auto"/>
              </w:rPr>
              <w:t>4.7%</w:t>
            </w:r>
          </w:p>
        </w:tc>
        <w:tc>
          <w:tcPr>
            <w:tcW w:w="600" w:type="dxa"/>
            <w:vAlign w:val="bottom"/>
          </w:tcPr>
          <w:p>
            <w:pPr>
              <w:jc w:val="right"/>
              <w:ind w:right="8"/>
              <w:spacing w:after="0"/>
              <w:rPr>
                <w:sz w:val="20"/>
                <w:szCs w:val="20"/>
                <w:color w:val="auto"/>
              </w:rPr>
            </w:pPr>
            <w:r>
              <w:rPr>
                <w:rFonts w:ascii="Arial" w:cs="Arial" w:eastAsia="Arial" w:hAnsi="Arial"/>
                <w:sz w:val="14"/>
                <w:szCs w:val="14"/>
                <w:i w:val="1"/>
                <w:iCs w:val="1"/>
                <w:color w:val="auto"/>
              </w:rPr>
              <w:t>7.0%</w:t>
            </w:r>
          </w:p>
        </w:tc>
        <w:tc>
          <w:tcPr>
            <w:tcW w:w="0" w:type="dxa"/>
            <w:vAlign w:val="bottom"/>
          </w:tcPr>
          <w:p>
            <w:pPr>
              <w:spacing w:after="0"/>
              <w:rPr>
                <w:sz w:val="1"/>
                <w:szCs w:val="1"/>
                <w:color w:val="auto"/>
              </w:rPr>
            </w:pPr>
          </w:p>
        </w:tc>
      </w:tr>
      <w:tr>
        <w:trPr>
          <w:trHeight w:val="296"/>
        </w:trPr>
        <w:tc>
          <w:tcPr>
            <w:tcW w:w="3700" w:type="dxa"/>
            <w:vAlign w:val="bottom"/>
          </w:tcPr>
          <w:p>
            <w:pPr>
              <w:ind w:left="360"/>
              <w:spacing w:after="0"/>
              <w:rPr>
                <w:sz w:val="20"/>
                <w:szCs w:val="20"/>
                <w:color w:val="auto"/>
              </w:rPr>
            </w:pPr>
            <w:r>
              <w:rPr>
                <w:rFonts w:ascii="Arial" w:cs="Arial" w:eastAsia="Arial" w:hAnsi="Arial"/>
                <w:sz w:val="14"/>
                <w:szCs w:val="14"/>
                <w:color w:val="auto"/>
              </w:rPr>
              <w:t>Equity interest in SpectrumCo transaction</w:t>
            </w:r>
            <w:r>
              <w:rPr>
                <w:rFonts w:ascii="Arial" w:cs="Arial" w:eastAsia="Arial" w:hAnsi="Arial"/>
                <w:sz w:val="14"/>
                <w:szCs w:val="14"/>
                <w:color w:val="auto"/>
                <w:vertAlign w:val="superscript"/>
              </w:rPr>
              <w:t>(2)</w:t>
            </w:r>
          </w:p>
        </w:tc>
        <w:tc>
          <w:tcPr>
            <w:tcW w:w="1000" w:type="dxa"/>
            <w:vAlign w:val="bottom"/>
          </w:tcPr>
          <w:p>
            <w:pPr>
              <w:ind w:left="340"/>
              <w:spacing w:after="0"/>
              <w:rPr>
                <w:sz w:val="20"/>
                <w:szCs w:val="20"/>
                <w:color w:val="auto"/>
              </w:rPr>
            </w:pPr>
            <w:r>
              <w:rPr>
                <w:rFonts w:ascii="Arial" w:cs="Arial" w:eastAsia="Arial" w:hAnsi="Arial"/>
                <w:sz w:val="14"/>
                <w:szCs w:val="14"/>
                <w:color w:val="auto"/>
              </w:rPr>
              <w:t>(543)</w:t>
            </w:r>
          </w:p>
        </w:tc>
        <w:tc>
          <w:tcPr>
            <w:tcW w:w="660" w:type="dxa"/>
            <w:vAlign w:val="bottom"/>
          </w:tcPr>
          <w:p>
            <w:pPr>
              <w:ind w:left="220"/>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4"/>
                <w:szCs w:val="24"/>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4"/>
                <w:szCs w:val="14"/>
                <w:color w:val="auto"/>
              </w:rPr>
              <w:t>(543)</w:t>
            </w:r>
          </w:p>
        </w:tc>
        <w:tc>
          <w:tcPr>
            <w:tcW w:w="640" w:type="dxa"/>
            <w:vAlign w:val="bottom"/>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360"/>
              <w:spacing w:after="0"/>
              <w:rPr>
                <w:sz w:val="20"/>
                <w:szCs w:val="20"/>
                <w:color w:val="auto"/>
              </w:rPr>
            </w:pPr>
            <w:r>
              <w:rPr>
                <w:rFonts w:ascii="Arial" w:cs="Arial" w:eastAsia="Arial" w:hAnsi="Arial"/>
                <w:sz w:val="14"/>
                <w:szCs w:val="14"/>
                <w:color w:val="auto"/>
              </w:rPr>
              <w:t>Gain on sale of investment in A&amp;E</w:t>
            </w:r>
            <w:r>
              <w:rPr>
                <w:rFonts w:ascii="Arial" w:cs="Arial" w:eastAsia="Arial" w:hAnsi="Arial"/>
                <w:sz w:val="14"/>
                <w:szCs w:val="14"/>
                <w:color w:val="auto"/>
                <w:vertAlign w:val="superscript"/>
              </w:rPr>
              <w:t>(3)</w:t>
            </w:r>
          </w:p>
        </w:tc>
        <w:tc>
          <w:tcPr>
            <w:tcW w:w="1000" w:type="dxa"/>
            <w:vAlign w:val="bottom"/>
          </w:tcPr>
          <w:p>
            <w:pPr>
              <w:ind w:left="340"/>
              <w:spacing w:after="0"/>
              <w:rPr>
                <w:sz w:val="20"/>
                <w:szCs w:val="20"/>
                <w:color w:val="auto"/>
              </w:rPr>
            </w:pPr>
            <w:r>
              <w:rPr>
                <w:rFonts w:ascii="Arial" w:cs="Arial" w:eastAsia="Arial" w:hAnsi="Arial"/>
                <w:sz w:val="14"/>
                <w:szCs w:val="14"/>
                <w:color w:val="auto"/>
              </w:rPr>
              <w:t>(319)</w:t>
            </w:r>
          </w:p>
        </w:tc>
        <w:tc>
          <w:tcPr>
            <w:tcW w:w="660" w:type="dxa"/>
            <w:vAlign w:val="bottom"/>
          </w:tcPr>
          <w:p>
            <w:pPr>
              <w:ind w:left="220"/>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320"/>
              <w:spacing w:after="0"/>
              <w:rPr>
                <w:sz w:val="20"/>
                <w:szCs w:val="20"/>
                <w:color w:val="auto"/>
              </w:rPr>
            </w:pPr>
            <w:r>
              <w:rPr>
                <w:rFonts w:ascii="Arial" w:cs="Arial" w:eastAsia="Arial" w:hAnsi="Arial"/>
                <w:sz w:val="14"/>
                <w:szCs w:val="14"/>
                <w:color w:val="auto"/>
              </w:rPr>
              <w:t>(319)</w:t>
            </w:r>
          </w:p>
        </w:tc>
        <w:tc>
          <w:tcPr>
            <w:tcW w:w="64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360"/>
              <w:spacing w:after="0"/>
              <w:rPr>
                <w:sz w:val="20"/>
                <w:szCs w:val="20"/>
                <w:color w:val="auto"/>
              </w:rPr>
            </w:pPr>
            <w:r>
              <w:rPr>
                <w:rFonts w:ascii="Arial" w:cs="Arial" w:eastAsia="Arial" w:hAnsi="Arial"/>
                <w:sz w:val="14"/>
                <w:szCs w:val="14"/>
                <w:color w:val="auto"/>
              </w:rPr>
              <w:t>Gain on sale of wireless spectrum licenses</w:t>
            </w:r>
            <w:r>
              <w:rPr>
                <w:rFonts w:ascii="Arial" w:cs="Arial" w:eastAsia="Arial" w:hAnsi="Arial"/>
                <w:sz w:val="14"/>
                <w:szCs w:val="14"/>
                <w:color w:val="auto"/>
                <w:vertAlign w:val="superscript"/>
              </w:rPr>
              <w:t>(4)</w:t>
            </w:r>
          </w:p>
        </w:tc>
        <w:tc>
          <w:tcPr>
            <w:tcW w:w="100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6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ind w:left="400"/>
              <w:spacing w:after="0"/>
              <w:rPr>
                <w:sz w:val="20"/>
                <w:szCs w:val="20"/>
                <w:color w:val="auto"/>
              </w:rPr>
            </w:pPr>
            <w:r>
              <w:rPr>
                <w:rFonts w:ascii="Arial" w:cs="Arial" w:eastAsia="Arial" w:hAnsi="Arial"/>
                <w:sz w:val="14"/>
                <w:szCs w:val="14"/>
                <w:b w:val="1"/>
                <w:bCs w:val="1"/>
                <w:color w:val="auto"/>
              </w:rPr>
              <w:t>(67)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62"/>
        </w:trPr>
        <w:tc>
          <w:tcPr>
            <w:tcW w:w="3700" w:type="dxa"/>
            <w:vAlign w:val="bottom"/>
          </w:tcPr>
          <w:p>
            <w:pPr>
              <w:ind w:left="360"/>
              <w:spacing w:after="0"/>
              <w:rPr>
                <w:sz w:val="20"/>
                <w:szCs w:val="20"/>
                <w:color w:val="auto"/>
              </w:rPr>
            </w:pPr>
            <w:r>
              <w:rPr>
                <w:rFonts w:ascii="Arial" w:cs="Arial" w:eastAsia="Arial" w:hAnsi="Arial"/>
                <w:sz w:val="14"/>
                <w:szCs w:val="14"/>
                <w:color w:val="auto"/>
              </w:rPr>
              <w:t>Gain on sale of investment in Clearwire</w:t>
            </w:r>
            <w:r>
              <w:rPr>
                <w:rFonts w:ascii="Arial" w:cs="Arial" w:eastAsia="Arial" w:hAnsi="Arial"/>
                <w:sz w:val="14"/>
                <w:szCs w:val="14"/>
                <w:color w:val="auto"/>
                <w:vertAlign w:val="superscript"/>
              </w:rPr>
              <w:t>(5)</w:t>
            </w:r>
          </w:p>
        </w:tc>
        <w:tc>
          <w:tcPr>
            <w:tcW w:w="100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6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Arial" w:cs="Arial" w:eastAsia="Arial" w:hAnsi="Arial"/>
                <w:sz w:val="14"/>
                <w:szCs w:val="14"/>
                <w:b w:val="1"/>
                <w:bCs w:val="1"/>
                <w:color w:val="auto"/>
              </w:rPr>
              <w:t>(279)</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(279)</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0" w:type="dxa"/>
            <w:vAlign w:val="bottom"/>
          </w:tcPr>
          <w:p>
            <w:pPr>
              <w:spacing w:after="0"/>
              <w:rPr>
                <w:sz w:val="1"/>
                <w:szCs w:val="1"/>
                <w:color w:val="auto"/>
              </w:rPr>
            </w:pPr>
          </w:p>
        </w:tc>
      </w:tr>
      <w:tr>
        <w:trPr>
          <w:trHeight w:val="162"/>
        </w:trPr>
        <w:tc>
          <w:tcPr>
            <w:tcW w:w="3700" w:type="dxa"/>
            <w:vAlign w:val="bottom"/>
          </w:tcPr>
          <w:p>
            <w:pPr>
              <w:ind w:left="360"/>
              <w:spacing w:after="0"/>
              <w:rPr>
                <w:sz w:val="20"/>
                <w:szCs w:val="20"/>
                <w:color w:val="auto"/>
              </w:rPr>
            </w:pPr>
            <w:r>
              <w:rPr>
                <w:rFonts w:ascii="Arial" w:cs="Arial" w:eastAsia="Arial" w:hAnsi="Arial"/>
                <w:sz w:val="14"/>
                <w:szCs w:val="14"/>
                <w:color w:val="auto"/>
              </w:rPr>
              <w:t>Pension termination costs</w:t>
            </w:r>
            <w:r>
              <w:rPr>
                <w:rFonts w:ascii="Arial" w:cs="Arial" w:eastAsia="Arial" w:hAnsi="Arial"/>
                <w:sz w:val="14"/>
                <w:szCs w:val="14"/>
                <w:color w:val="auto"/>
                <w:vertAlign w:val="superscript"/>
              </w:rPr>
              <w:t>(6)</w:t>
            </w:r>
          </w:p>
        </w:tc>
        <w:tc>
          <w:tcPr>
            <w:tcW w:w="100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6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46</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46</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98"/>
        </w:trPr>
        <w:tc>
          <w:tcPr>
            <w:tcW w:w="3700" w:type="dxa"/>
            <w:vAlign w:val="bottom"/>
          </w:tcPr>
          <w:p>
            <w:pPr>
              <w:ind w:left="360"/>
              <w:spacing w:after="0"/>
              <w:rPr>
                <w:sz w:val="20"/>
                <w:szCs w:val="20"/>
                <w:color w:val="auto"/>
              </w:rPr>
            </w:pPr>
            <w:r>
              <w:rPr>
                <w:rFonts w:ascii="Arial" w:cs="Arial" w:eastAsia="Arial" w:hAnsi="Arial"/>
                <w:sz w:val="14"/>
                <w:szCs w:val="14"/>
                <w:color w:val="auto"/>
              </w:rPr>
              <w:t>Losses on investments</w:t>
            </w:r>
            <w:r>
              <w:rPr>
                <w:rFonts w:ascii="Arial" w:cs="Arial" w:eastAsia="Arial" w:hAnsi="Arial"/>
                <w:sz w:val="14"/>
                <w:szCs w:val="14"/>
                <w:color w:val="auto"/>
                <w:vertAlign w:val="superscript"/>
              </w:rPr>
              <w:t>(7)</w:t>
            </w:r>
          </w:p>
        </w:tc>
        <w:tc>
          <w:tcPr>
            <w:tcW w:w="100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6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234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0.09</w:t>
            </w: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234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0.09</w:t>
            </w:r>
          </w:p>
        </w:tc>
        <w:tc>
          <w:tcPr>
            <w:tcW w:w="0" w:type="dxa"/>
            <w:vAlign w:val="bottom"/>
          </w:tcPr>
          <w:p>
            <w:pPr>
              <w:spacing w:after="0"/>
              <w:rPr>
                <w:sz w:val="1"/>
                <w:szCs w:val="1"/>
                <w:color w:val="auto"/>
              </w:rPr>
            </w:pPr>
          </w:p>
        </w:tc>
      </w:tr>
      <w:tr>
        <w:trPr>
          <w:trHeight w:val="301"/>
        </w:trPr>
        <w:tc>
          <w:tcPr>
            <w:tcW w:w="370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700" w:type="dxa"/>
            <w:vAlign w:val="bottom"/>
          </w:tcPr>
          <w:p>
            <w:pPr>
              <w:ind w:left="180"/>
              <w:spacing w:after="0" w:line="147" w:lineRule="exact"/>
              <w:rPr>
                <w:sz w:val="20"/>
                <w:szCs w:val="20"/>
                <w:color w:val="auto"/>
              </w:rPr>
            </w:pPr>
            <w:r>
              <w:rPr>
                <w:rFonts w:ascii="Arial" w:cs="Arial" w:eastAsia="Arial" w:hAnsi="Arial"/>
                <w:sz w:val="14"/>
                <w:szCs w:val="14"/>
                <w:color w:val="auto"/>
              </w:rPr>
              <w:t>(excluding gains and losses related to investments,</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180"/>
              <w:spacing w:after="0"/>
              <w:rPr>
                <w:sz w:val="20"/>
                <w:szCs w:val="20"/>
                <w:color w:val="auto"/>
              </w:rPr>
            </w:pPr>
            <w:r>
              <w:rPr>
                <w:rFonts w:ascii="Arial" w:cs="Arial" w:eastAsia="Arial" w:hAnsi="Arial"/>
                <w:sz w:val="14"/>
                <w:szCs w:val="14"/>
                <w:color w:val="auto"/>
              </w:rPr>
              <w:t>gain on sale of wireless spectrum licenses and</w:t>
            </w: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rPr>
              <w:t>$1,251</w:t>
            </w: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$1,733</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$0.65</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ind w:right="48"/>
              <w:spacing w:after="0"/>
              <w:rPr>
                <w:sz w:val="20"/>
                <w:szCs w:val="20"/>
                <w:color w:val="auto"/>
              </w:rPr>
            </w:pPr>
            <w:r>
              <w:rPr>
                <w:rFonts w:ascii="Arial" w:cs="Arial" w:eastAsia="Arial" w:hAnsi="Arial"/>
                <w:sz w:val="14"/>
                <w:szCs w:val="14"/>
                <w:color w:val="auto"/>
              </w:rPr>
              <w:t>$3,823</w:t>
            </w:r>
          </w:p>
        </w:tc>
        <w:tc>
          <w:tcPr>
            <w:tcW w:w="640" w:type="dxa"/>
            <w:vAlign w:val="bottom"/>
            <w:vMerge w:val="restart"/>
          </w:tcPr>
          <w:p>
            <w:pPr>
              <w:ind w:left="200"/>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4"/>
                <w:szCs w:val="14"/>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$4,837</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$1.81</w:t>
            </w:r>
          </w:p>
        </w:tc>
        <w:tc>
          <w:tcPr>
            <w:tcW w:w="0" w:type="dxa"/>
            <w:vAlign w:val="bottom"/>
          </w:tcPr>
          <w:p>
            <w:pPr>
              <w:spacing w:after="0"/>
              <w:rPr>
                <w:sz w:val="1"/>
                <w:szCs w:val="1"/>
                <w:color w:val="auto"/>
              </w:rPr>
            </w:pPr>
          </w:p>
        </w:tc>
      </w:tr>
      <w:tr>
        <w:trPr>
          <w:trHeight w:val="149"/>
        </w:trPr>
        <w:tc>
          <w:tcPr>
            <w:tcW w:w="3700" w:type="dxa"/>
            <w:vAlign w:val="bottom"/>
          </w:tcPr>
          <w:p>
            <w:pPr>
              <w:ind w:left="180"/>
              <w:spacing w:after="0" w:line="144" w:lineRule="exact"/>
              <w:rPr>
                <w:sz w:val="20"/>
                <w:szCs w:val="20"/>
                <w:color w:val="auto"/>
              </w:rPr>
            </w:pPr>
            <w:r>
              <w:rPr>
                <w:rFonts w:ascii="Arial" w:cs="Arial" w:eastAsia="Arial" w:hAnsi="Arial"/>
                <w:sz w:val="14"/>
                <w:szCs w:val="14"/>
                <w:color w:val="auto"/>
              </w:rPr>
              <w:t>pension termination costs)</w:t>
            </w:r>
          </w:p>
        </w:tc>
        <w:tc>
          <w:tcPr>
            <w:tcW w:w="10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96" w:orient="portrait"/>
          <w:cols w:equalWidth="0" w:num="1">
            <w:col w:w="11460"/>
          </w:cols>
          <w:pgMar w:left="240" w:top="112" w:right="199" w:bottom="0" w:gutter="0" w:footer="0" w:header="0"/>
        </w:sectPr>
      </w:pPr>
    </w:p>
    <w:p>
      <w:pPr>
        <w:ind w:left="340"/>
        <w:spacing w:after="0"/>
        <w:tabs>
          <w:tab w:leader="none" w:pos="6060" w:val="left"/>
          <w:tab w:leader="none" w:pos="6940" w:val="left"/>
          <w:tab w:leader="none" w:pos="9760" w:val="left"/>
          <w:tab w:leader="none" w:pos="10620" w:val="left"/>
        </w:tabs>
        <w:rPr>
          <w:sz w:val="20"/>
          <w:szCs w:val="20"/>
          <w:color w:val="auto"/>
        </w:rPr>
      </w:pPr>
      <w:r>
        <w:rPr>
          <w:rFonts w:ascii="Arial" w:cs="Arial" w:eastAsia="Arial" w:hAnsi="Arial"/>
          <w:sz w:val="14"/>
          <w:szCs w:val="14"/>
          <w:i w:val="1"/>
          <w:iCs w:val="1"/>
          <w:color w:val="auto"/>
        </w:rPr>
        <w:t>Growth %</w:t>
      </w:r>
      <w:r>
        <w:rPr>
          <w:sz w:val="20"/>
          <w:szCs w:val="20"/>
          <w:color w:val="auto"/>
        </w:rPr>
        <w:tab/>
      </w:r>
      <w:r>
        <w:rPr>
          <w:rFonts w:ascii="Arial" w:cs="Arial" w:eastAsia="Arial" w:hAnsi="Arial"/>
          <w:sz w:val="14"/>
          <w:szCs w:val="14"/>
          <w:i w:val="1"/>
          <w:iCs w:val="1"/>
          <w:color w:val="auto"/>
        </w:rPr>
        <w:t>38.6%</w:t>
      </w:r>
      <w:r>
        <w:rPr>
          <w:sz w:val="20"/>
          <w:szCs w:val="20"/>
          <w:color w:val="auto"/>
        </w:rPr>
        <w:tab/>
      </w:r>
      <w:r>
        <w:rPr>
          <w:rFonts w:ascii="Arial" w:cs="Arial" w:eastAsia="Arial" w:hAnsi="Arial"/>
          <w:sz w:val="14"/>
          <w:szCs w:val="14"/>
          <w:i w:val="1"/>
          <w:iCs w:val="1"/>
          <w:color w:val="auto"/>
        </w:rPr>
        <w:t>41.3%</w:t>
      </w:r>
      <w:r>
        <w:rPr>
          <w:sz w:val="20"/>
          <w:szCs w:val="20"/>
          <w:color w:val="auto"/>
        </w:rPr>
        <w:tab/>
      </w:r>
      <w:r>
        <w:rPr>
          <w:rFonts w:ascii="Arial" w:cs="Arial" w:eastAsia="Arial" w:hAnsi="Arial"/>
          <w:sz w:val="14"/>
          <w:szCs w:val="14"/>
          <w:i w:val="1"/>
          <w:iCs w:val="1"/>
          <w:color w:val="auto"/>
        </w:rPr>
        <w:t>26.6%</w:t>
      </w:r>
      <w:r>
        <w:rPr>
          <w:sz w:val="20"/>
          <w:szCs w:val="20"/>
          <w:color w:val="auto"/>
        </w:rPr>
        <w:tab/>
      </w:r>
      <w:r>
        <w:rPr>
          <w:rFonts w:ascii="Arial" w:cs="Arial" w:eastAsia="Arial" w:hAnsi="Arial"/>
          <w:sz w:val="14"/>
          <w:szCs w:val="14"/>
          <w:i w:val="1"/>
          <w:iCs w:val="1"/>
          <w:color w:val="auto"/>
        </w:rPr>
        <w:t>29.3%</w:t>
      </w:r>
    </w:p>
    <w:p>
      <w:pPr>
        <w:sectPr>
          <w:pgSz w:w="11900" w:h="16896" w:orient="portrait"/>
          <w:cols w:equalWidth="0" w:num="1">
            <w:col w:w="11460"/>
          </w:cols>
          <w:pgMar w:left="240" w:top="112" w:right="199" w:bottom="0" w:gutter="0" w:footer="0" w:header="0"/>
          <w:type w:val="continuous"/>
        </w:sectPr>
      </w:pPr>
    </w:p>
    <w:bookmarkStart w:id="9" w:name="page10"/>
    <w:bookmarkEnd w:id="9"/>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$876 million of equity in net income of investees, $543 million net of tax, resulting from our share of the gain on SpectrumCo’s sale of wireless spectrum licenses.</w:t>
      </w:r>
    </w:p>
    <w:p>
      <w:pPr>
        <w:ind w:left="340" w:right="60" w:hanging="332"/>
        <w:spacing w:after="0" w:line="24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2012 net income attributable to Comcast Corporation includes $1 billion of other income, $319 million net of tax and noncontrolling interest, resulting from the sale of the investment in A&amp;E Television Networks.</w:t>
      </w:r>
    </w:p>
    <w:p>
      <w:pPr>
        <w:ind w:left="340" w:right="260" w:hanging="332"/>
        <w:spacing w:after="0" w:line="24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2013 year to date net income attributable to Comcast Corporation includes $108 million of other income, $67 million net of tax, resulting from a gain on the sale of wireless spectrum licenses.</w:t>
      </w:r>
    </w:p>
    <w:p>
      <w:pPr>
        <w:ind w:left="340" w:right="100" w:hanging="332"/>
        <w:spacing w:after="0" w:line="24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2013 net income attributable to Comcast Corporation includes $443 million of investment income, $279 million net of tax, resulting from the sale of the investment in Clearwire.</w:t>
      </w:r>
    </w:p>
    <w:p>
      <w:pPr>
        <w:ind w:left="340" w:right="60" w:hanging="332"/>
        <w:spacing w:after="0" w:line="24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2013 net income attributable to Comcast Corporation includes $74 million of other operating and administrative expenses, $46 million net of tax, resulting from the termination of a pension plan.</w:t>
      </w:r>
    </w:p>
    <w:p>
      <w:pPr>
        <w:ind w:left="340" w:right="220" w:hanging="332"/>
        <w:spacing w:after="0" w:line="258"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3rd quarter 2013 net income attributable to Comcast Corporation includes $371 million of expense ($236 million of other expense and $135 million of equity in net losses of investees), $234 million net of tax, resulting from losses on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7"/>
          <w:szCs w:val="27"/>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403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03225"/>
                    </a:xfrm>
                    <a:prstGeom prst="rect">
                      <a:avLst/>
                    </a:prstGeom>
                    <a:noFill/>
                  </pic:spPr>
                </pic:pic>
              </a:graphicData>
            </a:graphic>
          </wp:anchor>
        </w:drawing>
      </w:r>
    </w:p>
    <w:p>
      <w:pPr>
        <w:spacing w:after="0" w:line="294" w:lineRule="exact"/>
        <w:rPr>
          <w:sz w:val="20"/>
          <w:szCs w:val="20"/>
          <w:color w:val="auto"/>
        </w:rPr>
      </w:pPr>
    </w:p>
    <w:p>
      <w:pPr>
        <w:ind w:right="2040"/>
        <w:spacing w:after="0" w:line="285" w:lineRule="auto"/>
        <w:rPr>
          <w:sz w:val="20"/>
          <w:szCs w:val="20"/>
          <w:color w:val="auto"/>
        </w:rPr>
      </w:pPr>
      <w:r>
        <w:rPr>
          <w:rFonts w:ascii="Arial" w:cs="Arial" w:eastAsia="Arial" w:hAnsi="Arial"/>
          <w:sz w:val="21"/>
          <w:szCs w:val="21"/>
          <w:b w:val="1"/>
          <w:bCs w:val="1"/>
          <w:color w:val="C9C9C9"/>
        </w:rPr>
        <w:t>Reconciliation of Consolidated Revenue Excluding 2012 Olympics and Super Bowl and Operating Cash Flow Excluding 2012 Olympics and Pension Termination Costs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3680" w:type="dxa"/>
            <w:vAlign w:val="bottom"/>
          </w:tcPr>
          <w:p>
            <w:pPr>
              <w:spacing w:after="0"/>
              <w:rPr>
                <w:sz w:val="2"/>
                <w:szCs w:val="2"/>
                <w:color w:val="auto"/>
              </w:rPr>
            </w:pPr>
          </w:p>
        </w:tc>
        <w:tc>
          <w:tcPr>
            <w:tcW w:w="3700" w:type="dxa"/>
            <w:vAlign w:val="bottom"/>
            <w:gridSpan w:val="8"/>
            <w:vMerge w:val="restart"/>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640" w:type="dxa"/>
            <w:vAlign w:val="bottom"/>
            <w:gridSpan w:val="7"/>
            <w:vMerge w:val="restart"/>
          </w:tcPr>
          <w:p>
            <w:pPr>
              <w:jc w:val="center"/>
              <w:ind w:left="870"/>
              <w:spacing w:after="0"/>
              <w:rPr>
                <w:sz w:val="20"/>
                <w:szCs w:val="20"/>
                <w:color w:val="auto"/>
              </w:rPr>
            </w:pPr>
            <w:r>
              <w:rPr>
                <w:rFonts w:ascii="Arial" w:cs="Arial" w:eastAsia="Arial" w:hAnsi="Arial"/>
                <w:sz w:val="18"/>
                <w:szCs w:val="18"/>
                <w:b w:val="1"/>
                <w:bCs w:val="1"/>
                <w:color w:val="auto"/>
                <w:w w:val="99"/>
              </w:rPr>
              <w:t>Nine Months Ended</w:t>
            </w: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680" w:type="dxa"/>
            <w:vAlign w:val="bottom"/>
          </w:tcPr>
          <w:p>
            <w:pPr>
              <w:spacing w:after="0"/>
              <w:rPr>
                <w:sz w:val="15"/>
                <w:szCs w:val="15"/>
                <w:color w:val="auto"/>
              </w:rPr>
            </w:pPr>
          </w:p>
        </w:tc>
        <w:tc>
          <w:tcPr>
            <w:tcW w:w="3700" w:type="dxa"/>
            <w:vAlign w:val="bottom"/>
            <w:gridSpan w:val="8"/>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2640" w:type="dxa"/>
            <w:vAlign w:val="bottom"/>
            <w:gridSpan w:val="7"/>
            <w:vMerge w:val="continue"/>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September 30,</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80" w:type="dxa"/>
            <w:vAlign w:val="bottom"/>
          </w:tcPr>
          <w:p>
            <w:pPr>
              <w:ind w:left="340"/>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$16,544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$16,151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$46,633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$47,731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680" w:type="dxa"/>
            <w:vAlign w:val="bottom"/>
          </w:tcPr>
          <w:p>
            <w:pPr>
              <w:ind w:left="340"/>
              <w:spacing w:after="0"/>
              <w:rPr>
                <w:sz w:val="20"/>
                <w:szCs w:val="20"/>
                <w:color w:val="auto"/>
              </w:rPr>
            </w:pPr>
            <w:r>
              <w:rPr>
                <w:rFonts w:ascii="Arial" w:cs="Arial" w:eastAsia="Arial" w:hAnsi="Arial"/>
                <w:sz w:val="18"/>
                <w:szCs w:val="18"/>
                <w:color w:val="auto"/>
              </w:rPr>
              <w:t>2012 Olympics</w:t>
            </w: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340"/>
              <w:spacing w:after="0"/>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680" w:type="dxa"/>
            <w:vAlign w:val="bottom"/>
          </w:tcPr>
          <w:p>
            <w:pPr>
              <w:ind w:left="340"/>
              <w:spacing w:after="0"/>
              <w:rPr>
                <w:sz w:val="20"/>
                <w:szCs w:val="20"/>
                <w:color w:val="auto"/>
              </w:rPr>
            </w:pPr>
            <w:r>
              <w:rPr>
                <w:rFonts w:ascii="Arial" w:cs="Arial" w:eastAsia="Arial" w:hAnsi="Arial"/>
                <w:sz w:val="18"/>
                <w:szCs w:val="18"/>
                <w:color w:val="auto"/>
              </w:rPr>
              <w:t>Revenue excluding 2012 Olympics and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$15,356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$16,151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$45,186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$47,731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520"/>
              <w:spacing w:after="0" w:line="190" w:lineRule="exact"/>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5.6%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68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80" w:type="dxa"/>
            <w:vAlign w:val="bottom"/>
          </w:tcPr>
          <w:p>
            <w:pPr>
              <w:ind w:left="340"/>
              <w:spacing w:after="0"/>
              <w:rPr>
                <w:sz w:val="20"/>
                <w:szCs w:val="20"/>
                <w:color w:val="auto"/>
              </w:rPr>
            </w:pPr>
            <w:r>
              <w:rPr>
                <w:rFonts w:ascii="Arial" w:cs="Arial" w:eastAsia="Arial" w:hAnsi="Arial"/>
                <w:sz w:val="18"/>
                <w:szCs w:val="18"/>
                <w:color w:val="auto"/>
              </w:rPr>
              <w:t>Operating Cash Flow</w:t>
            </w:r>
          </w:p>
        </w:tc>
        <w:tc>
          <w:tcPr>
            <w:tcW w:w="1000" w:type="dxa"/>
            <w:vAlign w:val="bottom"/>
          </w:tcPr>
          <w:p>
            <w:pPr>
              <w:jc w:val="right"/>
              <w:spacing w:after="0"/>
              <w:rPr>
                <w:sz w:val="20"/>
                <w:szCs w:val="20"/>
                <w:color w:val="auto"/>
              </w:rPr>
            </w:pPr>
            <w:r>
              <w:rPr>
                <w:rFonts w:ascii="Arial" w:cs="Arial" w:eastAsia="Arial" w:hAnsi="Arial"/>
                <w:sz w:val="18"/>
                <w:szCs w:val="18"/>
                <w:color w:val="auto"/>
              </w:rPr>
              <w:t>$5,008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$5,330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$15,789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680" w:type="dxa"/>
            <w:vAlign w:val="bottom"/>
          </w:tcPr>
          <w:p>
            <w:pPr>
              <w:ind w:left="340"/>
              <w:spacing w:after="0"/>
              <w:rPr>
                <w:sz w:val="20"/>
                <w:szCs w:val="20"/>
                <w:color w:val="auto"/>
              </w:rPr>
            </w:pPr>
            <w:r>
              <w:rPr>
                <w:rFonts w:ascii="Arial" w:cs="Arial" w:eastAsia="Arial" w:hAnsi="Arial"/>
                <w:sz w:val="18"/>
                <w:szCs w:val="18"/>
                <w:color w:val="auto"/>
              </w:rPr>
              <w:t>2012 Olympics</w:t>
            </w: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r>
              <w:rPr>
                <w:rFonts w:ascii="Arial" w:cs="Arial" w:eastAsia="Arial" w:hAnsi="Arial"/>
                <w:sz w:val="9"/>
                <w:szCs w:val="9"/>
                <w:color w:val="auto"/>
              </w:rPr>
              <w:t>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340"/>
              <w:spacing w:after="0"/>
              <w:rPr>
                <w:sz w:val="20"/>
                <w:szCs w:val="20"/>
                <w:color w:val="auto"/>
              </w:rPr>
            </w:pPr>
            <w:r>
              <w:rPr>
                <w:rFonts w:ascii="Arial" w:cs="Arial" w:eastAsia="Arial" w:hAnsi="Arial"/>
                <w:sz w:val="18"/>
                <w:szCs w:val="18"/>
                <w:color w:val="auto"/>
              </w:rPr>
              <w:t>Pension Termination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680" w:type="dxa"/>
            <w:vAlign w:val="bottom"/>
          </w:tcPr>
          <w:p>
            <w:pPr>
              <w:ind w:left="340"/>
              <w:spacing w:after="0"/>
              <w:rPr>
                <w:sz w:val="20"/>
                <w:szCs w:val="20"/>
                <w:color w:val="auto"/>
              </w:rPr>
            </w:pPr>
            <w:r>
              <w:rPr>
                <w:rFonts w:ascii="Arial" w:cs="Arial" w:eastAsia="Arial" w:hAnsi="Arial"/>
                <w:sz w:val="18"/>
                <w:szCs w:val="18"/>
                <w:color w:val="auto"/>
              </w:rPr>
              <w:t>Operating Cash Flow excluding 2012</w:t>
            </w: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520"/>
              <w:spacing w:after="0" w:line="202" w:lineRule="exact"/>
              <w:rPr>
                <w:sz w:val="20"/>
                <w:szCs w:val="20"/>
                <w:color w:val="auto"/>
              </w:rPr>
            </w:pPr>
            <w:r>
              <w:rPr>
                <w:rFonts w:ascii="Arial" w:cs="Arial" w:eastAsia="Arial" w:hAnsi="Arial"/>
                <w:sz w:val="18"/>
                <w:szCs w:val="18"/>
                <w:color w:val="auto"/>
              </w:rPr>
              <w:t>Olympics and Pension Termination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$4,888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$5,404</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$14,580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$15,863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520"/>
              <w:spacing w:after="0" w:line="190" w:lineRule="exact"/>
              <w:rPr>
                <w:sz w:val="20"/>
                <w:szCs w:val="20"/>
                <w:color w:val="auto"/>
              </w:rPr>
            </w:pPr>
            <w:r>
              <w:rPr>
                <w:rFonts w:ascii="Arial" w:cs="Arial" w:eastAsia="Arial" w:hAnsi="Arial"/>
                <w:sz w:val="18"/>
                <w:szCs w:val="18"/>
                <w:color w:val="auto"/>
              </w:rPr>
              <w:t>Costs</w:t>
            </w: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120" w:type="dxa"/>
            <w:vAlign w:val="bottom"/>
            <w:gridSpan w:val="19"/>
          </w:tcPr>
          <w:p>
            <w:pPr>
              <w:spacing w:after="0"/>
              <w:rPr>
                <w:sz w:val="20"/>
                <w:szCs w:val="20"/>
                <w:color w:val="auto"/>
              </w:rPr>
            </w:pPr>
            <w:r>
              <w:rPr>
                <w:rFonts w:ascii="Arial" w:cs="Arial" w:eastAsia="Arial" w:hAnsi="Arial"/>
                <w:sz w:val="22"/>
                <w:szCs w:val="22"/>
                <w:b w:val="1"/>
                <w:bCs w:val="1"/>
                <w:color w:val="C9C9C9"/>
              </w:rPr>
              <w:t>Reconciliation of Consolidated NBCUniversal Revenue Excluding 2012 Olympics and Super Bowl and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160" w:type="dxa"/>
            <w:vAlign w:val="bottom"/>
            <w:tcBorders>
              <w:bottom w:val="single" w:sz="8" w:color="0050B9"/>
            </w:tcBorders>
            <w:gridSpan w:val="7"/>
          </w:tcPr>
          <w:p>
            <w:pPr>
              <w:spacing w:after="0"/>
              <w:rPr>
                <w:sz w:val="20"/>
                <w:szCs w:val="20"/>
                <w:color w:val="auto"/>
              </w:rPr>
            </w:pPr>
            <w:r>
              <w:rPr>
                <w:rFonts w:ascii="Arial" w:cs="Arial" w:eastAsia="Arial" w:hAnsi="Arial"/>
                <w:sz w:val="22"/>
                <w:szCs w:val="22"/>
                <w:b w:val="1"/>
                <w:bCs w:val="1"/>
                <w:color w:val="C9C9C9"/>
                <w:w w:val="99"/>
              </w:rPr>
              <w:t>Operating Cash Flow Excluding 2012 Olympics (Unaudited)</w:t>
            </w:r>
          </w:p>
        </w:tc>
        <w:tc>
          <w:tcPr>
            <w:tcW w:w="1060" w:type="dxa"/>
            <w:vAlign w:val="bottom"/>
            <w:tcBorders>
              <w:bottom w:val="single" w:sz="8" w:color="0050B9"/>
            </w:tcBorders>
          </w:tcPr>
          <w:p>
            <w:pPr>
              <w:spacing w:after="0"/>
              <w:rPr>
                <w:sz w:val="23"/>
                <w:szCs w:val="23"/>
                <w:color w:val="auto"/>
              </w:rPr>
            </w:pPr>
          </w:p>
        </w:tc>
        <w:tc>
          <w:tcPr>
            <w:tcW w:w="160" w:type="dxa"/>
            <w:vAlign w:val="bottom"/>
            <w:tcBorders>
              <w:bottom w:val="single" w:sz="8" w:color="0050B9"/>
            </w:tcBorders>
          </w:tcPr>
          <w:p>
            <w:pPr>
              <w:spacing w:after="0"/>
              <w:rPr>
                <w:sz w:val="23"/>
                <w:szCs w:val="23"/>
                <w:color w:val="auto"/>
              </w:rPr>
            </w:pPr>
          </w:p>
        </w:tc>
        <w:tc>
          <w:tcPr>
            <w:tcW w:w="20" w:type="dxa"/>
            <w:vAlign w:val="bottom"/>
            <w:tcBorders>
              <w:bottom w:val="single" w:sz="8" w:color="0050B9"/>
            </w:tcBorders>
          </w:tcPr>
          <w:p>
            <w:pPr>
              <w:spacing w:after="0"/>
              <w:rPr>
                <w:sz w:val="23"/>
                <w:szCs w:val="23"/>
                <w:color w:val="auto"/>
              </w:rPr>
            </w:pPr>
          </w:p>
        </w:tc>
        <w:tc>
          <w:tcPr>
            <w:tcW w:w="140" w:type="dxa"/>
            <w:vAlign w:val="bottom"/>
            <w:tcBorders>
              <w:bottom w:val="single" w:sz="8" w:color="0050B9"/>
            </w:tcBorders>
          </w:tcPr>
          <w:p>
            <w:pPr>
              <w:spacing w:after="0"/>
              <w:rPr>
                <w:sz w:val="23"/>
                <w:szCs w:val="23"/>
                <w:color w:val="auto"/>
              </w:rPr>
            </w:pPr>
          </w:p>
        </w:tc>
        <w:tc>
          <w:tcPr>
            <w:tcW w:w="1020" w:type="dxa"/>
            <w:vAlign w:val="bottom"/>
            <w:tcBorders>
              <w:bottom w:val="single" w:sz="8" w:color="0050B9"/>
            </w:tcBorders>
          </w:tcPr>
          <w:p>
            <w:pPr>
              <w:spacing w:after="0"/>
              <w:rPr>
                <w:sz w:val="23"/>
                <w:szCs w:val="23"/>
                <w:color w:val="auto"/>
              </w:rPr>
            </w:pPr>
          </w:p>
        </w:tc>
        <w:tc>
          <w:tcPr>
            <w:tcW w:w="20" w:type="dxa"/>
            <w:vAlign w:val="bottom"/>
            <w:tcBorders>
              <w:bottom w:val="single" w:sz="8" w:color="0050B9"/>
            </w:tcBorders>
          </w:tcPr>
          <w:p>
            <w:pPr>
              <w:spacing w:after="0"/>
              <w:rPr>
                <w:sz w:val="23"/>
                <w:szCs w:val="23"/>
                <w:color w:val="auto"/>
              </w:rPr>
            </w:pPr>
          </w:p>
        </w:tc>
        <w:tc>
          <w:tcPr>
            <w:tcW w:w="120" w:type="dxa"/>
            <w:vAlign w:val="bottom"/>
            <w:tcBorders>
              <w:bottom w:val="single" w:sz="8" w:color="0050B9"/>
            </w:tcBorders>
          </w:tcPr>
          <w:p>
            <w:pPr>
              <w:spacing w:after="0"/>
              <w:rPr>
                <w:sz w:val="23"/>
                <w:szCs w:val="23"/>
                <w:color w:val="auto"/>
              </w:rPr>
            </w:pPr>
          </w:p>
        </w:tc>
        <w:tc>
          <w:tcPr>
            <w:tcW w:w="120" w:type="dxa"/>
            <w:vAlign w:val="bottom"/>
            <w:tcBorders>
              <w:bottom w:val="single" w:sz="8" w:color="0050B9"/>
            </w:tcBorders>
          </w:tcPr>
          <w:p>
            <w:pPr>
              <w:spacing w:after="0"/>
              <w:rPr>
                <w:sz w:val="23"/>
                <w:szCs w:val="23"/>
                <w:color w:val="auto"/>
              </w:rPr>
            </w:pPr>
          </w:p>
        </w:tc>
        <w:tc>
          <w:tcPr>
            <w:tcW w:w="1040" w:type="dxa"/>
            <w:vAlign w:val="bottom"/>
            <w:tcBorders>
              <w:bottom w:val="single" w:sz="8" w:color="0050B9"/>
            </w:tcBorders>
          </w:tcPr>
          <w:p>
            <w:pPr>
              <w:spacing w:after="0"/>
              <w:rPr>
                <w:sz w:val="23"/>
                <w:szCs w:val="23"/>
                <w:color w:val="auto"/>
              </w:rPr>
            </w:pPr>
          </w:p>
        </w:tc>
        <w:tc>
          <w:tcPr>
            <w:tcW w:w="220" w:type="dxa"/>
            <w:vAlign w:val="bottom"/>
            <w:tcBorders>
              <w:bottom w:val="single" w:sz="8" w:color="0050B9"/>
            </w:tcBorders>
          </w:tcPr>
          <w:p>
            <w:pPr>
              <w:spacing w:after="0"/>
              <w:rPr>
                <w:sz w:val="23"/>
                <w:szCs w:val="23"/>
                <w:color w:val="auto"/>
              </w:rPr>
            </w:pPr>
          </w:p>
        </w:tc>
        <w:tc>
          <w:tcPr>
            <w:tcW w:w="100" w:type="dxa"/>
            <w:vAlign w:val="bottom"/>
            <w:tcBorders>
              <w:bottom w:val="single" w:sz="8" w:color="0050B9"/>
            </w:tcBorders>
          </w:tcPr>
          <w:p>
            <w:pPr>
              <w:spacing w:after="0"/>
              <w:rPr>
                <w:sz w:val="23"/>
                <w:szCs w:val="23"/>
                <w:color w:val="auto"/>
              </w:rPr>
            </w:pPr>
          </w:p>
        </w:tc>
        <w:tc>
          <w:tcPr>
            <w:tcW w:w="940" w:type="dxa"/>
            <w:vAlign w:val="bottom"/>
            <w:tcBorders>
              <w:bottom w:val="single" w:sz="8" w:color="0050B9"/>
            </w:tcBorders>
          </w:tcPr>
          <w:p>
            <w:pPr>
              <w:spacing w:after="0"/>
              <w:rPr>
                <w:sz w:val="23"/>
                <w:szCs w:val="23"/>
                <w:color w:val="auto"/>
              </w:rPr>
            </w:pPr>
          </w:p>
        </w:tc>
        <w:tc>
          <w:tcPr>
            <w:tcW w:w="300" w:type="dxa"/>
            <w:vAlign w:val="bottom"/>
            <w:tcBorders>
              <w:bottom w:val="single" w:sz="8" w:color="0050B9"/>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3700" w:type="dxa"/>
            <w:vAlign w:val="bottom"/>
            <w:gridSpan w:val="8"/>
            <w:vMerge w:val="restart"/>
          </w:tcPr>
          <w:p>
            <w:pPr>
              <w:jc w:val="center"/>
              <w:ind w:right="16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2640" w:type="dxa"/>
            <w:vAlign w:val="bottom"/>
            <w:gridSpan w:val="7"/>
            <w:vMerge w:val="restart"/>
          </w:tcPr>
          <w:p>
            <w:pPr>
              <w:jc w:val="center"/>
              <w:ind w:left="870"/>
              <w:spacing w:after="0"/>
              <w:rPr>
                <w:sz w:val="20"/>
                <w:szCs w:val="20"/>
                <w:color w:val="auto"/>
              </w:rPr>
            </w:pPr>
            <w:r>
              <w:rPr>
                <w:rFonts w:ascii="Arial" w:cs="Arial" w:eastAsia="Arial" w:hAnsi="Arial"/>
                <w:sz w:val="18"/>
                <w:szCs w:val="18"/>
                <w:b w:val="1"/>
                <w:bCs w:val="1"/>
                <w:color w:val="auto"/>
                <w:w w:val="99"/>
              </w:rPr>
              <w:t>Nine Months Ended</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3700" w:type="dxa"/>
            <w:vAlign w:val="bottom"/>
            <w:gridSpan w:val="8"/>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2640" w:type="dxa"/>
            <w:vAlign w:val="bottom"/>
            <w:gridSpan w:val="7"/>
            <w:vMerge w:val="continue"/>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September 30,</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80" w:type="dxa"/>
            <w:vAlign w:val="bottom"/>
          </w:tcPr>
          <w:p>
            <w:pPr>
              <w:ind w:left="340"/>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8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$6,822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$5,851</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$17,798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$17,186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680" w:type="dxa"/>
            <w:vAlign w:val="bottom"/>
          </w:tcPr>
          <w:p>
            <w:pPr>
              <w:ind w:left="340"/>
              <w:spacing w:after="0"/>
              <w:rPr>
                <w:sz w:val="20"/>
                <w:szCs w:val="20"/>
                <w:color w:val="auto"/>
              </w:rPr>
            </w:pPr>
            <w:r>
              <w:rPr>
                <w:rFonts w:ascii="Arial" w:cs="Arial" w:eastAsia="Arial" w:hAnsi="Arial"/>
                <w:sz w:val="18"/>
                <w:szCs w:val="18"/>
                <w:color w:val="auto"/>
              </w:rPr>
              <w:t>2012 Olympics</w:t>
            </w: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340"/>
              <w:spacing w:after="0"/>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680" w:type="dxa"/>
            <w:vAlign w:val="bottom"/>
          </w:tcPr>
          <w:p>
            <w:pPr>
              <w:ind w:left="340"/>
              <w:spacing w:after="0"/>
              <w:rPr>
                <w:sz w:val="20"/>
                <w:szCs w:val="20"/>
                <w:color w:val="auto"/>
              </w:rPr>
            </w:pPr>
            <w:r>
              <w:rPr>
                <w:rFonts w:ascii="Arial" w:cs="Arial" w:eastAsia="Arial" w:hAnsi="Arial"/>
                <w:sz w:val="18"/>
                <w:szCs w:val="18"/>
                <w:color w:val="auto"/>
              </w:rPr>
              <w:t>Revenue excluding 2012 Olympics and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$5,634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$5,851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$16,351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$17,186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520"/>
              <w:spacing w:after="0" w:line="190" w:lineRule="exact"/>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68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80" w:type="dxa"/>
            <w:vAlign w:val="bottom"/>
          </w:tcPr>
          <w:p>
            <w:pPr>
              <w:ind w:left="340"/>
              <w:spacing w:after="0"/>
              <w:rPr>
                <w:sz w:val="20"/>
                <w:szCs w:val="20"/>
                <w:color w:val="auto"/>
              </w:rPr>
            </w:pPr>
            <w:r>
              <w:rPr>
                <w:rFonts w:ascii="Arial" w:cs="Arial" w:eastAsia="Arial" w:hAnsi="Arial"/>
                <w:sz w:val="18"/>
                <w:szCs w:val="18"/>
                <w:color w:val="auto"/>
              </w:rPr>
              <w:t>Operating Cash Flow</w:t>
            </w:r>
          </w:p>
        </w:tc>
        <w:tc>
          <w:tcPr>
            <w:tcW w:w="100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80" w:type="dxa"/>
            <w:vAlign w:val="bottom"/>
          </w:tcPr>
          <w:p>
            <w:pPr>
              <w:ind w:left="340"/>
              <w:spacing w:after="0"/>
              <w:rPr>
                <w:sz w:val="20"/>
                <w:szCs w:val="20"/>
                <w:color w:val="auto"/>
              </w:rPr>
            </w:pPr>
            <w:r>
              <w:rPr>
                <w:rFonts w:ascii="Arial" w:cs="Arial" w:eastAsia="Arial" w:hAnsi="Arial"/>
                <w:sz w:val="18"/>
                <w:szCs w:val="18"/>
                <w:color w:val="auto"/>
              </w:rPr>
              <w:t>2012 Olympics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w w:val="90"/>
              </w:rPr>
              <w:t>(</w:t>
            </w:r>
            <w:r>
              <w:rPr>
                <w:rFonts w:ascii="Arial" w:cs="Arial" w:eastAsia="Arial" w:hAnsi="Arial"/>
                <w:sz w:val="9"/>
                <w:szCs w:val="9"/>
                <w:color w:val="auto"/>
                <w:w w:val="90"/>
              </w:rPr>
              <w:t>1)</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w w:val="90"/>
              </w:rPr>
              <w:t>(</w:t>
            </w:r>
            <w:r>
              <w:rPr>
                <w:rFonts w:ascii="Arial" w:cs="Arial" w:eastAsia="Arial" w:hAnsi="Arial"/>
                <w:sz w:val="9"/>
                <w:szCs w:val="9"/>
                <w:color w:val="auto"/>
                <w:w w:val="90"/>
              </w:rPr>
              <w:t>1)</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680" w:type="dxa"/>
            <w:vAlign w:val="bottom"/>
          </w:tcPr>
          <w:p>
            <w:pPr>
              <w:ind w:left="340"/>
              <w:spacing w:after="0"/>
              <w:rPr>
                <w:sz w:val="20"/>
                <w:szCs w:val="20"/>
                <w:color w:val="auto"/>
              </w:rPr>
            </w:pPr>
            <w:r>
              <w:rPr>
                <w:rFonts w:ascii="Arial" w:cs="Arial" w:eastAsia="Arial" w:hAnsi="Arial"/>
                <w:sz w:val="18"/>
                <w:szCs w:val="18"/>
                <w:color w:val="auto"/>
              </w:rPr>
              <w:t>Operating Cash Flow excluding 2012</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$1,250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$3,394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80" w:type="dxa"/>
            <w:vAlign w:val="bottom"/>
          </w:tcPr>
          <w:p>
            <w:pPr>
              <w:ind w:left="520"/>
              <w:spacing w:after="0" w:line="190" w:lineRule="exact"/>
              <w:rPr>
                <w:sz w:val="20"/>
                <w:szCs w:val="20"/>
                <w:color w:val="auto"/>
              </w:rPr>
            </w:pPr>
            <w:r>
              <w:rPr>
                <w:rFonts w:ascii="Arial" w:cs="Arial" w:eastAsia="Arial" w:hAnsi="Arial"/>
                <w:sz w:val="18"/>
                <w:szCs w:val="18"/>
                <w:color w:val="auto"/>
              </w:rPr>
              <w:t>Olympics</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22.4%</w:t>
            </w:r>
          </w:p>
        </w:tc>
        <w:tc>
          <w:tcPr>
            <w:tcW w:w="1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20.5%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C9C9C9"/>
        </w:rPr>
        <w:t>Reconciliation of Broadcast Television Revenue Excluding 2012 Olympics and Super Bowl and Operating Cash Flow Excluding 2012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142875</wp:posOffset>
            </wp:positionV>
            <wp:extent cx="8890" cy="95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95885"/>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10" w:name="page11"/>
    <w:bookmarkEnd w:id="10"/>
    <w:tbl>
      <w:tblPr>
        <w:tblLayout w:type="fixed"/>
        <w:tblInd w:w="34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720" w:type="dxa"/>
            <w:vAlign w:val="bottom"/>
            <w:tcBorders>
              <w:right w:val="single" w:sz="8" w:color="auto"/>
            </w:tcBorders>
            <w:gridSpan w:val="8"/>
          </w:tcPr>
          <w:p>
            <w:pPr>
              <w:jc w:val="center"/>
              <w:ind w:right="18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17"/>
                <w:szCs w:val="17"/>
                <w:color w:val="auto"/>
              </w:rPr>
            </w:pPr>
          </w:p>
        </w:tc>
        <w:tc>
          <w:tcPr>
            <w:tcW w:w="2640" w:type="dxa"/>
            <w:vAlign w:val="bottom"/>
            <w:gridSpan w:val="7"/>
          </w:tcPr>
          <w:p>
            <w:pPr>
              <w:jc w:val="center"/>
              <w:ind w:left="870"/>
              <w:spacing w:after="0"/>
              <w:rPr>
                <w:sz w:val="20"/>
                <w:szCs w:val="20"/>
                <w:color w:val="auto"/>
              </w:rPr>
            </w:pPr>
            <w:r>
              <w:rPr>
                <w:rFonts w:ascii="Arial" w:cs="Arial" w:eastAsia="Arial" w:hAnsi="Arial"/>
                <w:sz w:val="18"/>
                <w:szCs w:val="18"/>
                <w:b w:val="1"/>
                <w:bCs w:val="1"/>
                <w:color w:val="auto"/>
                <w:w w:val="99"/>
              </w:rPr>
              <w:t>Nine Months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September 30,</w:t>
            </w:r>
          </w:p>
        </w:tc>
        <w:tc>
          <w:tcPr>
            <w:tcW w:w="10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0" w:type="dxa"/>
            <w:vAlign w:val="bottom"/>
          </w:tcPr>
          <w:p>
            <w:pPr>
              <w:spacing w:after="0"/>
              <w:rPr>
                <w:sz w:val="1"/>
                <w:szCs w:val="1"/>
                <w:color w:val="auto"/>
              </w:rPr>
            </w:pPr>
          </w:p>
        </w:tc>
      </w:tr>
      <w:tr>
        <w:trPr>
          <w:trHeight w:val="412"/>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$1,644</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$4,893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369"/>
        </w:trPr>
        <w:tc>
          <w:tcPr>
            <w:tcW w:w="3340" w:type="dxa"/>
            <w:vAlign w:val="bottom"/>
          </w:tcPr>
          <w:p>
            <w:pPr>
              <w:spacing w:after="0"/>
              <w:rPr>
                <w:sz w:val="20"/>
                <w:szCs w:val="20"/>
                <w:color w:val="auto"/>
              </w:rPr>
            </w:pPr>
            <w:r>
              <w:rPr>
                <w:rFonts w:ascii="Arial" w:cs="Arial" w:eastAsia="Arial" w:hAnsi="Arial"/>
                <w:sz w:val="18"/>
                <w:szCs w:val="18"/>
                <w:color w:val="auto"/>
              </w:rPr>
              <w:t>2012 Olympics</w:t>
            </w:r>
          </w:p>
        </w:tc>
        <w:tc>
          <w:tcPr>
            <w:tcW w:w="100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3340" w:type="dxa"/>
            <w:vAlign w:val="bottom"/>
          </w:tcPr>
          <w:p>
            <w:pPr>
              <w:spacing w:after="0"/>
              <w:rPr>
                <w:sz w:val="20"/>
                <w:szCs w:val="20"/>
                <w:color w:val="auto"/>
              </w:rPr>
            </w:pPr>
            <w:r>
              <w:rPr>
                <w:rFonts w:ascii="Arial" w:cs="Arial" w:eastAsia="Arial" w:hAnsi="Arial"/>
                <w:sz w:val="18"/>
                <w:szCs w:val="18"/>
                <w:color w:val="auto"/>
              </w:rPr>
              <w:t>Revenue excluding 2012 Olympics and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$1,644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$4,756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$4,893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180"/>
              <w:spacing w:after="0" w:line="190" w:lineRule="exact"/>
              <w:rPr>
                <w:sz w:val="20"/>
                <w:szCs w:val="20"/>
                <w:color w:val="auto"/>
              </w:rPr>
            </w:pPr>
            <w:r>
              <w:rPr>
                <w:rFonts w:ascii="Arial" w:cs="Arial" w:eastAsia="Arial" w:hAnsi="Arial"/>
                <w:sz w:val="18"/>
                <w:szCs w:val="18"/>
                <w:color w:val="auto"/>
              </w:rPr>
              <w:t>Super Bowl</w:t>
            </w: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34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Growth %</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Growth %</w:t>
            </w:r>
          </w:p>
        </w:tc>
        <w:tc>
          <w:tcPr>
            <w:tcW w:w="0" w:type="dxa"/>
            <w:vAlign w:val="bottom"/>
          </w:tcPr>
          <w:p>
            <w:pPr>
              <w:spacing w:after="0"/>
              <w:rPr>
                <w:sz w:val="1"/>
                <w:szCs w:val="1"/>
                <w:color w:val="auto"/>
              </w:rPr>
            </w:pPr>
          </w:p>
        </w:tc>
      </w:tr>
      <w:tr>
        <w:trPr>
          <w:trHeight w:val="412"/>
        </w:trPr>
        <w:tc>
          <w:tcPr>
            <w:tcW w:w="3340" w:type="dxa"/>
            <w:vAlign w:val="bottom"/>
          </w:tcPr>
          <w:p>
            <w:pPr>
              <w:spacing w:after="0"/>
              <w:rPr>
                <w:sz w:val="20"/>
                <w:szCs w:val="20"/>
                <w:color w:val="auto"/>
              </w:rPr>
            </w:pPr>
            <w:r>
              <w:rPr>
                <w:rFonts w:ascii="Arial" w:cs="Arial" w:eastAsia="Arial" w:hAnsi="Arial"/>
                <w:sz w:val="18"/>
                <w:szCs w:val="18"/>
                <w:color w:val="auto"/>
              </w:rPr>
              <w:t>Operating Cash Flow</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2012 Olympics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w w:val="90"/>
              </w:rPr>
              <w:t>(</w:t>
            </w:r>
            <w:r>
              <w:rPr>
                <w:rFonts w:ascii="Arial" w:cs="Arial" w:eastAsia="Arial" w:hAnsi="Arial"/>
                <w:sz w:val="9"/>
                <w:szCs w:val="9"/>
                <w:color w:val="auto"/>
                <w:w w:val="90"/>
              </w:rPr>
              <w:t>1)</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9"/>
                <w:szCs w:val="9"/>
                <w:b w:val="1"/>
                <w:bCs w:val="1"/>
                <w:color w:val="auto"/>
                <w:w w:val="90"/>
              </w:rPr>
              <w:t>(</w:t>
            </w:r>
            <w:r>
              <w:rPr>
                <w:rFonts w:ascii="Arial" w:cs="Arial" w:eastAsia="Arial" w:hAnsi="Arial"/>
                <w:sz w:val="9"/>
                <w:szCs w:val="9"/>
                <w:color w:val="auto"/>
                <w:w w:val="90"/>
              </w:rPr>
              <w:t>1)</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340" w:type="dxa"/>
            <w:vAlign w:val="bottom"/>
          </w:tcPr>
          <w:p>
            <w:pPr>
              <w:spacing w:after="0"/>
              <w:rPr>
                <w:sz w:val="20"/>
                <w:szCs w:val="20"/>
                <w:color w:val="auto"/>
              </w:rPr>
            </w:pPr>
            <w:r>
              <w:rPr>
                <w:rFonts w:ascii="Arial" w:cs="Arial" w:eastAsia="Arial" w:hAnsi="Arial"/>
                <w:sz w:val="18"/>
                <w:szCs w:val="18"/>
                <w:color w:val="auto"/>
              </w:rPr>
              <w:t>Operating Cash Flow excluding 2012</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180"/>
              <w:spacing w:after="0" w:line="190" w:lineRule="exact"/>
              <w:rPr>
                <w:sz w:val="20"/>
                <w:szCs w:val="20"/>
                <w:color w:val="auto"/>
              </w:rPr>
            </w:pPr>
            <w:r>
              <w:rPr>
                <w:rFonts w:ascii="Arial" w:cs="Arial" w:eastAsia="Arial" w:hAnsi="Arial"/>
                <w:sz w:val="18"/>
                <w:szCs w:val="18"/>
                <w:color w:val="auto"/>
              </w:rPr>
              <w:t>Olympics</w:t>
            </w: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right w:val="single" w:sz="8" w:color="auto"/>
            </w:tcBorders>
            <w:gridSpan w:val="2"/>
          </w:tcPr>
          <w:p>
            <w:pPr>
              <w:ind w:left="740"/>
              <w:spacing w:after="0" w:line="190" w:lineRule="exact"/>
              <w:rPr>
                <w:sz w:val="20"/>
                <w:szCs w:val="20"/>
                <w:color w:val="auto"/>
              </w:rPr>
            </w:pPr>
            <w:r>
              <w:rPr>
                <w:rFonts w:ascii="Arial" w:cs="Arial" w:eastAsia="Arial" w:hAnsi="Arial"/>
                <w:sz w:val="18"/>
                <w:szCs w:val="18"/>
                <w:color w:val="auto"/>
              </w:rPr>
              <w:t>NM</w:t>
            </w: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34"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the settlement of a $237 million liability associated with the unfavorable Olympics contract recorded through the application of acquisition accounting in 2011.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Minor differences may exist due to rounding.</w:t>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3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6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2019-12-07T03:49:36Z</dcterms:created>
  <dcterms:modified xsi:type="dcterms:W3CDTF">2019-12-07T03:49:36Z</dcterms:modified>
</cp:coreProperties>
</file>