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36830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307"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4"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5"/>
          <w:szCs w:val="25"/>
          <w:b w:val="1"/>
          <w:bCs w:val="1"/>
          <w:color w:val="auto"/>
        </w:rPr>
        <w:t>Pursuant to Section 13 or 15(d) of the</w:t>
      </w:r>
    </w:p>
    <w:p>
      <w:pPr>
        <w:spacing w:after="0" w:line="10"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5"/>
          <w:szCs w:val="25"/>
          <w:b w:val="1"/>
          <w:bCs w:val="1"/>
          <w:color w:val="auto"/>
        </w:rPr>
        <w:t>Securities Exchange Act of 1934</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January 2, 2026</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31"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color w:val="auto"/>
        </w:rPr>
        <w:t>(Exact Name of Registrant</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as Specified in its Charter)</w:t>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Pennsylvania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ectPr>
          <w:pgSz w:w="11900" w:h="16838" w:orient="portrait"/>
          <w:cols w:equalWidth="0" w:num="1">
            <w:col w:w="11240"/>
          </w:cols>
          <w:pgMar w:left="320" w:top="745" w:right="339" w:bottom="0" w:gutter="0" w:footer="0" w:header="0"/>
        </w:sectPr>
      </w:pPr>
    </w:p>
    <w:p>
      <w:pPr>
        <w:spacing w:after="0" w:line="203"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001-32871</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8"/>
          <w:szCs w:val="18"/>
          <w:b w:val="1"/>
          <w:bCs w:val="1"/>
          <w:color w:val="auto"/>
        </w:rPr>
        <w:t>27-0000798</w:t>
      </w:r>
    </w:p>
    <w:p>
      <w:pPr>
        <w:spacing w:after="0" w:line="31"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2">
            <w:col w:w="6480" w:space="720"/>
            <w:col w:w="4040"/>
          </w:cols>
          <w:pgMar w:left="320" w:top="745" w:right="339" w:bottom="0" w:gutter="0" w:footer="0" w:header="0"/>
          <w:type w:val="continuous"/>
        </w:sectPr>
      </w:pPr>
    </w:p>
    <w:p>
      <w:pPr>
        <w:spacing w:after="0" w:line="3"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8"/>
          <w:szCs w:val="18"/>
          <w:b w:val="1"/>
          <w:bCs w:val="1"/>
          <w:color w:val="auto"/>
        </w:rPr>
        <w:t>One Comcast Center</w:t>
      </w:r>
    </w:p>
    <w:p>
      <w:pPr>
        <w:spacing w:after="0" w:line="31"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8"/>
          <w:szCs w:val="18"/>
          <w:b w:val="1"/>
          <w:bCs w:val="1"/>
          <w:color w:val="auto"/>
        </w:rPr>
        <w:t>Philadelphia, PA</w:t>
      </w:r>
    </w:p>
    <w:p>
      <w:pPr>
        <w:spacing w:after="0" w:line="18"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19103-2838</w:t>
      </w:r>
    </w:p>
    <w:p>
      <w:pPr>
        <w:spacing w:after="0" w:line="4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500" w:space="720"/>
            <w:col w:w="3020"/>
          </w:cols>
          <w:pgMar w:left="320" w:top="745" w:right="339" w:bottom="0" w:gutter="0" w:footer="0" w:header="0"/>
          <w:type w:val="continuous"/>
        </w:sectPr>
      </w:pP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(215) 286-1700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351"/>
        </w:trPr>
        <w:tc>
          <w:tcPr>
            <w:tcW w:w="5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1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67"/>
        </w:trPr>
        <w:tc>
          <w:tcPr>
            <w:tcW w:w="52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960" w:type="dxa"/>
            <w:vAlign w:val="bottom"/>
            <w:tcBorders>
              <w:bottom w:val="single" w:sz="8" w:color="auto"/>
            </w:tcBorders>
          </w:tcPr>
          <w:p>
            <w:pPr>
              <w:spacing w:after="0"/>
              <w:rPr>
                <w:sz w:val="5"/>
                <w:szCs w:val="5"/>
                <w:color w:val="auto"/>
              </w:rPr>
            </w:pPr>
          </w:p>
        </w:tc>
      </w:tr>
      <w:tr>
        <w:trPr>
          <w:trHeight w:val="277"/>
        </w:trPr>
        <w:tc>
          <w:tcPr>
            <w:tcW w:w="5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1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CMCSA</w:t>
            </w:r>
          </w:p>
        </w:tc>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51"/>
        </w:trPr>
        <w:tc>
          <w:tcPr>
            <w:tcW w:w="5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0.000% Notes due 2026</w:t>
            </w:r>
          </w:p>
        </w:tc>
        <w:tc>
          <w:tcPr>
            <w:tcW w:w="18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CMCS26</w:t>
            </w:r>
          </w:p>
        </w:tc>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51"/>
        </w:trPr>
        <w:tc>
          <w:tcPr>
            <w:tcW w:w="5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0.250% Notes due 2027</w:t>
            </w:r>
          </w:p>
        </w:tc>
        <w:tc>
          <w:tcPr>
            <w:tcW w:w="18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CMCS27</w:t>
            </w:r>
          </w:p>
        </w:tc>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51"/>
        </w:trPr>
        <w:tc>
          <w:tcPr>
            <w:tcW w:w="5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1.500% Notes due 2029</w:t>
            </w:r>
          </w:p>
        </w:tc>
        <w:tc>
          <w:tcPr>
            <w:tcW w:w="18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CMCS29</w:t>
            </w:r>
          </w:p>
        </w:tc>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51"/>
        </w:trPr>
        <w:tc>
          <w:tcPr>
            <w:tcW w:w="5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0.250% Notes due 2029</w:t>
            </w:r>
          </w:p>
        </w:tc>
        <w:tc>
          <w:tcPr>
            <w:tcW w:w="1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CMCS29A</w:t>
            </w:r>
          </w:p>
        </w:tc>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51"/>
        </w:trPr>
        <w:tc>
          <w:tcPr>
            <w:tcW w:w="5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0.750% Notes due 2032</w:t>
            </w:r>
          </w:p>
        </w:tc>
        <w:tc>
          <w:tcPr>
            <w:tcW w:w="18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CMCS32</w:t>
            </w:r>
          </w:p>
        </w:tc>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51"/>
        </w:trPr>
        <w:tc>
          <w:tcPr>
            <w:tcW w:w="5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3.250% Notes due 2032</w:t>
            </w:r>
          </w:p>
        </w:tc>
        <w:tc>
          <w:tcPr>
            <w:tcW w:w="1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CMCS32A</w:t>
            </w:r>
          </w:p>
        </w:tc>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51"/>
        </w:trPr>
        <w:tc>
          <w:tcPr>
            <w:tcW w:w="5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1.875% Notes due 2036</w:t>
            </w:r>
          </w:p>
        </w:tc>
        <w:tc>
          <w:tcPr>
            <w:tcW w:w="18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CMCS36</w:t>
            </w:r>
          </w:p>
        </w:tc>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51"/>
        </w:trPr>
        <w:tc>
          <w:tcPr>
            <w:tcW w:w="5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3.550% Notes due 2036</w:t>
            </w:r>
          </w:p>
        </w:tc>
        <w:tc>
          <w:tcPr>
            <w:tcW w:w="1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CMCS36A</w:t>
            </w:r>
          </w:p>
        </w:tc>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51"/>
        </w:trPr>
        <w:tc>
          <w:tcPr>
            <w:tcW w:w="5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1.250% Notes due 2040</w:t>
            </w:r>
          </w:p>
        </w:tc>
        <w:tc>
          <w:tcPr>
            <w:tcW w:w="18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CMCS40</w:t>
            </w:r>
          </w:p>
        </w:tc>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51"/>
        </w:trPr>
        <w:tc>
          <w:tcPr>
            <w:tcW w:w="5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5.250% Notes due 2040</w:t>
            </w:r>
          </w:p>
        </w:tc>
        <w:tc>
          <w:tcPr>
            <w:tcW w:w="1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CMCS40A</w:t>
            </w:r>
          </w:p>
        </w:tc>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51"/>
        </w:trPr>
        <w:tc>
          <w:tcPr>
            <w:tcW w:w="5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5.50% Notes due 2029</w:t>
            </w:r>
          </w:p>
        </w:tc>
        <w:tc>
          <w:tcPr>
            <w:tcW w:w="1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CCGBP29</w:t>
            </w:r>
          </w:p>
        </w:tc>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351"/>
        </w:trPr>
        <w:tc>
          <w:tcPr>
            <w:tcW w:w="5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2.0% Exchangeable Subordinated Debentures due 2029</w:t>
            </w:r>
          </w:p>
        </w:tc>
        <w:tc>
          <w:tcPr>
            <w:tcW w:w="1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CCZ</w:t>
            </w:r>
          </w:p>
        </w:tc>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6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ectPr>
          <w:pgSz w:w="11900" w:h="16838" w:orient="portrait"/>
          <w:cols w:equalWidth="0" w:num="1">
            <w:col w:w="11240"/>
          </w:cols>
          <w:pgMar w:left="320" w:top="745" w:right="339" w:bottom="0" w:gutter="0" w:footer="0" w:header="0"/>
          <w:type w:val="continuous"/>
        </w:sectPr>
      </w:pPr>
    </w:p>
    <w:bookmarkStart w:id="1" w:name="page2"/>
    <w:bookmarkEnd w:id="1"/>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5"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81"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80" w:firstLine="441"/>
        <w:spacing w:after="0" w:line="253" w:lineRule="auto"/>
        <w:rPr>
          <w:sz w:val="20"/>
          <w:szCs w:val="20"/>
          <w:color w:val="auto"/>
        </w:rPr>
      </w:pPr>
      <w:r>
        <w:rPr>
          <w:rFonts w:ascii="Times New Roman" w:cs="Times New Roman" w:eastAsia="Times New Roman" w:hAnsi="Times New Roman"/>
          <w:sz w:val="18"/>
          <w:szCs w:val="18"/>
          <w:color w:val="auto"/>
        </w:rPr>
        <w:t>On January 5, 2026, Comcast Corporation (“Comcast”) issued a press release announcing the completion of the previously-announced separation of Versant Media Group, Inc. (“Versant”) from Comcast, effective as of 11:59 p.m. Eastern Time on January 2, 2026. The separation of Versant, which comprises a strong portfolio of cable television networks and complementary digital platforms, was achieved through Comcast’s distribution (the “Distribution”) of 100% of the shares of Versant Class A common stock and Versant Class B common stock to holders of Comcast Class A common stock and Comcast Class B common stock as of the close of business on the record date of December 16, 2025. Comcast stockholders of record received one share of Versant Class A common stock or Versant Class B common stock for every 25 shares of Comcast Class A common stock or Comcast Class B common stock, respectively. Fractional shares of Versant Class A common stock were not delivered in the Distribution. Any fractional share of Versant Class A common stock otherwise issuable to a holder of Comcast Class A common stock will be aggregated into whole shares and sold in the open market on such stockholder’s behalf, and such stockholder will receive a cash payment for the fractional share based on the stockholder’s pro rata share of the aggregate net cash proceeds of the sales.</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Following the Distribution, Versant became an independent, publicly-traded company, and Comcast retained no ownership interest in Versant.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Versant Class A common stock will commence regular way trading under the symbol “VSNT” on the Nasdaq Stock Market LLC.</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copy of the press release is filed as Exhibit 99.1 to this Current Report on Form 8-K and is incorporated by reference in this Item 8.01.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26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9200" w:type="dxa"/>
            <w:vAlign w:val="bottom"/>
            <w:gridSpan w:val="2"/>
          </w:tcPr>
          <w:p>
            <w:pPr>
              <w:spacing w:after="0"/>
              <w:rPr>
                <w:sz w:val="17"/>
                <w:szCs w:val="17"/>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60" w:type="dxa"/>
            <w:vAlign w:val="bottom"/>
          </w:tcPr>
          <w:p>
            <w:pPr>
              <w:spacing w:after="0"/>
              <w:rPr>
                <w:sz w:val="17"/>
                <w:szCs w:val="17"/>
                <w:color w:val="auto"/>
              </w:rPr>
            </w:pPr>
          </w:p>
        </w:tc>
        <w:tc>
          <w:tcPr>
            <w:tcW w:w="101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Press release issued by Comcast Corporation, dated January 5, 2026.</w:t>
            </w:r>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940" w:type="dxa"/>
            <w:vAlign w:val="bottom"/>
            <w:gridSpan w:val="2"/>
            <w:shd w:val="clear" w:color="auto" w:fill="0000EE"/>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67"/>
        </w:trPr>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764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COMCAST CORPORATION</w:t>
            </w:r>
          </w:p>
        </w:tc>
      </w:tr>
      <w:tr>
        <w:trPr>
          <w:trHeight w:val="648"/>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5, 2026</w:t>
            </w:r>
          </w:p>
        </w:tc>
        <w:tc>
          <w:tcPr>
            <w:tcW w:w="764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Elizabeth Wideman</w:t>
            </w:r>
          </w:p>
        </w:tc>
      </w:tr>
      <w:tr>
        <w:trPr>
          <w:trHeight w:val="191"/>
        </w:trPr>
        <w:tc>
          <w:tcPr>
            <w:tcW w:w="36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0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Elizabeth Wideman</w:t>
            </w:r>
          </w:p>
        </w:tc>
      </w:tr>
      <w:tr>
        <w:trPr>
          <w:trHeight w:val="216"/>
        </w:trPr>
        <w:tc>
          <w:tcPr>
            <w:tcW w:w="36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Title:  Senior Vice President, Senior Deputy General Counsel and</w:t>
            </w:r>
          </w:p>
        </w:tc>
      </w:tr>
      <w:tr>
        <w:trPr>
          <w:trHeight w:val="234"/>
        </w:trPr>
        <w:tc>
          <w:tcPr>
            <w:tcW w:w="36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Assistant Secretary</w:t>
            </w:r>
          </w:p>
        </w:tc>
      </w:tr>
      <w:tr>
        <w:trPr>
          <w:trHeight w:val="594"/>
        </w:trPr>
        <w:tc>
          <w:tcPr>
            <w:tcW w:w="36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2125980" cy="1191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25980" cy="119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100"/>
        <w:spacing w:after="0"/>
        <w:rPr>
          <w:sz w:val="20"/>
          <w:szCs w:val="20"/>
          <w:color w:val="auto"/>
        </w:rPr>
      </w:pPr>
      <w:r>
        <w:rPr>
          <w:rFonts w:ascii="Arial" w:cs="Arial" w:eastAsia="Arial" w:hAnsi="Arial"/>
          <w:sz w:val="18"/>
          <w:szCs w:val="18"/>
          <w:color w:val="auto"/>
        </w:rPr>
        <w:t>PRESS RELEASE</w:t>
      </w:r>
    </w:p>
    <w:p>
      <w:pPr>
        <w:spacing w:after="0" w:line="198" w:lineRule="exact"/>
        <w:rPr>
          <w:sz w:val="20"/>
          <w:szCs w:val="20"/>
          <w:color w:val="auto"/>
        </w:rPr>
      </w:pPr>
    </w:p>
    <w:p>
      <w:pPr>
        <w:ind w:left="9100"/>
        <w:spacing w:after="0"/>
        <w:rPr>
          <w:sz w:val="20"/>
          <w:szCs w:val="20"/>
          <w:color w:val="auto"/>
        </w:rPr>
      </w:pPr>
      <w:r>
        <w:rPr>
          <w:rFonts w:ascii="Arial" w:cs="Arial" w:eastAsia="Arial" w:hAnsi="Arial"/>
          <w:sz w:val="18"/>
          <w:szCs w:val="18"/>
          <w:color w:val="auto"/>
        </w:rPr>
        <w:t>Comcast Corporation</w:t>
      </w:r>
    </w:p>
    <w:p>
      <w:pPr>
        <w:spacing w:after="0" w:line="9" w:lineRule="exact"/>
        <w:rPr>
          <w:sz w:val="20"/>
          <w:szCs w:val="20"/>
          <w:color w:val="auto"/>
        </w:rPr>
      </w:pPr>
    </w:p>
    <w:p>
      <w:pPr>
        <w:ind w:left="9100"/>
        <w:spacing w:after="0"/>
        <w:rPr>
          <w:sz w:val="20"/>
          <w:szCs w:val="20"/>
          <w:color w:val="auto"/>
        </w:rPr>
      </w:pPr>
      <w:r>
        <w:rPr>
          <w:rFonts w:ascii="Arial" w:cs="Arial" w:eastAsia="Arial" w:hAnsi="Arial"/>
          <w:sz w:val="18"/>
          <w:szCs w:val="18"/>
          <w:color w:val="auto"/>
        </w:rPr>
        <w:t>One Comcast Center</w:t>
      </w:r>
    </w:p>
    <w:p>
      <w:pPr>
        <w:ind w:left="9100"/>
        <w:spacing w:after="0"/>
        <w:rPr>
          <w:sz w:val="20"/>
          <w:szCs w:val="20"/>
          <w:color w:val="auto"/>
        </w:rPr>
      </w:pPr>
      <w:r>
        <w:rPr>
          <w:rFonts w:ascii="Arial" w:cs="Arial" w:eastAsia="Arial" w:hAnsi="Arial"/>
          <w:sz w:val="18"/>
          <w:szCs w:val="18"/>
          <w:color w:val="auto"/>
        </w:rPr>
        <w:t>Philadelphia, PA 19103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12529"/>
        </w:rPr>
        <w:t>COMCAST ANNOUNCES COMPLETION OF SEPARATION OF VERSANT MEDIA GROUP, INC.</w:t>
      </w:r>
    </w:p>
    <w:p>
      <w:pPr>
        <w:spacing w:after="0" w:line="198" w:lineRule="exact"/>
        <w:rPr>
          <w:sz w:val="20"/>
          <w:szCs w:val="20"/>
          <w:color w:val="auto"/>
        </w:rPr>
      </w:pPr>
    </w:p>
    <w:p>
      <w:pPr>
        <w:ind w:right="500"/>
        <w:spacing w:after="0" w:line="253" w:lineRule="auto"/>
        <w:rPr>
          <w:sz w:val="20"/>
          <w:szCs w:val="20"/>
          <w:color w:val="auto"/>
        </w:rPr>
      </w:pPr>
      <w:r>
        <w:rPr>
          <w:rFonts w:ascii="Arial" w:cs="Arial" w:eastAsia="Arial" w:hAnsi="Arial"/>
          <w:sz w:val="18"/>
          <w:szCs w:val="18"/>
          <w:b w:val="1"/>
          <w:bCs w:val="1"/>
          <w:color w:val="212529"/>
        </w:rPr>
        <w:t xml:space="preserve">PHILADELPHIA – January 5, 2026 – </w:t>
      </w:r>
      <w:r>
        <w:rPr>
          <w:rFonts w:ascii="Arial" w:cs="Arial" w:eastAsia="Arial" w:hAnsi="Arial"/>
          <w:sz w:val="18"/>
          <w:szCs w:val="18"/>
          <w:color w:val="212529"/>
        </w:rPr>
        <w:t>Comcast Corporation today announced the completion of its previously announced separation of</w:t>
      </w:r>
      <w:r>
        <w:rPr>
          <w:rFonts w:ascii="Arial" w:cs="Arial" w:eastAsia="Arial" w:hAnsi="Arial"/>
          <w:sz w:val="18"/>
          <w:szCs w:val="18"/>
          <w:b w:val="1"/>
          <w:bCs w:val="1"/>
          <w:color w:val="212529"/>
        </w:rPr>
        <w:t xml:space="preserve"> </w:t>
      </w:r>
      <w:r>
        <w:rPr>
          <w:rFonts w:ascii="Arial" w:cs="Arial" w:eastAsia="Arial" w:hAnsi="Arial"/>
          <w:sz w:val="18"/>
          <w:szCs w:val="18"/>
          <w:color w:val="212529"/>
        </w:rPr>
        <w:t>Versant Media Group, Inc. into a separate public company, effective as of 11:59 p.m. Eastern Time on January 2, 2026. Versant will commence regular-way trading today on Nasdaq under the ticker symbol VSNT.</w:t>
      </w:r>
    </w:p>
    <w:p>
      <w:pPr>
        <w:spacing w:after="0" w:line="155" w:lineRule="exact"/>
        <w:rPr>
          <w:sz w:val="20"/>
          <w:szCs w:val="20"/>
          <w:color w:val="auto"/>
        </w:rPr>
      </w:pPr>
    </w:p>
    <w:p>
      <w:pPr>
        <w:ind w:right="580"/>
        <w:spacing w:after="0" w:line="253" w:lineRule="auto"/>
        <w:rPr>
          <w:sz w:val="20"/>
          <w:szCs w:val="20"/>
          <w:color w:val="auto"/>
        </w:rPr>
      </w:pPr>
      <w:r>
        <w:rPr>
          <w:rFonts w:ascii="Arial" w:cs="Arial" w:eastAsia="Arial" w:hAnsi="Arial"/>
          <w:sz w:val="18"/>
          <w:szCs w:val="18"/>
          <w:color w:val="auto"/>
        </w:rPr>
        <w:t>Comcast shareholders received one share of Versant Class A common stock or Versant Class B common stock for every 25 shares of Comcast Class A common stock or Comcast Class B common stock, respectively, held at the close of business on the record date of December 16, 2025. The distribution of Versant shares occurred after the close of trading on Nasdaq on January 2, 2026.</w:t>
      </w:r>
    </w:p>
    <w:p>
      <w:pPr>
        <w:spacing w:after="0" w:line="155"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Goldman Sachs &amp; Co. LLC, Morgan Stanley &amp; Co. LLC, and PJT Partners LP served as financial advisors to Comcast, and Davis Polk &amp; Wardwell LLP served as legal counsel.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Comcast Corporation</w:t>
      </w:r>
    </w:p>
    <w:p>
      <w:pPr>
        <w:spacing w:after="0" w:line="1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 xml:space="preserve">Comcast Corporation (NASDAQ: CMCSA) is a global media and technology company. From the connectivity and platforms we provide, to the content and experiences we create, our businesses reach hundreds of millions of customers, viewers, and guests worldwide. We deliver world-class broadband, wireless, and video through Xfinity, Comcast Business, and Sky; produce, distribute, and stream leading entertainment, sports, and news through brands including NBC, Telemundo, Universal, Peacock, and Sky; and bring incredible theme parks and attractions to life through Universal Destinations &amp; Experiences. Visit </w:t>
      </w:r>
      <w:r>
        <w:rPr>
          <w:rFonts w:ascii="Arial" w:cs="Arial" w:eastAsia="Arial" w:hAnsi="Arial"/>
          <w:sz w:val="18"/>
          <w:szCs w:val="18"/>
          <w:u w:val="single" w:color="auto"/>
          <w:color w:val="0000FF"/>
        </w:rPr>
        <w:t>www.comcastcorporation.com</w:t>
      </w:r>
      <w:r>
        <w:rPr>
          <w:rFonts w:ascii="Arial" w:cs="Arial" w:eastAsia="Arial" w:hAnsi="Arial"/>
          <w:sz w:val="18"/>
          <w:szCs w:val="18"/>
          <w:color w:val="auto"/>
        </w:rPr>
        <w:t xml:space="preserve"> for more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VERSANT</w:t>
      </w:r>
    </w:p>
    <w:p>
      <w:pPr>
        <w:spacing w:after="0" w:line="1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 xml:space="preserve">VERSANT (Nasdaq: VSNT) is an industry-changing media and entertainment business and home to trusted brands that shape culture, inform audiences, and build lasting connections. It operates across four core markets: political news and opinion, business news and personal finance, golf and athletics participation and sports and genre entertainment. These markets are served through a powerful portfolio of iconic and innovative brands, including CNBC, MS NOW, USA Network, Golf Channel, Oxygen, E!, SYFY, along with complementary digital assets including Fandango, Rotten Tomatoes, GolfNow and GolfPass. Visit </w:t>
      </w:r>
      <w:r>
        <w:rPr>
          <w:rFonts w:ascii="Arial" w:cs="Arial" w:eastAsia="Arial" w:hAnsi="Arial"/>
          <w:sz w:val="18"/>
          <w:szCs w:val="18"/>
          <w:u w:val="single" w:color="auto"/>
          <w:color w:val="0000FF"/>
        </w:rPr>
        <w:t>www.VersantMedia.com</w:t>
      </w:r>
      <w:r>
        <w:rPr>
          <w:rFonts w:ascii="Arial" w:cs="Arial" w:eastAsia="Arial" w:hAnsi="Arial"/>
          <w:sz w:val="18"/>
          <w:szCs w:val="18"/>
          <w:color w:val="auto"/>
        </w:rPr>
        <w:t xml:space="preserve"> for more information.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900" w:type="dxa"/>
            <w:vAlign w:val="bottom"/>
          </w:tcPr>
          <w:p>
            <w:pPr>
              <w:jc w:val="right"/>
              <w:ind w:right="730"/>
              <w:spacing w:after="0"/>
              <w:rPr>
                <w:sz w:val="20"/>
                <w:szCs w:val="20"/>
                <w:color w:val="auto"/>
              </w:rPr>
            </w:pPr>
            <w:r>
              <w:rPr>
                <w:rFonts w:ascii="Arial" w:cs="Arial" w:eastAsia="Arial" w:hAnsi="Arial"/>
                <w:sz w:val="18"/>
                <w:szCs w:val="18"/>
                <w:color w:val="auto"/>
              </w:rPr>
              <w:t># # #</w:t>
            </w:r>
          </w:p>
        </w:tc>
        <w:tc>
          <w:tcPr>
            <w:tcW w:w="1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361"/>
        </w:trPr>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Investor Contacts</w:t>
            </w:r>
          </w:p>
        </w:tc>
        <w:tc>
          <w:tcPr>
            <w:tcW w:w="25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40" w:type="dxa"/>
            <w:vAlign w:val="bottom"/>
            <w:gridSpan w:val="2"/>
          </w:tcPr>
          <w:p>
            <w:pPr>
              <w:ind w:left="20"/>
              <w:spacing w:after="0"/>
              <w:rPr>
                <w:sz w:val="20"/>
                <w:szCs w:val="20"/>
                <w:color w:val="auto"/>
              </w:rPr>
            </w:pPr>
            <w:r>
              <w:rPr>
                <w:rFonts w:ascii="Arial" w:cs="Arial" w:eastAsia="Arial" w:hAnsi="Arial"/>
                <w:sz w:val="18"/>
                <w:szCs w:val="18"/>
                <w:b w:val="1"/>
                <w:bCs w:val="1"/>
                <w:color w:val="auto"/>
              </w:rPr>
              <w:t>Press Contacts</w:t>
            </w:r>
          </w:p>
        </w:tc>
        <w:tc>
          <w:tcPr>
            <w:tcW w:w="2760" w:type="dxa"/>
            <w:vAlign w:val="bottom"/>
          </w:tcPr>
          <w:p>
            <w:pPr>
              <w:spacing w:after="0"/>
              <w:rPr>
                <w:sz w:val="24"/>
                <w:szCs w:val="24"/>
                <w:color w:val="auto"/>
              </w:rPr>
            </w:pPr>
          </w:p>
        </w:tc>
      </w:tr>
      <w:tr>
        <w:trPr>
          <w:trHeight w:val="393"/>
        </w:trPr>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Marci Ryvicker</w:t>
            </w:r>
          </w:p>
        </w:tc>
        <w:tc>
          <w:tcPr>
            <w:tcW w:w="660" w:type="dxa"/>
            <w:vAlign w:val="bottom"/>
          </w:tcPr>
          <w:p>
            <w:pPr>
              <w:spacing w:after="0"/>
              <w:rPr>
                <w:sz w:val="24"/>
                <w:szCs w:val="24"/>
                <w:color w:val="auto"/>
              </w:rPr>
            </w:pPr>
          </w:p>
        </w:tc>
        <w:tc>
          <w:tcPr>
            <w:tcW w:w="2560" w:type="dxa"/>
            <w:vAlign w:val="bottom"/>
          </w:tcPr>
          <w:p>
            <w:pPr>
              <w:jc w:val="right"/>
              <w:ind w:right="590"/>
              <w:spacing w:after="0"/>
              <w:rPr>
                <w:sz w:val="20"/>
                <w:szCs w:val="20"/>
                <w:color w:val="auto"/>
              </w:rPr>
            </w:pPr>
            <w:r>
              <w:rPr>
                <w:rFonts w:ascii="Arial" w:cs="Arial" w:eastAsia="Arial" w:hAnsi="Arial"/>
                <w:sz w:val="18"/>
                <w:szCs w:val="18"/>
                <w:color w:val="auto"/>
              </w:rPr>
              <w:t>(215) 286-4781</w:t>
            </w:r>
          </w:p>
        </w:tc>
        <w:tc>
          <w:tcPr>
            <w:tcW w:w="1900" w:type="dxa"/>
            <w:vAlign w:val="bottom"/>
          </w:tcPr>
          <w:p>
            <w:pPr>
              <w:spacing w:after="0"/>
              <w:rPr>
                <w:sz w:val="24"/>
                <w:szCs w:val="24"/>
                <w:color w:val="auto"/>
              </w:rPr>
            </w:pPr>
          </w:p>
        </w:tc>
        <w:tc>
          <w:tcPr>
            <w:tcW w:w="1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Jennifer Khoury</w:t>
            </w:r>
          </w:p>
        </w:tc>
        <w:tc>
          <w:tcPr>
            <w:tcW w:w="520" w:type="dxa"/>
            <w:vAlign w:val="bottom"/>
          </w:tcPr>
          <w:p>
            <w:pPr>
              <w:spacing w:after="0"/>
              <w:rPr>
                <w:sz w:val="24"/>
                <w:szCs w:val="24"/>
                <w:color w:val="auto"/>
              </w:rPr>
            </w:pPr>
          </w:p>
        </w:tc>
        <w:tc>
          <w:tcPr>
            <w:tcW w:w="2760" w:type="dxa"/>
            <w:vAlign w:val="bottom"/>
          </w:tcPr>
          <w:p>
            <w:pPr>
              <w:jc w:val="right"/>
              <w:ind w:right="930"/>
              <w:spacing w:after="0"/>
              <w:rPr>
                <w:sz w:val="20"/>
                <w:szCs w:val="20"/>
                <w:color w:val="auto"/>
              </w:rPr>
            </w:pPr>
            <w:r>
              <w:rPr>
                <w:rFonts w:ascii="Arial" w:cs="Arial" w:eastAsia="Arial" w:hAnsi="Arial"/>
                <w:sz w:val="18"/>
                <w:szCs w:val="18"/>
                <w:color w:val="auto"/>
              </w:rPr>
              <w:t>(215) 531-3296</w:t>
            </w:r>
          </w:p>
        </w:tc>
      </w:tr>
      <w:tr>
        <w:trPr>
          <w:trHeight w:val="239"/>
        </w:trPr>
        <w:tc>
          <w:tcPr>
            <w:tcW w:w="2180" w:type="dxa"/>
            <w:vAlign w:val="bottom"/>
            <w:gridSpan w:val="2"/>
          </w:tcPr>
          <w:p>
            <w:pPr>
              <w:spacing w:after="0"/>
              <w:rPr>
                <w:sz w:val="20"/>
                <w:szCs w:val="20"/>
                <w:color w:val="auto"/>
              </w:rPr>
            </w:pPr>
            <w:r>
              <w:rPr>
                <w:rFonts w:ascii="Arial" w:cs="Arial" w:eastAsia="Arial" w:hAnsi="Arial"/>
                <w:sz w:val="18"/>
                <w:szCs w:val="18"/>
                <w:color w:val="auto"/>
              </w:rPr>
              <w:t>Jane Kearns</w:t>
            </w:r>
          </w:p>
        </w:tc>
        <w:tc>
          <w:tcPr>
            <w:tcW w:w="2560" w:type="dxa"/>
            <w:vAlign w:val="bottom"/>
          </w:tcPr>
          <w:p>
            <w:pPr>
              <w:jc w:val="right"/>
              <w:ind w:right="590"/>
              <w:spacing w:after="0"/>
              <w:rPr>
                <w:sz w:val="20"/>
                <w:szCs w:val="20"/>
                <w:color w:val="auto"/>
              </w:rPr>
            </w:pPr>
            <w:r>
              <w:rPr>
                <w:rFonts w:ascii="Arial" w:cs="Arial" w:eastAsia="Arial" w:hAnsi="Arial"/>
                <w:sz w:val="18"/>
                <w:szCs w:val="18"/>
                <w:color w:val="auto"/>
              </w:rPr>
              <w:t>(215) 286-4794</w:t>
            </w:r>
          </w:p>
        </w:tc>
        <w:tc>
          <w:tcPr>
            <w:tcW w:w="1900" w:type="dxa"/>
            <w:vAlign w:val="bottom"/>
          </w:tcPr>
          <w:p>
            <w:pPr>
              <w:spacing w:after="0"/>
              <w:rPr>
                <w:sz w:val="20"/>
                <w:szCs w:val="20"/>
                <w:color w:val="auto"/>
              </w:rPr>
            </w:pPr>
          </w:p>
        </w:tc>
        <w:tc>
          <w:tcPr>
            <w:tcW w:w="1840" w:type="dxa"/>
            <w:vAlign w:val="bottom"/>
            <w:gridSpan w:val="2"/>
          </w:tcPr>
          <w:p>
            <w:pPr>
              <w:ind w:left="20"/>
              <w:spacing w:after="0"/>
              <w:rPr>
                <w:sz w:val="20"/>
                <w:szCs w:val="20"/>
                <w:color w:val="auto"/>
              </w:rPr>
            </w:pPr>
            <w:r>
              <w:rPr>
                <w:rFonts w:ascii="Arial" w:cs="Arial" w:eastAsia="Arial" w:hAnsi="Arial"/>
                <w:sz w:val="18"/>
                <w:szCs w:val="18"/>
                <w:color w:val="auto"/>
              </w:rPr>
              <w:t>John Demming</w:t>
            </w:r>
          </w:p>
        </w:tc>
        <w:tc>
          <w:tcPr>
            <w:tcW w:w="2760" w:type="dxa"/>
            <w:vAlign w:val="bottom"/>
          </w:tcPr>
          <w:p>
            <w:pPr>
              <w:jc w:val="right"/>
              <w:ind w:right="930"/>
              <w:spacing w:after="0"/>
              <w:rPr>
                <w:sz w:val="20"/>
                <w:szCs w:val="20"/>
                <w:color w:val="auto"/>
              </w:rPr>
            </w:pPr>
            <w:r>
              <w:rPr>
                <w:rFonts w:ascii="Arial" w:cs="Arial" w:eastAsia="Arial" w:hAnsi="Arial"/>
                <w:sz w:val="18"/>
                <w:szCs w:val="18"/>
                <w:color w:val="auto"/>
              </w:rPr>
              <w:t>(215) 429-4744</w:t>
            </w:r>
          </w:p>
        </w:tc>
      </w:tr>
      <w:tr>
        <w:trPr>
          <w:trHeight w:val="1427"/>
        </w:trPr>
        <w:tc>
          <w:tcPr>
            <w:tcW w:w="15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2026-01-05T07:05:45Z</dcterms:created>
  <dcterms:modified xsi:type="dcterms:W3CDTF">2026-01-05T07:05:45Z</dcterms:modified>
</cp:coreProperties>
</file>