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8"/>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(Mark One)</w:t>
      </w:r>
    </w:p>
    <w:p>
      <w:pPr>
        <w:spacing w:after="0" w:line="188" w:lineRule="exact"/>
        <w:rPr>
          <w:sz w:val="24"/>
          <w:szCs w:val="24"/>
          <w:color w:val="auto"/>
        </w:rPr>
      </w:pPr>
    </w:p>
    <w:p>
      <w:pPr>
        <w:ind w:left="482" w:right="3260" w:hanging="482"/>
        <w:spacing w:after="0" w:line="239" w:lineRule="auto"/>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3" w:lineRule="exact"/>
        <w:rPr>
          <w:sz w:val="24"/>
          <w:szCs w:val="24"/>
          <w:color w:val="auto"/>
        </w:rPr>
      </w:pPr>
    </w:p>
    <w:p>
      <w:pPr>
        <w:ind w:left="482" w:right="3440" w:hanging="482"/>
        <w:spacing w:after="0" w:line="271" w:lineRule="auto"/>
        <w:tabs>
          <w:tab w:leader="none" w:pos="19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64"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Commission File Number 001-15471</w:t>
      </w:r>
    </w:p>
    <w:p>
      <w:pPr>
        <w:spacing w:after="0" w:line="186"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COMCAST HOLDINGS CORPORATION</w:t>
      </w:r>
    </w:p>
    <w:p>
      <w:pPr>
        <w:spacing w:after="0" w:line="2" w:lineRule="exact"/>
        <w:rPr>
          <w:sz w:val="24"/>
          <w:szCs w:val="24"/>
          <w:color w:val="auto"/>
        </w:rPr>
      </w:pPr>
    </w:p>
    <w:p>
      <w:pPr>
        <w:jc w:val="center"/>
        <w:ind w:right="325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6" w:lineRule="exact"/>
        <w:rPr>
          <w:sz w:val="24"/>
          <w:szCs w:val="24"/>
          <w:color w:val="auto"/>
        </w:rPr>
      </w:pPr>
    </w:p>
    <w:tbl>
      <w:tblPr>
        <w:tblLayout w:type="fixed"/>
        <w:tblInd w:w="862" w:type="dxa"/>
        <w:tblCellMar>
          <w:top w:w="0" w:type="dxa"/>
          <w:left w:w="0" w:type="dxa"/>
          <w:bottom w:w="0" w:type="dxa"/>
          <w:right w:w="0" w:type="dxa"/>
        </w:tblCellMar>
      </w:tblP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p>
      <w:pPr>
        <w:jc w:val="center"/>
        <w:ind w:right="3938"/>
        <w:spacing w:after="0"/>
        <w:tabs>
          <w:tab w:leader="none" w:pos="2080"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2" w:lineRule="exact"/>
        <w:rPr>
          <w:sz w:val="24"/>
          <w:szCs w:val="24"/>
          <w:color w:val="auto"/>
        </w:rPr>
      </w:pPr>
    </w:p>
    <w:p>
      <w:pPr>
        <w:jc w:val="center"/>
        <w:ind w:right="3918"/>
        <w:spacing w:after="0"/>
        <w:tabs>
          <w:tab w:leader="none" w:pos="2260"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186"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9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2"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(Zip Code)</w:t>
      </w:r>
    </w:p>
    <w:p>
      <w:pPr>
        <w:spacing w:after="0" w:line="186" w:lineRule="exact"/>
        <w:rPr>
          <w:sz w:val="24"/>
          <w:szCs w:val="24"/>
          <w:color w:val="auto"/>
        </w:rPr>
      </w:pPr>
    </w:p>
    <w:p>
      <w:pPr>
        <w:ind w:left="2"/>
        <w:spacing w:after="0"/>
        <w:tabs>
          <w:tab w:leader="none" w:pos="5042"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6"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3260"/>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882"/>
          </w:cols>
          <w:pgMar w:left="238" w:top="237" w:right="779" w:bottom="0" w:gutter="0" w:footer="0" w:header="0"/>
        </w:sectPr>
      </w:pPr>
    </w:p>
    <w:p>
      <w:pPr>
        <w:spacing w:after="0" w:line="190" w:lineRule="exact"/>
        <w:rPr>
          <w:sz w:val="24"/>
          <w:szCs w:val="24"/>
          <w:color w:val="auto"/>
        </w:rPr>
      </w:pPr>
    </w:p>
    <w:p>
      <w:pPr>
        <w:ind w:left="862"/>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358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35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4"/>
          <w:szCs w:val="24"/>
          <w:color w:val="auto"/>
        </w:rPr>
      </w:pPr>
    </w:p>
    <w:p>
      <w:pPr>
        <w:sectPr>
          <w:pgSz w:w="11900" w:h="16838" w:orient="portrait"/>
          <w:cols w:equalWidth="0" w:num="4">
            <w:col w:w="1142" w:space="0"/>
            <w:col w:w="4060" w:space="720"/>
            <w:col w:w="180" w:space="100"/>
            <w:col w:w="4680"/>
          </w:cols>
          <w:pgMar w:left="238" w:top="237" w:right="779" w:bottom="0" w:gutter="0" w:footer="0" w:header="0"/>
          <w:type w:val="continuous"/>
        </w:sectPr>
      </w:pPr>
    </w:p>
    <w:p>
      <w:pPr>
        <w:ind w:left="2582"/>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882"/>
          </w:cols>
          <w:pgMar w:left="238" w:top="237" w:right="779" w:bottom="0" w:gutter="0" w:footer="0" w:header="0"/>
          <w:type w:val="continuous"/>
        </w:sectPr>
      </w:pPr>
    </w:p>
    <w:p>
      <w:pPr>
        <w:spacing w:after="0" w:line="194" w:lineRule="exact"/>
        <w:rPr>
          <w:sz w:val="24"/>
          <w:szCs w:val="24"/>
          <w:color w:val="auto"/>
        </w:rPr>
      </w:pPr>
    </w:p>
    <w:p>
      <w:pPr>
        <w:ind w:left="2"/>
        <w:spacing w:after="0"/>
        <w:tabs>
          <w:tab w:leader="none" w:pos="942" w:val="left"/>
          <w:tab w:leader="none" w:pos="2362" w:val="left"/>
          <w:tab w:leader="none" w:pos="3222" w:val="left"/>
          <w:tab w:leader="none" w:pos="3702" w:val="left"/>
          <w:tab w:leader="none" w:pos="4842" w:val="left"/>
        </w:tabs>
        <w:rPr>
          <w:sz w:val="20"/>
          <w:szCs w:val="20"/>
          <w:color w:val="auto"/>
        </w:rPr>
      </w:pPr>
      <w:r>
        <w:rPr>
          <w:rFonts w:ascii="Courier New" w:cs="Courier New" w:eastAsia="Courier New" w:hAnsi="Courier New"/>
          <w:sz w:val="16"/>
          <w:szCs w:val="16"/>
          <w:color w:val="auto"/>
        </w:rPr>
        <w:t>Indicate</w:t>
        <w:tab/>
        <w:t>by check mark</w:t>
        <w:tab/>
        <w:t>whether</w:t>
        <w:tab/>
        <w:t>the</w:t>
        <w:tab/>
        <w:t>registrant</w:t>
      </w:r>
      <w:r>
        <w:rPr>
          <w:sz w:val="20"/>
          <w:szCs w:val="20"/>
          <w:color w:val="auto"/>
        </w:rPr>
        <w:tab/>
      </w:r>
      <w:r>
        <w:rPr>
          <w:rFonts w:ascii="Courier New" w:cs="Courier New" w:eastAsia="Courier New" w:hAnsi="Courier New"/>
          <w:sz w:val="15"/>
          <w:szCs w:val="15"/>
          <w:color w:val="auto"/>
        </w:rPr>
        <w:t>is an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accelerated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filer (as</w:t>
      </w:r>
    </w:p>
    <w:p>
      <w:pPr>
        <w:spacing w:after="0" w:line="13" w:lineRule="exact"/>
        <w:rPr>
          <w:sz w:val="24"/>
          <w:szCs w:val="24"/>
          <w:color w:val="auto"/>
        </w:rPr>
      </w:pPr>
    </w:p>
    <w:p>
      <w:pPr>
        <w:sectPr>
          <w:pgSz w:w="11900" w:h="16838" w:orient="portrait"/>
          <w:cols w:equalWidth="0" w:num="3">
            <w:col w:w="5342" w:space="180"/>
            <w:col w:w="1060" w:space="180"/>
            <w:col w:w="4120"/>
          </w:cols>
          <w:pgMar w:left="238" w:top="237" w:right="779" w:bottom="0" w:gutter="0" w:footer="0" w:header="0"/>
          <w:type w:val="continuous"/>
        </w:sectPr>
      </w:pPr>
    </w:p>
    <w:p>
      <w:pPr>
        <w:ind w:left="2"/>
        <w:spacing w:after="0"/>
        <w:rPr>
          <w:sz w:val="20"/>
          <w:szCs w:val="20"/>
          <w:color w:val="auto"/>
        </w:rPr>
      </w:pPr>
      <w:r>
        <w:rPr>
          <w:rFonts w:ascii="Courier New" w:cs="Courier New" w:eastAsia="Courier New" w:hAnsi="Courier New"/>
          <w:sz w:val="15"/>
          <w:szCs w:val="15"/>
          <w:color w:val="auto"/>
        </w:rPr>
        <w:t>defined in Rule 12-b2 of the Exchange Act). Yes ___ No X</w:t>
      </w:r>
    </w:p>
    <w:p>
      <w:pPr>
        <w:sectPr>
          <w:pgSz w:w="11900" w:h="16838" w:orient="portrait"/>
          <w:cols w:equalWidth="0" w:num="1">
            <w:col w:w="10882"/>
          </w:cols>
          <w:pgMar w:left="238" w:top="237" w:right="779" w:bottom="0" w:gutter="0" w:footer="0" w:header="0"/>
          <w:type w:val="continuous"/>
        </w:sectPr>
      </w:pPr>
    </w:p>
    <w:p>
      <w:pPr>
        <w:spacing w:after="0" w:line="197" w:lineRule="exact"/>
        <w:rPr>
          <w:sz w:val="24"/>
          <w:szCs w:val="24"/>
          <w:color w:val="auto"/>
        </w:rPr>
      </w:pPr>
    </w:p>
    <w:p>
      <w:pPr>
        <w:ind w:left="2" w:right="3260"/>
        <w:spacing w:after="0"/>
        <w:rPr>
          <w:sz w:val="20"/>
          <w:szCs w:val="20"/>
          <w:color w:val="auto"/>
        </w:rPr>
      </w:pPr>
      <w:r>
        <w:rPr>
          <w:rFonts w:ascii="Courier New" w:cs="Courier New" w:eastAsia="Courier New" w:hAnsi="Courier New"/>
          <w:sz w:val="16"/>
          <w:szCs w:val="16"/>
          <w:color w:val="auto"/>
        </w:rPr>
        <w:t>As of March 31, 2004, there were 21,591,115 shares of Class A Common Stock, 916,198,519 shares of Class A Special Common Stock and 9,444,375 shares of Class B Common Stock outstanding.</w:t>
      </w:r>
    </w:p>
    <w:p>
      <w:pPr>
        <w:spacing w:after="0" w:line="187"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3540"/>
        <w:spacing w:after="0"/>
        <w:rPr>
          <w:sz w:val="20"/>
          <w:szCs w:val="20"/>
          <w:color w:val="auto"/>
        </w:rPr>
      </w:pPr>
      <w:r>
        <w:rPr>
          <w:rFonts w:ascii="Courier New" w:cs="Courier New" w:eastAsia="Courier New" w:hAnsi="Courier New"/>
          <w:sz w:val="16"/>
          <w:szCs w:val="16"/>
          <w:color w:val="auto"/>
        </w:rPr>
        <w:t>The Registrant meets the conditions set forth in General Instructions H(1)(a) and (b) of Form 10-Q and is therefore filing this Form with the reduced disclosure format.</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4"/>
          <w:szCs w:val="24"/>
          <w:color w:val="auto"/>
        </w:rPr>
      </w:pPr>
    </w:p>
    <w:p>
      <w:pPr>
        <w:ind w:left="486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4"/>
          <w:szCs w:val="24"/>
          <w:color w:val="auto"/>
        </w:rPr>
      </w:pPr>
    </w:p>
    <w:p>
      <w:pPr>
        <w:ind w:left="400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4"/>
          <w:szCs w:val="24"/>
          <w:color w:val="auto"/>
        </w:rPr>
      </w:pPr>
    </w:p>
    <w:p>
      <w:pPr>
        <w:ind w:left="4482"/>
        <w:spacing w:after="0"/>
        <w:rPr>
          <w:sz w:val="20"/>
          <w:szCs w:val="20"/>
          <w:color w:val="auto"/>
        </w:rPr>
      </w:pPr>
      <w:r>
        <w:rPr>
          <w:rFonts w:ascii="Courier New" w:cs="Courier New" w:eastAsia="Courier New" w:hAnsi="Courier New"/>
          <w:sz w:val="16"/>
          <w:szCs w:val="16"/>
          <w:color w:val="auto"/>
        </w:rPr>
        <w:t>TABLE OF CONTENTS</w:t>
      </w:r>
    </w:p>
    <w:p>
      <w:pPr>
        <w:spacing w:after="0" w:line="369" w:lineRule="exact"/>
        <w:rPr>
          <w:sz w:val="24"/>
          <w:szCs w:val="24"/>
          <w:color w:val="auto"/>
        </w:rPr>
      </w:pPr>
    </w:p>
    <w:p>
      <w:pPr>
        <w:jc w:val="right"/>
        <w:spacing w:after="0"/>
        <w:rPr>
          <w:sz w:val="20"/>
          <w:szCs w:val="20"/>
          <w:color w:val="auto"/>
        </w:rPr>
      </w:pPr>
      <w:r>
        <w:rPr>
          <w:rFonts w:ascii="Courier New" w:cs="Courier New" w:eastAsia="Courier New" w:hAnsi="Courier New"/>
          <w:sz w:val="16"/>
          <w:szCs w:val="16"/>
          <w:color w:val="auto"/>
        </w:rPr>
        <w:t>Page Number</w:t>
      </w:r>
    </w:p>
    <w:p>
      <w:pPr>
        <w:spacing w:after="0" w:line="186" w:lineRule="exact"/>
        <w:rPr>
          <w:sz w:val="24"/>
          <w:szCs w:val="24"/>
          <w:color w:val="auto"/>
        </w:rPr>
      </w:pPr>
    </w:p>
    <w:p>
      <w:pPr>
        <w:ind w:left="2"/>
        <w:spacing w:after="0"/>
        <w:tabs>
          <w:tab w:leader="none" w:pos="1022"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6" w:lineRule="exact"/>
        <w:rPr>
          <w:sz w:val="24"/>
          <w:szCs w:val="24"/>
          <w:color w:val="auto"/>
        </w:rPr>
      </w:pPr>
    </w:p>
    <w:p>
      <w:pPr>
        <w:ind w:left="1042"/>
        <w:spacing w:after="0"/>
        <w:tabs>
          <w:tab w:leader="none" w:pos="2082"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6"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Condensed Consolidated Balance Sheet as of March 31, 2004</w:t>
      </w:r>
    </w:p>
    <w:p>
      <w:pPr>
        <w:spacing w:after="0" w:line="2"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and December 31, 2003 (Unaudited)</w:t>
      </w:r>
      <w:r>
        <w:rPr>
          <w:sz w:val="20"/>
          <w:szCs w:val="20"/>
          <w:color w:val="auto"/>
        </w:rPr>
        <w:tab/>
      </w:r>
      <w:r>
        <w:rPr>
          <w:rFonts w:ascii="Courier New" w:cs="Courier New" w:eastAsia="Courier New" w:hAnsi="Courier New"/>
          <w:sz w:val="12"/>
          <w:szCs w:val="12"/>
          <w:color w:val="auto"/>
        </w:rPr>
        <w:t>2</w:t>
      </w:r>
    </w:p>
    <w:p>
      <w:pPr>
        <w:spacing w:after="0" w:line="186"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Condensed Consolidated Statement of Operations for the Three Months</w:t>
      </w:r>
    </w:p>
    <w:p>
      <w:pPr>
        <w:spacing w:after="0" w:line="2"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Ended March 31, 2004 and 2003 (Unaudited)</w:t>
      </w:r>
      <w:r>
        <w:rPr>
          <w:sz w:val="20"/>
          <w:szCs w:val="20"/>
          <w:color w:val="auto"/>
        </w:rPr>
        <w:tab/>
      </w:r>
      <w:r>
        <w:rPr>
          <w:rFonts w:ascii="Courier New" w:cs="Courier New" w:eastAsia="Courier New" w:hAnsi="Courier New"/>
          <w:sz w:val="12"/>
          <w:szCs w:val="12"/>
          <w:color w:val="auto"/>
        </w:rPr>
        <w:t>3</w:t>
      </w:r>
    </w:p>
    <w:p>
      <w:pPr>
        <w:spacing w:after="0" w:line="186"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Condensed Consolidated Statement of Cash Flows for the Three Months</w:t>
      </w:r>
    </w:p>
    <w:p>
      <w:pPr>
        <w:spacing w:after="0" w:line="2"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Ended March 31, 2004 and 2003 (Unaudited)</w:t>
      </w:r>
      <w:r>
        <w:rPr>
          <w:sz w:val="20"/>
          <w:szCs w:val="20"/>
          <w:color w:val="auto"/>
        </w:rPr>
        <w:tab/>
      </w:r>
      <w:r>
        <w:rPr>
          <w:rFonts w:ascii="Courier New" w:cs="Courier New" w:eastAsia="Courier New" w:hAnsi="Courier New"/>
          <w:sz w:val="12"/>
          <w:szCs w:val="12"/>
          <w:color w:val="auto"/>
        </w:rPr>
        <w:t>4</w:t>
      </w:r>
    </w:p>
    <w:p>
      <w:pPr>
        <w:spacing w:after="0" w:line="186" w:lineRule="exact"/>
        <w:rPr>
          <w:sz w:val="24"/>
          <w:szCs w:val="24"/>
          <w:color w:val="auto"/>
        </w:rPr>
      </w:pPr>
    </w:p>
    <w:p>
      <w:pPr>
        <w:ind w:left="2102"/>
        <w:spacing w:after="0"/>
        <w:tabs>
          <w:tab w:leader="dot" w:pos="10382"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2"/>
          <w:szCs w:val="12"/>
          <w:color w:val="auto"/>
        </w:rPr>
        <w:t>5</w:t>
      </w:r>
    </w:p>
    <w:p>
      <w:pPr>
        <w:spacing w:after="0" w:line="186" w:lineRule="exact"/>
        <w:rPr>
          <w:sz w:val="24"/>
          <w:szCs w:val="24"/>
          <w:color w:val="auto"/>
        </w:rPr>
      </w:pPr>
    </w:p>
    <w:p>
      <w:pPr>
        <w:ind w:left="1042"/>
        <w:spacing w:after="0"/>
        <w:tabs>
          <w:tab w:leader="none" w:pos="2082"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2" w:lineRule="exact"/>
        <w:rPr>
          <w:sz w:val="24"/>
          <w:szCs w:val="24"/>
          <w:color w:val="auto"/>
        </w:rPr>
      </w:pPr>
    </w:p>
    <w:p>
      <w:pPr>
        <w:ind w:left="2102"/>
        <w:spacing w:after="0"/>
        <w:tabs>
          <w:tab w:leader="dot" w:pos="10282"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5"/>
          <w:szCs w:val="15"/>
          <w:color w:val="auto"/>
        </w:rPr>
        <w:t>14</w:t>
      </w:r>
    </w:p>
    <w:p>
      <w:pPr>
        <w:spacing w:after="0" w:line="186" w:lineRule="exact"/>
        <w:rPr>
          <w:sz w:val="24"/>
          <w:szCs w:val="24"/>
          <w:color w:val="auto"/>
        </w:rPr>
      </w:pPr>
    </w:p>
    <w:p>
      <w:pPr>
        <w:ind w:left="1042"/>
        <w:spacing w:after="0"/>
        <w:tabs>
          <w:tab w:leader="none" w:pos="2082" w:val="left"/>
          <w:tab w:leader="dot" w:pos="10282"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r>
        <w:rPr>
          <w:sz w:val="20"/>
          <w:szCs w:val="20"/>
          <w:color w:val="auto"/>
        </w:rPr>
        <w:tab/>
      </w:r>
      <w:r>
        <w:rPr>
          <w:rFonts w:ascii="Courier New" w:cs="Courier New" w:eastAsia="Courier New" w:hAnsi="Courier New"/>
          <w:sz w:val="15"/>
          <w:szCs w:val="15"/>
          <w:color w:val="auto"/>
        </w:rPr>
        <w:t>17</w:t>
      </w:r>
    </w:p>
    <w:p>
      <w:pPr>
        <w:spacing w:after="0" w:line="186" w:lineRule="exact"/>
        <w:rPr>
          <w:sz w:val="24"/>
          <w:szCs w:val="24"/>
          <w:color w:val="auto"/>
        </w:rPr>
      </w:pPr>
    </w:p>
    <w:p>
      <w:pPr>
        <w:ind w:left="1042"/>
        <w:spacing w:after="0"/>
        <w:tabs>
          <w:tab w:leader="none" w:pos="2082" w:val="left"/>
          <w:tab w:leader="dot" w:pos="10282"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Controls and Procedures</w:t>
      </w:r>
      <w:r>
        <w:rPr>
          <w:sz w:val="20"/>
          <w:szCs w:val="20"/>
          <w:color w:val="auto"/>
        </w:rPr>
        <w:tab/>
      </w:r>
      <w:r>
        <w:rPr>
          <w:rFonts w:ascii="Courier New" w:cs="Courier New" w:eastAsia="Courier New" w:hAnsi="Courier New"/>
          <w:sz w:val="15"/>
          <w:szCs w:val="15"/>
          <w:color w:val="auto"/>
        </w:rPr>
        <w:t>17</w:t>
      </w:r>
    </w:p>
    <w:p>
      <w:pPr>
        <w:sectPr>
          <w:pgSz w:w="11900" w:h="16838" w:orient="portrait"/>
          <w:cols w:equalWidth="0" w:num="1">
            <w:col w:w="10882"/>
          </w:cols>
          <w:pgMar w:left="238" w:top="237" w:right="7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0300" w:type="dxa"/>
            <w:vAlign w:val="bottom"/>
            <w:gridSpan w:val="3"/>
          </w:tcPr>
          <w:p>
            <w:pPr>
              <w:spacing w:after="0"/>
              <w:rPr>
                <w:sz w:val="20"/>
                <w:szCs w:val="20"/>
                <w:color w:val="auto"/>
              </w:rPr>
            </w:pPr>
            <w:r>
              <w:rPr>
                <w:rFonts w:ascii="Courier New" w:cs="Courier New" w:eastAsia="Courier New" w:hAnsi="Courier New"/>
                <w:sz w:val="16"/>
                <w:szCs w:val="16"/>
                <w:color w:val="auto"/>
              </w:rPr>
              <w:t>PART II.   OTHER INFORMATION</w:t>
            </w:r>
          </w:p>
        </w:tc>
        <w:tc>
          <w:tcPr>
            <w:tcW w:w="180" w:type="dxa"/>
            <w:vAlign w:val="bottom"/>
          </w:tcPr>
          <w:p>
            <w:pPr>
              <w:spacing w:after="0"/>
              <w:rPr>
                <w:sz w:val="15"/>
                <w:szCs w:val="15"/>
                <w:color w:val="auto"/>
              </w:rPr>
            </w:pPr>
          </w:p>
        </w:tc>
      </w:tr>
      <w:tr>
        <w:trPr>
          <w:trHeight w:val="367"/>
        </w:trPr>
        <w:tc>
          <w:tcPr>
            <w:tcW w:w="1480" w:type="dxa"/>
            <w:vAlign w:val="bottom"/>
          </w:tcPr>
          <w:p>
            <w:pPr>
              <w:ind w:left="1040"/>
              <w:spacing w:after="0"/>
              <w:rPr>
                <w:sz w:val="20"/>
                <w:szCs w:val="20"/>
                <w:color w:val="auto"/>
              </w:rPr>
            </w:pPr>
            <w:r>
              <w:rPr>
                <w:rFonts w:ascii="Courier New" w:cs="Courier New" w:eastAsia="Courier New" w:hAnsi="Courier New"/>
                <w:sz w:val="16"/>
                <w:szCs w:val="16"/>
                <w:color w:val="auto"/>
              </w:rPr>
              <w:t>ITEM</w:t>
            </w:r>
          </w:p>
        </w:tc>
        <w:tc>
          <w:tcPr>
            <w:tcW w:w="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w:t>
            </w:r>
          </w:p>
        </w:tc>
        <w:tc>
          <w:tcPr>
            <w:tcW w:w="8260" w:type="dxa"/>
            <w:vAlign w:val="bottom"/>
          </w:tcPr>
          <w:p>
            <w:pPr>
              <w:ind w:left="60"/>
              <w:spacing w:after="0"/>
              <w:rPr>
                <w:sz w:val="20"/>
                <w:szCs w:val="20"/>
                <w:color w:val="auto"/>
              </w:rPr>
            </w:pPr>
            <w:r>
              <w:rPr>
                <w:rFonts w:ascii="Courier New" w:cs="Courier New" w:eastAsia="Courier New" w:hAnsi="Courier New"/>
                <w:sz w:val="16"/>
                <w:szCs w:val="16"/>
                <w:color w:val="auto"/>
                <w:w w:val="99"/>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367"/>
        </w:trPr>
        <w:tc>
          <w:tcPr>
            <w:tcW w:w="1480" w:type="dxa"/>
            <w:vAlign w:val="bottom"/>
          </w:tcPr>
          <w:p>
            <w:pPr>
              <w:ind w:left="1040"/>
              <w:spacing w:after="0"/>
              <w:rPr>
                <w:sz w:val="20"/>
                <w:szCs w:val="20"/>
                <w:color w:val="auto"/>
              </w:rPr>
            </w:pPr>
            <w:r>
              <w:rPr>
                <w:rFonts w:ascii="Courier New" w:cs="Courier New" w:eastAsia="Courier New" w:hAnsi="Courier New"/>
                <w:sz w:val="16"/>
                <w:szCs w:val="16"/>
                <w:color w:val="auto"/>
              </w:rPr>
              <w:t>ITEM</w:t>
            </w:r>
          </w:p>
        </w:tc>
        <w:tc>
          <w:tcPr>
            <w:tcW w:w="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w:t>
            </w:r>
          </w:p>
        </w:tc>
        <w:tc>
          <w:tcPr>
            <w:tcW w:w="8260" w:type="dxa"/>
            <w:vAlign w:val="bottom"/>
          </w:tcPr>
          <w:p>
            <w:pPr>
              <w:ind w:left="60"/>
              <w:spacing w:after="0"/>
              <w:rPr>
                <w:sz w:val="20"/>
                <w:szCs w:val="20"/>
                <w:color w:val="auto"/>
              </w:rPr>
            </w:pPr>
            <w:r>
              <w:rPr>
                <w:rFonts w:ascii="Courier New" w:cs="Courier New" w:eastAsia="Courier New" w:hAnsi="Courier New"/>
                <w:sz w:val="16"/>
                <w:szCs w:val="16"/>
                <w:color w:val="auto"/>
                <w:w w:val="99"/>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367"/>
        </w:trPr>
        <w:tc>
          <w:tcPr>
            <w:tcW w:w="20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SIGNATURES</w:t>
            </w:r>
          </w:p>
        </w:tc>
        <w:tc>
          <w:tcPr>
            <w:tcW w:w="8260" w:type="dxa"/>
            <w:vAlign w:val="bottom"/>
          </w:tcPr>
          <w:p>
            <w:pPr>
              <w:ind w:left="60"/>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bl>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860" w:firstLine="477"/>
        <w:spacing w:after="0" w:line="242" w:lineRule="auto"/>
        <w:rPr>
          <w:sz w:val="20"/>
          <w:szCs w:val="20"/>
          <w:color w:val="auto"/>
        </w:rPr>
      </w:pPr>
      <w:r>
        <w:rPr>
          <w:rFonts w:ascii="Courier New" w:cs="Courier New" w:eastAsia="Courier New" w:hAnsi="Courier New"/>
          <w:sz w:val="16"/>
          <w:szCs w:val="16"/>
          <w:color w:val="auto"/>
        </w:rPr>
        <w:t>This Quarterly Report on Form 10-Q is for the three months ended March 31, 2004. This Quarterly Report modifies and supersedes documents filed prior to this Quarterly Report. Information that we file with the SEC in the future will automatically update and supersede information contained in this Quarterly Report. In this Quarterly Report, "Comcast Holdings," "we," "us" and "our" refer to Comcast Holdings Corporation and its subsidiaries, and "Comcast" refers to Comcast Corporation.</w:t>
      </w:r>
    </w:p>
    <w:p>
      <w:pPr>
        <w:spacing w:after="0" w:line="188" w:lineRule="exact"/>
        <w:rPr>
          <w:sz w:val="20"/>
          <w:szCs w:val="20"/>
          <w:color w:val="auto"/>
        </w:rPr>
      </w:pPr>
    </w:p>
    <w:p>
      <w:pPr>
        <w:jc w:val="both"/>
        <w:ind w:right="2860" w:firstLine="477"/>
        <w:spacing w:after="0" w:line="242"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should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w:t>
      </w:r>
    </w:p>
    <w:p>
      <w:pPr>
        <w:spacing w:after="0" w:line="4" w:lineRule="exact"/>
        <w:rPr>
          <w:sz w:val="20"/>
          <w:szCs w:val="20"/>
          <w:color w:val="auto"/>
        </w:rPr>
      </w:pPr>
    </w:p>
    <w:p>
      <w:pPr>
        <w:jc w:val="both"/>
        <w:ind w:right="2860"/>
        <w:spacing w:after="0" w:line="261" w:lineRule="auto"/>
        <w:rPr>
          <w:sz w:val="20"/>
          <w:szCs w:val="20"/>
          <w:color w:val="auto"/>
        </w:rPr>
      </w:pPr>
      <w:r>
        <w:rPr>
          <w:rFonts w:ascii="Courier New" w:cs="Courier New" w:eastAsia="Courier New" w:hAnsi="Courier New"/>
          <w:sz w:val="15"/>
          <w:szCs w:val="15"/>
          <w:color w:val="auto"/>
        </w:rPr>
        <w:t>"should,"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7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businesses maybe affected by, among other things:</w:t>
      </w:r>
    </w:p>
    <w:p>
      <w:pPr>
        <w:spacing w:after="0" w:line="186" w:lineRule="exact"/>
        <w:rPr>
          <w:sz w:val="20"/>
          <w:szCs w:val="20"/>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ind w:left="960" w:right="304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6" w:lineRule="exact"/>
        <w:rPr>
          <w:rFonts w:ascii="Courier New" w:cs="Courier New" w:eastAsia="Courier New" w:hAnsi="Courier New"/>
          <w:sz w:val="16"/>
          <w:szCs w:val="16"/>
          <w:color w:val="auto"/>
        </w:rPr>
      </w:pPr>
    </w:p>
    <w:p>
      <w:pPr>
        <w:ind w:left="960" w:right="2860" w:hanging="485"/>
        <w:spacing w:after="0" w:line="23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2"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pacing w:after="0" w:line="188" w:lineRule="exact"/>
        <w:rPr>
          <w:sz w:val="20"/>
          <w:szCs w:val="20"/>
          <w:color w:val="auto"/>
        </w:rPr>
      </w:pPr>
    </w:p>
    <w:p>
      <w:pPr>
        <w:jc w:val="both"/>
        <w:ind w:right="2860" w:firstLine="477"/>
        <w:spacing w:after="0" w:line="242" w:lineRule="auto"/>
        <w:rPr>
          <w:sz w:val="20"/>
          <w:szCs w:val="20"/>
          <w:color w:val="auto"/>
        </w:rPr>
      </w:pPr>
      <w:r>
        <w:rPr>
          <w:rFonts w:ascii="Courier New" w:cs="Courier New" w:eastAsia="Courier New" w:hAnsi="Courier New"/>
          <w:sz w:val="16"/>
          <w:szCs w:val="16"/>
          <w:color w:val="auto"/>
        </w:rPr>
        <w:t>As more fully described elsewhere in this Quarterly Report and in our Annual Report on Form 10-K for the year ended December 31, 2003, on September 17, 2003, we sold to Liberty Media Corporation our approximate 57% interest in QVC, Inc., which markets a wide variety of products directly to consumers primarily on merchandise-focused television programs. Accordingly, financial information related to QVC is presented as a discontinued operation in our financial statements.</w:t>
      </w:r>
    </w:p>
    <w:p>
      <w:pPr>
        <w:sectPr>
          <w:pgSz w:w="11900" w:h="16838" w:orient="portrait"/>
          <w:cols w:equalWidth="0" w:num="1">
            <w:col w:w="10480"/>
          </w:cols>
          <w:pgMar w:left="240" w:top="322" w:right="1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7020" w:type="dxa"/>
            <w:vAlign w:val="bottom"/>
          </w:tcPr>
          <w:p>
            <w:pPr>
              <w:ind w:left="1060"/>
              <w:spacing w:after="0"/>
              <w:rPr>
                <w:sz w:val="20"/>
                <w:szCs w:val="20"/>
                <w:color w:val="auto"/>
              </w:rPr>
            </w:pPr>
            <w:r>
              <w:rPr>
                <w:rFonts w:ascii="Courier New" w:cs="Courier New" w:eastAsia="Courier New" w:hAnsi="Courier New"/>
                <w:sz w:val="16"/>
                <w:szCs w:val="16"/>
                <w:color w:val="auto"/>
              </w:rPr>
              <w:t>COMCAST HOLDINGS CORPORATION AND SUBSIDIARIES</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020" w:type="dxa"/>
            <w:vAlign w:val="bottom"/>
          </w:tcPr>
          <w:p>
            <w:pPr>
              <w:jc w:val="right"/>
              <w:ind w:right="3321"/>
              <w:spacing w:after="0"/>
              <w:rPr>
                <w:sz w:val="20"/>
                <w:szCs w:val="20"/>
                <w:color w:val="auto"/>
              </w:rPr>
            </w:pPr>
            <w:r>
              <w:rPr>
                <w:rFonts w:ascii="Courier New" w:cs="Courier New" w:eastAsia="Courier New" w:hAnsi="Courier New"/>
                <w:sz w:val="16"/>
                <w:szCs w:val="16"/>
                <w:color w:val="auto"/>
              </w:rPr>
              <w:t>FORM 10-Q</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020" w:type="dxa"/>
            <w:vAlign w:val="bottom"/>
          </w:tcPr>
          <w:p>
            <w:pPr>
              <w:jc w:val="right"/>
              <w:ind w:right="2461"/>
              <w:spacing w:after="0"/>
              <w:rPr>
                <w:sz w:val="20"/>
                <w:szCs w:val="20"/>
                <w:color w:val="auto"/>
              </w:rPr>
            </w:pPr>
            <w:r>
              <w:rPr>
                <w:rFonts w:ascii="Courier New" w:cs="Courier New" w:eastAsia="Courier New" w:hAnsi="Courier New"/>
                <w:sz w:val="16"/>
                <w:szCs w:val="16"/>
                <w:color w:val="auto"/>
              </w:rPr>
              <w:t>QUARTER ENDED MARCH 31, 2004</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7020" w:type="dxa"/>
            <w:vAlign w:val="bottom"/>
          </w:tcPr>
          <w:p>
            <w:pPr>
              <w:ind w:left="1060"/>
              <w:spacing w:after="0"/>
              <w:rPr>
                <w:sz w:val="20"/>
                <w:szCs w:val="20"/>
                <w:color w:val="auto"/>
              </w:rPr>
            </w:pPr>
            <w:r>
              <w:rPr>
                <w:rFonts w:ascii="Courier New" w:cs="Courier New" w:eastAsia="Courier New" w:hAnsi="Courier New"/>
                <w:sz w:val="16"/>
                <w:szCs w:val="16"/>
                <w:color w:val="auto"/>
              </w:rPr>
              <w:t>FINANCIAL INFORMATION</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w w:val="74"/>
              </w:rPr>
              <w:t>- -------</w:t>
            </w:r>
          </w:p>
        </w:tc>
        <w:tc>
          <w:tcPr>
            <w:tcW w:w="7020" w:type="dxa"/>
            <w:vAlign w:val="bottom"/>
          </w:tcPr>
          <w:p>
            <w:pPr>
              <w:jc w:val="right"/>
              <w:ind w:right="37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1.</w:t>
            </w:r>
          </w:p>
        </w:tc>
        <w:tc>
          <w:tcPr>
            <w:tcW w:w="7020" w:type="dxa"/>
            <w:vAlign w:val="bottom"/>
          </w:tcPr>
          <w:p>
            <w:pPr>
              <w:ind w:left="1060"/>
              <w:spacing w:after="0"/>
              <w:rPr>
                <w:sz w:val="20"/>
                <w:szCs w:val="20"/>
                <w:color w:val="auto"/>
              </w:rPr>
            </w:pPr>
            <w:r>
              <w:rPr>
                <w:rFonts w:ascii="Courier New" w:cs="Courier New" w:eastAsia="Courier New" w:hAnsi="Courier New"/>
                <w:sz w:val="16"/>
                <w:szCs w:val="16"/>
                <w:color w:val="auto"/>
              </w:rPr>
              <w:t>FINANCIAL STATEMENTS</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7"/>
        </w:trPr>
        <w:tc>
          <w:tcPr>
            <w:tcW w:w="660" w:type="dxa"/>
            <w:vAlign w:val="bottom"/>
          </w:tcPr>
          <w:p>
            <w:pPr>
              <w:spacing w:after="0"/>
              <w:rPr>
                <w:sz w:val="24"/>
                <w:szCs w:val="24"/>
                <w:color w:val="auto"/>
              </w:rPr>
            </w:pPr>
          </w:p>
        </w:tc>
        <w:tc>
          <w:tcPr>
            <w:tcW w:w="70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CONDENSED CONSOLIDATED BALANCE SHEET</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020" w:type="dxa"/>
            <w:vAlign w:val="bottom"/>
          </w:tcPr>
          <w:p>
            <w:pPr>
              <w:jc w:val="right"/>
              <w:ind w:right="1601"/>
              <w:spacing w:after="0"/>
              <w:rPr>
                <w:sz w:val="20"/>
                <w:szCs w:val="20"/>
                <w:color w:val="auto"/>
              </w:rPr>
            </w:pPr>
            <w:r>
              <w:rPr>
                <w:rFonts w:ascii="Courier New" w:cs="Courier New" w:eastAsia="Courier New" w:hAnsi="Courier New"/>
                <w:sz w:val="16"/>
                <w:szCs w:val="16"/>
                <w:color w:val="auto"/>
              </w:rPr>
              <w:t>(Unaudited)</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734"/>
        </w:trPr>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(Dollars in millions, except share data)</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March 31,</w:t>
            </w:r>
          </w:p>
        </w:tc>
        <w:tc>
          <w:tcPr>
            <w:tcW w:w="21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2004</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2003</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7"/>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ASSETS</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CURRENT ASSETS</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Cash and cash equivalents..................................................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$814</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$1,509</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Investments................................................................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Accounts receivable, less allowance for doubtful accounts of $66 and $74...</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402</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453</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Other current assets.......................................................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181</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179</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60" w:type="dxa"/>
            <w:vAlign w:val="bottom"/>
          </w:tcPr>
          <w:p>
            <w:pPr>
              <w:spacing w:after="0"/>
              <w:rPr>
                <w:sz w:val="15"/>
                <w:szCs w:val="15"/>
                <w:color w:val="auto"/>
              </w:rPr>
            </w:pPr>
          </w:p>
        </w:tc>
        <w:tc>
          <w:tcPr>
            <w:tcW w:w="70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1,644</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2,280</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NOTES RECEIVABLE FROM AFFILIATE...............................................</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3,798</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3,310</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DUE FROM AFFILIATES, net......................................................</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1,648</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943</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INVESTMENTS...................................................................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3,251</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3,363</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PROPERTY AND EQUIPMENT, net of accumulated depreciation of $4,729 and $4,456..</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6,381</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6,571</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FRANCHISE RIGHTS..............................................................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16,620</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16,620</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GOODWILL......................................................................</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5,665</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5,663</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OTHER INTANGIBLE ASSETS, net of accumulated amortization of $1,098 and $1,022.</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1,412</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1,350</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OTHER NONCURRENT ASSETS, net..................................................</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272</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302</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$40,691</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$40,402</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LIABILITIES AND STOCKHOLDERS' EQUITY</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CURRENT LIABILITIES</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Accounts payable...........................................................</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$299</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$303</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Accrued expenses and other current liabilities.............................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2,113</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2,014</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Deferred income taxes......................................................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26</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Current portion of long-term debt..........................................</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328</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373</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60" w:type="dxa"/>
            <w:vAlign w:val="bottom"/>
          </w:tcPr>
          <w:p>
            <w:pPr>
              <w:spacing w:after="0"/>
              <w:rPr>
                <w:sz w:val="15"/>
                <w:szCs w:val="15"/>
                <w:color w:val="auto"/>
              </w:rPr>
            </w:pPr>
          </w:p>
        </w:tc>
        <w:tc>
          <w:tcPr>
            <w:tcW w:w="70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2,752</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2,716</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LONG-TERM DEBT, less current portion..........................................</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7,832</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7,828</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NOTES PAYABLE TO AFFILIATES...................................................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234</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61</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DEFERRED INCOME TAXES.........................................................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8,408</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8,288</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OTHER NONCURRENT LIABILITIES..................................................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2,136</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2,289</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MINORITY INTEREST.............................................................</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319</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316</w:t>
            </w: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COMMITMENTS AND CONTINGENCIES (NOTE 7)</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7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STOCKHOLDERS' EQUITY</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Preferred stock - authorized 20,000,000 shares; issued, zero...............</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A common stock, $1.00 par value - authorized,</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020" w:type="dxa"/>
            <w:vAlign w:val="bottom"/>
          </w:tcPr>
          <w:p>
            <w:pPr>
              <w:jc w:val="right"/>
              <w:spacing w:after="0"/>
              <w:rPr>
                <w:sz w:val="20"/>
                <w:szCs w:val="20"/>
                <w:color w:val="auto"/>
              </w:rPr>
            </w:pPr>
            <w:r>
              <w:rPr>
                <w:rFonts w:ascii="Courier New" w:cs="Courier New" w:eastAsia="Courier New" w:hAnsi="Courier New"/>
                <w:sz w:val="16"/>
                <w:szCs w:val="16"/>
                <w:color w:val="auto"/>
                <w:w w:val="99"/>
              </w:rPr>
              <w:t>200,000,000 shares; issued, 21,591,115 ..................................</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A special common stock, $1.00 par value - authorized,</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020" w:type="dxa"/>
            <w:vAlign w:val="bottom"/>
          </w:tcPr>
          <w:p>
            <w:pPr>
              <w:jc w:val="right"/>
              <w:spacing w:after="0"/>
              <w:rPr>
                <w:sz w:val="20"/>
                <w:szCs w:val="20"/>
                <w:color w:val="auto"/>
              </w:rPr>
            </w:pPr>
            <w:r>
              <w:rPr>
                <w:rFonts w:ascii="Courier New" w:cs="Courier New" w:eastAsia="Courier New" w:hAnsi="Courier New"/>
                <w:sz w:val="16"/>
                <w:szCs w:val="16"/>
                <w:color w:val="auto"/>
                <w:w w:val="99"/>
              </w:rPr>
              <w:t>2,500,000,000 shares; issued 916,198,519.................................</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916</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916</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B common stock, $1.00 par value - authorized, 50,000,000 shares;</w:t>
            </w:r>
          </w:p>
        </w:tc>
        <w:tc>
          <w:tcPr>
            <w:tcW w:w="16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020" w:type="dxa"/>
            <w:vAlign w:val="bottom"/>
          </w:tcPr>
          <w:p>
            <w:pPr>
              <w:jc w:val="right"/>
              <w:spacing w:after="0"/>
              <w:rPr>
                <w:sz w:val="20"/>
                <w:szCs w:val="20"/>
                <w:color w:val="auto"/>
              </w:rPr>
            </w:pPr>
            <w:r>
              <w:rPr>
                <w:rFonts w:ascii="Courier New" w:cs="Courier New" w:eastAsia="Courier New" w:hAnsi="Courier New"/>
                <w:sz w:val="16"/>
                <w:szCs w:val="16"/>
                <w:color w:val="auto"/>
                <w:w w:val="99"/>
              </w:rPr>
              <w:t>issued, 9,444,375........................................................</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Additional capital.........................................................</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12,353</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12,353</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Retained earnings..........................................................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5,721</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5,623</w:t>
            </w:r>
          </w:p>
        </w:tc>
      </w:tr>
      <w:tr>
        <w:trPr>
          <w:trHeight w:val="183"/>
        </w:trPr>
        <w:tc>
          <w:tcPr>
            <w:tcW w:w="7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Accumulated other comprehensive loss.......................................</w:t>
            </w: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c>
          <w:tcPr>
            <w:tcW w:w="218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(19)</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60" w:type="dxa"/>
            <w:vAlign w:val="bottom"/>
          </w:tcPr>
          <w:p>
            <w:pPr>
              <w:spacing w:after="0"/>
              <w:rPr>
                <w:sz w:val="15"/>
                <w:szCs w:val="15"/>
                <w:color w:val="auto"/>
              </w:rPr>
            </w:pPr>
          </w:p>
        </w:tc>
        <w:tc>
          <w:tcPr>
            <w:tcW w:w="702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19,010</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18,904</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$40,691</w:t>
            </w:r>
          </w:p>
        </w:tc>
        <w:tc>
          <w:tcPr>
            <w:tcW w:w="21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$40,402</w:t>
            </w:r>
          </w:p>
        </w:tc>
      </w:tr>
      <w:tr>
        <w:trPr>
          <w:trHeight w:val="183"/>
        </w:trPr>
        <w:tc>
          <w:tcPr>
            <w:tcW w:w="6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369"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665" w:right="139" w:bottom="1440" w:gutter="0" w:footer="0" w:header="0"/>
        </w:sectPr>
      </w:pPr>
    </w:p>
    <w:bookmarkStart w:id="3" w:name="page4"/>
    <w:bookmarkEnd w:id="3"/>
    <w:p>
      <w:pPr>
        <w:ind w:left="32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CONDENSED CONSOLIDATED STATEMENT OF OPERATIONS</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7500" w:type="dxa"/>
            <w:vAlign w:val="bottom"/>
          </w:tcPr>
          <w:p>
            <w:pPr>
              <w:jc w:val="right"/>
              <w:ind w:right="1681"/>
              <w:spacing w:after="0"/>
              <w:rPr>
                <w:sz w:val="20"/>
                <w:szCs w:val="20"/>
                <w:color w:val="auto"/>
              </w:rPr>
            </w:pPr>
            <w:r>
              <w:rPr>
                <w:rFonts w:ascii="Courier New" w:cs="Courier New" w:eastAsia="Courier New" w:hAnsi="Courier New"/>
                <w:sz w:val="16"/>
                <w:szCs w:val="16"/>
                <w:color w:val="auto"/>
              </w:rPr>
              <w:t>(Unaudited)</w:t>
            </w: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734"/>
        </w:trPr>
        <w:tc>
          <w:tcPr>
            <w:tcW w:w="7500" w:type="dxa"/>
            <w:vAlign w:val="bottom"/>
          </w:tcPr>
          <w:p>
            <w:pPr>
              <w:spacing w:after="0"/>
              <w:rPr>
                <w:sz w:val="24"/>
                <w:szCs w:val="2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rPr>
              <w:t>(Dollars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 millions)</w:t>
            </w:r>
          </w:p>
        </w:tc>
      </w:tr>
      <w:tr>
        <w:trPr>
          <w:trHeight w:val="183"/>
        </w:trPr>
        <w:tc>
          <w:tcPr>
            <w:tcW w:w="750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Three Months</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Ended March 31,</w:t>
            </w:r>
          </w:p>
        </w:tc>
      </w:tr>
      <w:tr>
        <w:trPr>
          <w:trHeight w:val="183"/>
        </w:trPr>
        <w:tc>
          <w:tcPr>
            <w:tcW w:w="750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2004</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5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$2,089</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$1,881</w:t>
            </w:r>
          </w:p>
        </w:tc>
      </w:tr>
      <w:tr>
        <w:trPr>
          <w:trHeight w:val="367"/>
        </w:trPr>
        <w:tc>
          <w:tcPr>
            <w:tcW w:w="75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Operating (excluding depreciation).......................................</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791</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720</w:t>
            </w: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Selling, general and administrative......................................</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479</w:t>
            </w: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333</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w:t>
            </w: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Amortization.............................................................</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50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1,719</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1,549</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OPERATING INCOME.............................................................</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332</w:t>
            </w:r>
          </w:p>
        </w:tc>
      </w:tr>
      <w:tr>
        <w:trPr>
          <w:trHeight w:val="367"/>
        </w:trPr>
        <w:tc>
          <w:tcPr>
            <w:tcW w:w="75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income (expense) on affiliate notes, net........................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Investment loss, net.....................................................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Equity in net losses of affiliates.......................................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expense............................................................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5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5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 TAXES AND</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MINORITY INTEREST........................................................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w:t>
            </w:r>
          </w:p>
        </w:tc>
      </w:tr>
      <w:tr>
        <w:trPr>
          <w:trHeight w:val="367"/>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INCOME TAX EXPENSE...........................................................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INCOME FROM CONTINUING OPERATIONS BEFORE MINORITY INTEREST...................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w:t>
            </w:r>
          </w:p>
        </w:tc>
      </w:tr>
      <w:tr>
        <w:trPr>
          <w:trHeight w:val="367"/>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MINORITY INTEREST............................................................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INCOME FROM CONTINUING OPERATIONS............................................</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w:t>
            </w:r>
          </w:p>
        </w:tc>
      </w:tr>
      <w:tr>
        <w:trPr>
          <w:trHeight w:val="367"/>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INCOME FROM DISCONTINUED OPERATIONS, net of tax..............................</w:t>
            </w:r>
          </w:p>
        </w:tc>
        <w:tc>
          <w:tcPr>
            <w:tcW w:w="1380" w:type="dxa"/>
            <w:vAlign w:val="bottom"/>
          </w:tcPr>
          <w:p>
            <w:pPr>
              <w:spacing w:after="0"/>
              <w:rPr>
                <w:sz w:val="24"/>
                <w:szCs w:val="24"/>
                <w:color w:val="auto"/>
              </w:rPr>
            </w:pP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5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NET INCOME...................................................................</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r>
      <w:tr>
        <w:trPr>
          <w:trHeight w:val="183"/>
        </w:trPr>
        <w:tc>
          <w:tcPr>
            <w:tcW w:w="7500" w:type="dxa"/>
            <w:vAlign w:val="bottom"/>
          </w:tcPr>
          <w:p>
            <w:pPr>
              <w:spacing w:after="0"/>
              <w:rPr>
                <w:sz w:val="15"/>
                <w:szCs w:val="15"/>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36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580"/>
          </w:cols>
          <w:pgMar w:left="240" w:top="665" w:right="1079" w:bottom="1440" w:gutter="0" w:footer="0" w:header="0"/>
        </w:sectPr>
      </w:pPr>
    </w:p>
    <w:bookmarkStart w:id="4" w:name="page5"/>
    <w:bookmarkEnd w:id="4"/>
    <w:p>
      <w:pPr>
        <w:ind w:left="33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726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(Unaudited)</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734"/>
        </w:trPr>
        <w:tc>
          <w:tcPr>
            <w:tcW w:w="7260" w:type="dxa"/>
            <w:vAlign w:val="bottom"/>
          </w:tcPr>
          <w:p>
            <w:pPr>
              <w:spacing w:after="0"/>
              <w:rPr>
                <w:sz w:val="24"/>
                <w:szCs w:val="24"/>
                <w:color w:val="auto"/>
              </w:rPr>
            </w:pPr>
          </w:p>
        </w:tc>
        <w:tc>
          <w:tcPr>
            <w:tcW w:w="33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(Dollars in millions)</w:t>
            </w:r>
          </w:p>
        </w:tc>
      </w:tr>
      <w:tr>
        <w:trPr>
          <w:trHeight w:val="183"/>
        </w:trPr>
        <w:tc>
          <w:tcPr>
            <w:tcW w:w="7260" w:type="dxa"/>
            <w:vAlign w:val="bottom"/>
          </w:tcPr>
          <w:p>
            <w:pPr>
              <w:spacing w:after="0"/>
              <w:rPr>
                <w:sz w:val="15"/>
                <w:szCs w:val="15"/>
                <w:color w:val="auto"/>
              </w:rPr>
            </w:pPr>
          </w:p>
        </w:tc>
        <w:tc>
          <w:tcPr>
            <w:tcW w:w="3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Three Months Ended March 31,</w:t>
            </w:r>
          </w:p>
        </w:tc>
      </w:tr>
      <w:tr>
        <w:trPr>
          <w:trHeight w:val="183"/>
        </w:trPr>
        <w:tc>
          <w:tcPr>
            <w:tcW w:w="7260" w:type="dxa"/>
            <w:vAlign w:val="bottom"/>
          </w:tcPr>
          <w:p>
            <w:pPr>
              <w:spacing w:after="0"/>
              <w:rPr>
                <w:sz w:val="15"/>
                <w:szCs w:val="15"/>
                <w:color w:val="auto"/>
              </w:rPr>
            </w:pPr>
          </w:p>
        </w:tc>
        <w:tc>
          <w:tcPr>
            <w:tcW w:w="1860" w:type="dxa"/>
            <w:vAlign w:val="bottom"/>
          </w:tcPr>
          <w:p>
            <w:pPr>
              <w:ind w:left="760"/>
              <w:spacing w:after="0"/>
              <w:rPr>
                <w:sz w:val="20"/>
                <w:szCs w:val="20"/>
                <w:color w:val="auto"/>
              </w:rPr>
            </w:pPr>
            <w:r>
              <w:rPr>
                <w:rFonts w:ascii="Courier New" w:cs="Courier New" w:eastAsia="Courier New" w:hAnsi="Courier New"/>
                <w:sz w:val="16"/>
                <w:szCs w:val="16"/>
                <w:color w:val="auto"/>
              </w:rPr>
              <w:t>2004</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260" w:type="dxa"/>
            <w:vAlign w:val="bottom"/>
          </w:tcPr>
          <w:p>
            <w:pPr>
              <w:jc w:val="right"/>
              <w:ind w:right="5261"/>
              <w:spacing w:after="0"/>
              <w:rPr>
                <w:sz w:val="20"/>
                <w:szCs w:val="20"/>
                <w:color w:val="auto"/>
              </w:rPr>
            </w:pPr>
            <w:r>
              <w:rPr>
                <w:rFonts w:ascii="Courier New" w:cs="Courier New" w:eastAsia="Courier New" w:hAnsi="Courier New"/>
                <w:sz w:val="16"/>
                <w:szCs w:val="16"/>
                <w:color w:val="auto"/>
                <w:w w:val="98"/>
              </w:rPr>
              <w:t>OPERATING ACTIVITIES</w:t>
            </w: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income...........................................................</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Income from discontinued operations..................................</w:t>
            </w:r>
          </w:p>
        </w:tc>
        <w:tc>
          <w:tcPr>
            <w:tcW w:w="18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Income from continuing operations....................................</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w:t>
            </w:r>
          </w:p>
        </w:tc>
      </w:tr>
      <w:tr>
        <w:trPr>
          <w:trHeight w:val="183"/>
        </w:trPr>
        <w:tc>
          <w:tcPr>
            <w:tcW w:w="726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Adjustments to reconcile net income from continuing operations</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7260" w:type="dxa"/>
            <w:vAlign w:val="bottom"/>
          </w:tcPr>
          <w:p>
            <w:pPr>
              <w:ind w:left="480"/>
              <w:spacing w:after="0"/>
              <w:rPr>
                <w:sz w:val="20"/>
                <w:szCs w:val="20"/>
                <w:color w:val="auto"/>
              </w:rPr>
            </w:pPr>
            <w:r>
              <w:rPr>
                <w:rFonts w:ascii="Courier New" w:cs="Courier New" w:eastAsia="Courier New" w:hAnsi="Courier New"/>
                <w:sz w:val="16"/>
                <w:szCs w:val="16"/>
                <w:color w:val="auto"/>
              </w:rPr>
              <w:t>to net cash provided by operating activities from continuing</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7260" w:type="dxa"/>
            <w:vAlign w:val="bottom"/>
          </w:tcPr>
          <w:p>
            <w:pPr>
              <w:ind w:left="480"/>
              <w:spacing w:after="0"/>
              <w:rPr>
                <w:sz w:val="20"/>
                <w:szCs w:val="20"/>
                <w:color w:val="auto"/>
              </w:rPr>
            </w:pPr>
            <w:r>
              <w:rPr>
                <w:rFonts w:ascii="Courier New" w:cs="Courier New" w:eastAsia="Courier New" w:hAnsi="Courier New"/>
                <w:sz w:val="16"/>
                <w:szCs w:val="16"/>
                <w:color w:val="auto"/>
              </w:rPr>
              <w:t>operations:</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Depreciation.......................................................</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333</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Amortization.......................................................</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47</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Non-cash interest expense, net.....................................</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Non-cash interest (income) expense on affiliate notes, net.........</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Equity in net losses of affiliates.................................</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62</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Non-cash contribution expense......................................</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1480" w:type="dxa"/>
            <w:vAlign w:val="bottom"/>
          </w:tcPr>
          <w:p>
            <w:pPr>
              <w:spacing w:after="0"/>
              <w:rPr>
                <w:sz w:val="15"/>
                <w:szCs w:val="15"/>
                <w:color w:val="auto"/>
              </w:rPr>
            </w:pP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Minority interest..................................................</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Deferred income taxes..............................................</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40</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sales of trading securities..........................</w:t>
            </w:r>
          </w:p>
        </w:tc>
        <w:tc>
          <w:tcPr>
            <w:tcW w:w="186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r>
      <w:tr>
        <w:trPr>
          <w:trHeight w:val="367"/>
        </w:trPr>
        <w:tc>
          <w:tcPr>
            <w:tcW w:w="7260" w:type="dxa"/>
            <w:vAlign w:val="bottom"/>
          </w:tcPr>
          <w:p>
            <w:pPr>
              <w:ind w:left="480"/>
              <w:spacing w:after="0"/>
              <w:rPr>
                <w:sz w:val="20"/>
                <w:szCs w:val="20"/>
                <w:color w:val="auto"/>
              </w:rPr>
            </w:pPr>
            <w:r>
              <w:rPr>
                <w:rFonts w:ascii="Courier New" w:cs="Courier New" w:eastAsia="Courier New" w:hAnsi="Courier New"/>
                <w:sz w:val="16"/>
                <w:szCs w:val="16"/>
                <w:color w:val="auto"/>
              </w:rPr>
              <w:t>Changes in operating assets and liabilities, net of effects of</w:t>
            </w: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7260" w:type="dxa"/>
            <w:vAlign w:val="bottom"/>
          </w:tcPr>
          <w:p>
            <w:pPr>
              <w:ind w:left="680"/>
              <w:spacing w:after="0"/>
              <w:rPr>
                <w:sz w:val="20"/>
                <w:szCs w:val="20"/>
                <w:color w:val="auto"/>
              </w:rPr>
            </w:pPr>
            <w:r>
              <w:rPr>
                <w:rFonts w:ascii="Courier New" w:cs="Courier New" w:eastAsia="Courier New" w:hAnsi="Courier New"/>
                <w:sz w:val="16"/>
                <w:szCs w:val="16"/>
                <w:color w:val="auto"/>
              </w:rPr>
              <w:t>acquisitions and divestitures</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Change in accounts receivable, net...............................</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51</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Change in accounts payable.......................................</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Change in other operating assets and liabilities.................</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132</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7260" w:type="dxa"/>
            <w:vAlign w:val="bottom"/>
          </w:tcPr>
          <w:p>
            <w:pPr>
              <w:ind w:left="680"/>
              <w:spacing w:after="0"/>
              <w:rPr>
                <w:sz w:val="20"/>
                <w:szCs w:val="20"/>
                <w:color w:val="auto"/>
              </w:rPr>
            </w:pPr>
            <w:r>
              <w:rPr>
                <w:rFonts w:ascii="Courier New" w:cs="Courier New" w:eastAsia="Courier New" w:hAnsi="Courier New"/>
                <w:sz w:val="16"/>
                <w:szCs w:val="16"/>
                <w:color w:val="auto"/>
              </w:rPr>
              <w:t>Net cash provided by operating activities from continuing</w:t>
            </w: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operations ...................................................</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766</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738</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260" w:type="dxa"/>
            <w:vAlign w:val="bottom"/>
          </w:tcPr>
          <w:p>
            <w:pPr>
              <w:jc w:val="right"/>
              <w:ind w:right="5261"/>
              <w:spacing w:after="0"/>
              <w:rPr>
                <w:sz w:val="20"/>
                <w:szCs w:val="20"/>
                <w:color w:val="auto"/>
              </w:rPr>
            </w:pPr>
            <w:r>
              <w:rPr>
                <w:rFonts w:ascii="Courier New" w:cs="Courier New" w:eastAsia="Courier New" w:hAnsi="Courier New"/>
                <w:sz w:val="16"/>
                <w:szCs w:val="16"/>
                <w:color w:val="auto"/>
                <w:w w:val="98"/>
              </w:rPr>
              <w:t>FINANCING ACTIVITIES</w:t>
            </w: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borrowings.............................................</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210</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Retirements and repayments of debt...................................</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(1,014)</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transactions with affiliates.....................................</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(869)</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684</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cash used in financing activities from continuing operations.</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(1,134)</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260" w:type="dxa"/>
            <w:vAlign w:val="bottom"/>
          </w:tcPr>
          <w:p>
            <w:pPr>
              <w:jc w:val="right"/>
              <w:ind w:right="5261"/>
              <w:spacing w:after="0"/>
              <w:rPr>
                <w:sz w:val="20"/>
                <w:szCs w:val="20"/>
                <w:color w:val="auto"/>
              </w:rPr>
            </w:pPr>
            <w:r>
              <w:rPr>
                <w:rFonts w:ascii="Courier New" w:cs="Courier New" w:eastAsia="Courier New" w:hAnsi="Courier New"/>
                <w:sz w:val="16"/>
                <w:szCs w:val="16"/>
                <w:color w:val="auto"/>
                <w:w w:val="98"/>
              </w:rPr>
              <w:t>INVESTING ACTIVITIES</w:t>
            </w: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sales (purchases) of short-term investments, net ......</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sales of investments...................................</w:t>
            </w:r>
          </w:p>
        </w:tc>
        <w:tc>
          <w:tcPr>
            <w:tcW w:w="186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Purchases of investments.............................................</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Capital expenditures.................................................</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(275)</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3"/>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cash used in investing activities from continuing operations.</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(327)</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(263)</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(DECREASE) INCREASE IN CASH AND CASH EQUIVALENTS........................</w:t>
            </w: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(695)</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355</w:t>
            </w:r>
          </w:p>
        </w:tc>
      </w:tr>
      <w:tr>
        <w:trPr>
          <w:trHeight w:val="367"/>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CASH AND CASH EQUIVALENTS, beginning of period..........................</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1,509</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2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CASH AND CASH EQUIVALENTS, end of period................................</w:t>
            </w: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$814</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$755</w:t>
            </w:r>
          </w:p>
        </w:tc>
      </w:tr>
      <w:tr>
        <w:trPr>
          <w:trHeight w:val="183"/>
        </w:trPr>
        <w:tc>
          <w:tcPr>
            <w:tcW w:w="7260" w:type="dxa"/>
            <w:vAlign w:val="bottom"/>
          </w:tcPr>
          <w:p>
            <w:pPr>
              <w:spacing w:after="0"/>
              <w:rPr>
                <w:sz w:val="15"/>
                <w:szCs w:val="15"/>
                <w:color w:val="auto"/>
              </w:rPr>
            </w:pPr>
          </w:p>
        </w:tc>
        <w:tc>
          <w:tcPr>
            <w:tcW w:w="1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36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80"/>
          </w:cols>
          <w:pgMar w:left="240" w:top="665" w:right="879" w:bottom="1440" w:gutter="0" w:footer="0" w:header="0"/>
        </w:sectPr>
      </w:pPr>
    </w:p>
    <w:bookmarkStart w:id="5" w:name="page6"/>
    <w:bookmarkEnd w:id="5"/>
    <w:p>
      <w:pPr>
        <w:ind w:left="172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have prepared these unaudited condensed consolidated financial statements based upon Securities and Exchange Commission ("SEC") rules that permit reduced disclosure for interim periods. We are an indirect wholly owned subsidiary of Comcast Corporation ("Comcast"). Our presentation differs from the consolidated financial statements of Comcast by excluding both Comcast's corporate operations and certain cable operations, primarily those acquired from AT&amp;T in November 2002 (the Broadband acquisition). Subsequent to the Broadband acquisition, all of our and Comcast's cable operations are operated as a single integrated cable business unit. Our condensed consolidated financial statements reflect the assets, liabilities, revenues and expenses directly attributable to us, as well as allocations deemed reasonable by management, to present our financial position, results of operations and cash flows on a stand-alone basis. These allocations are further described in Note 9. All significant intercompany accounts and transactions within our financial statements have been eliminated.</w:t>
      </w:r>
    </w:p>
    <w:p>
      <w:pPr>
        <w:spacing w:after="0" w:line="193"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90"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in the first quarter of 2004, we changed the unit of accounting used for testing impairment of our indefinite-lived franchise rights to geographic regions and performed impairment testing of our cable franchise rights. We did not record any impairment charges in connection with this impairment testing.</w:t>
      </w:r>
    </w:p>
    <w:p>
      <w:pPr>
        <w:spacing w:after="0" w:line="190" w:lineRule="exact"/>
        <w:rPr>
          <w:rFonts w:ascii="Courier New" w:cs="Courier New" w:eastAsia="Courier New" w:hAnsi="Courier New"/>
          <w:sz w:val="16"/>
          <w:szCs w:val="16"/>
          <w:color w:val="auto"/>
        </w:rPr>
      </w:pPr>
    </w:p>
    <w:p>
      <w:pPr>
        <w:jc w:val="both"/>
        <w:ind w:left="48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discussion of our accounting policies and certain other information, refer to the financial statements included in our Annual Report on Form 10-K for the year ended December 31, 2003.</w:t>
      </w:r>
    </w:p>
    <w:p>
      <w:pPr>
        <w:spacing w:after="0" w:line="189"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17, 2003, we completed the sale of our approximate 57% interest in QVC, Inc. ("QVC"). Accordingly, QVC has been presented as a discontinued operation pursuant to Statement of Financial Accounting Standards ("SFAS") No. 144, "Accounting for the Impairment or Disposal of Long-Lived Assets."</w:t>
      </w:r>
    </w:p>
    <w:p>
      <w:pPr>
        <w:spacing w:after="0" w:line="190" w:lineRule="exact"/>
        <w:rPr>
          <w:sz w:val="20"/>
          <w:szCs w:val="20"/>
          <w:color w:val="auto"/>
        </w:rPr>
      </w:pPr>
    </w:p>
    <w:p>
      <w:pPr>
        <w:jc w:val="both"/>
        <w:ind w:left="482" w:right="2599"/>
        <w:spacing w:after="0"/>
        <w:rPr>
          <w:sz w:val="20"/>
          <w:szCs w:val="20"/>
          <w:color w:val="auto"/>
        </w:rPr>
      </w:pPr>
      <w:r>
        <w:rPr>
          <w:rFonts w:ascii="Courier New" w:cs="Courier New" w:eastAsia="Courier New" w:hAnsi="Courier New"/>
          <w:sz w:val="16"/>
          <w:szCs w:val="16"/>
          <w:color w:val="auto"/>
        </w:rPr>
        <w:t>The results of operations of QVC included within income from discontinued operations, net of tax for the three months ended March 31, 2003 are as follows (in millions):</w:t>
      </w:r>
    </w:p>
    <w:p>
      <w:pPr>
        <w:spacing w:after="0" w:line="187" w:lineRule="exact"/>
        <w:rPr>
          <w:sz w:val="20"/>
          <w:szCs w:val="20"/>
          <w:color w:val="auto"/>
        </w:rPr>
      </w:pPr>
    </w:p>
    <w:tbl>
      <w:tblPr>
        <w:tblLayout w:type="fixed"/>
        <w:tblInd w:w="662" w:type="dxa"/>
        <w:tblCellMar>
          <w:top w:w="0" w:type="dxa"/>
          <w:left w:w="0" w:type="dxa"/>
          <w:bottom w:w="0" w:type="dxa"/>
          <w:right w:w="0" w:type="dxa"/>
        </w:tblCellMar>
      </w:tblPr>
      <w:tr>
        <w:trPr>
          <w:trHeight w:val="181"/>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$1,062</w:t>
            </w: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5100" w:type="dxa"/>
            <w:vAlign w:val="bottom"/>
          </w:tcPr>
          <w:p>
            <w:pPr>
              <w:ind w:left="60"/>
              <w:spacing w:after="0"/>
              <w:rPr>
                <w:sz w:val="20"/>
                <w:szCs w:val="20"/>
                <w:color w:val="auto"/>
              </w:rPr>
            </w:pPr>
            <w:r>
              <w:rPr>
                <w:rFonts w:ascii="Courier New" w:cs="Courier New" w:eastAsia="Courier New" w:hAnsi="Courier New"/>
                <w:sz w:val="16"/>
                <w:szCs w:val="16"/>
                <w:color w:val="auto"/>
              </w:rPr>
              <w:t>before income taxes and minority interest..........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5100" w:type="dxa"/>
            <w:vAlign w:val="bottom"/>
          </w:tcPr>
          <w:p>
            <w:pPr>
              <w:ind w:left="60"/>
              <w:spacing w:after="0"/>
              <w:rPr>
                <w:sz w:val="20"/>
                <w:szCs w:val="20"/>
                <w:color w:val="auto"/>
              </w:rPr>
            </w:pPr>
            <w:r>
              <w:rPr>
                <w:rFonts w:ascii="Courier New" w:cs="Courier New" w:eastAsia="Courier New" w:hAnsi="Courier New"/>
                <w:sz w:val="16"/>
                <w:szCs w:val="16"/>
                <w:color w:val="auto"/>
              </w:rPr>
              <w:t>tax expense........................................</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bl>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Reclassifications</w:t>
      </w:r>
    </w:p>
    <w:p>
      <w:pPr>
        <w:spacing w:after="0" w:line="5" w:lineRule="exact"/>
        <w:rPr>
          <w:sz w:val="20"/>
          <w:szCs w:val="20"/>
          <w:color w:val="auto"/>
        </w:rPr>
      </w:pPr>
    </w:p>
    <w:p>
      <w:pPr>
        <w:ind w:left="482" w:right="3259"/>
        <w:spacing w:after="0" w:line="271" w:lineRule="auto"/>
        <w:rPr>
          <w:sz w:val="20"/>
          <w:szCs w:val="20"/>
          <w:color w:val="auto"/>
        </w:rPr>
      </w:pPr>
      <w:r>
        <w:rPr>
          <w:rFonts w:ascii="Courier New" w:cs="Courier New" w:eastAsia="Courier New" w:hAnsi="Courier New"/>
          <w:sz w:val="15"/>
          <w:szCs w:val="15"/>
          <w:color w:val="auto"/>
        </w:rPr>
        <w:t>Certain reclassifications have been made to the prior year financial statements to conform to those classifications used in 2004.</w:t>
      </w:r>
    </w:p>
    <w:p>
      <w:pPr>
        <w:spacing w:after="0" w:line="164" w:lineRule="exact"/>
        <w:rPr>
          <w:sz w:val="20"/>
          <w:szCs w:val="20"/>
          <w:color w:val="auto"/>
        </w:rPr>
      </w:pPr>
    </w:p>
    <w:p>
      <w:pPr>
        <w:ind w:left="482" w:hanging="482"/>
        <w:spacing w:after="0"/>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 46/FIN 46R</w:t>
      </w:r>
    </w:p>
    <w:p>
      <w:pPr>
        <w:spacing w:after="0" w:line="4"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2003, the Financial Accounting Standards Board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Special Purpose Entities, or SPEs. In December 2003, the FASB revised FIN 46 ("FIN 46R"), which delayed the required implementation date until March 31, 2004 for entities that are not SPEs. The adoption of FIN 46R did not have a material impact on our financial condition or results of operations.</w:t>
      </w:r>
    </w:p>
    <w:p>
      <w:pPr>
        <w:spacing w:after="0" w:line="187"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8" w:top="665" w:right="1440" w:bottom="1440" w:gutter="0" w:footer="0" w:header="0"/>
        </w:sectPr>
      </w:pPr>
    </w:p>
    <w:bookmarkStart w:id="6" w:name="page7"/>
    <w:bookmarkEnd w:id="6"/>
    <w:p>
      <w:pPr>
        <w:ind w:left="172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EITF 03-16</w:t>
      </w:r>
    </w:p>
    <w:p>
      <w:pPr>
        <w:spacing w:after="0" w:line="5" w:lineRule="exact"/>
        <w:rPr>
          <w:sz w:val="20"/>
          <w:szCs w:val="20"/>
          <w:color w:val="auto"/>
        </w:rPr>
      </w:pPr>
    </w:p>
    <w:p>
      <w:pPr>
        <w:jc w:val="both"/>
        <w:ind w:left="482" w:right="3160"/>
        <w:spacing w:after="0" w:line="242" w:lineRule="auto"/>
        <w:rPr>
          <w:sz w:val="20"/>
          <w:szCs w:val="20"/>
          <w:color w:val="auto"/>
        </w:rPr>
      </w:pPr>
      <w:r>
        <w:rPr>
          <w:rFonts w:ascii="Courier New" w:cs="Courier New" w:eastAsia="Courier New" w:hAnsi="Courier New"/>
          <w:sz w:val="16"/>
          <w:szCs w:val="16"/>
          <w:color w:val="auto"/>
        </w:rPr>
        <w:t>In March 2004, the Emerging Issues Task Force ("EITF") reached a consensus regarding Issue No. 03-16, "Accounting for Investments in Limited Liability Companies" ("EITF 03-16"). EITF 03-16 requires investments in limited liability companies ("LLCs") that have separate ownership accounts for each investor to be accounted for similar to a limited partnership investment under Statement of Position No. 78-9, "Accounting for Investments in Real Estate Ventures." Investors would be required to apply the equity method of accounting to their investments at a much lower ownership threshold than the 20% threshold applied under Accounting Principles Board ("APB") No. 18, "The Equity Method of Accounting for Investments in Common Stock." EITF 03-16 is effective for the first period beginning after June 15, 2004, and will be applied as a change in accounting principle with a cumulative effect reflected in the income statement. We are currently assessing the impact that the adoption of EITF 03-16 will have on our financial condition and results of operations.</w:t>
      </w:r>
    </w:p>
    <w:p>
      <w:pPr>
        <w:spacing w:after="0" w:line="190" w:lineRule="exact"/>
        <w:rPr>
          <w:sz w:val="20"/>
          <w:szCs w:val="20"/>
          <w:color w:val="auto"/>
        </w:rPr>
      </w:pPr>
    </w:p>
    <w:p>
      <w:pPr>
        <w:ind w:left="482" w:hanging="482"/>
        <w:spacing w:after="0"/>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200" w:lineRule="exact"/>
        <w:rPr>
          <w:sz w:val="20"/>
          <w:szCs w:val="20"/>
          <w:color w:val="auto"/>
        </w:rPr>
      </w:pPr>
    </w:p>
    <w:p>
      <w:pPr>
        <w:spacing w:after="0" w:line="35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March 31,</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2004</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1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(in millions)</w:t>
            </w:r>
          </w:p>
        </w:tc>
      </w:tr>
      <w:tr>
        <w:trPr>
          <w:trHeight w:val="367"/>
        </w:trPr>
        <w:tc>
          <w:tcPr>
            <w:tcW w:w="1720" w:type="dxa"/>
            <w:vAlign w:val="bottom"/>
          </w:tcPr>
          <w:p>
            <w:pPr>
              <w:spacing w:after="0"/>
              <w:rPr>
                <w:sz w:val="20"/>
                <w:szCs w:val="20"/>
                <w:color w:val="auto"/>
              </w:rPr>
            </w:pPr>
            <w:r>
              <w:rPr>
                <w:rFonts w:ascii="Courier New" w:cs="Courier New" w:eastAsia="Courier New" w:hAnsi="Courier New"/>
                <w:sz w:val="16"/>
                <w:szCs w:val="16"/>
                <w:color w:val="auto"/>
              </w:rPr>
              <w:t>Fair value method</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314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4"/>
              </w:rPr>
              <w:t>Liberty.................................................</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$2,413</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$2,644</w:t>
            </w:r>
          </w:p>
        </w:tc>
      </w:tr>
      <w:tr>
        <w:trPr>
          <w:trHeight w:val="183"/>
        </w:trPr>
        <w:tc>
          <w:tcPr>
            <w:tcW w:w="314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4"/>
              </w:rPr>
              <w:t>Sprint..................................................</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546</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349</w:t>
            </w:r>
          </w:p>
        </w:tc>
      </w:tr>
      <w:tr>
        <w:trPr>
          <w:trHeight w:val="183"/>
        </w:trPr>
        <w:tc>
          <w:tcPr>
            <w:tcW w:w="314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4"/>
              </w:rPr>
              <w:t>Other...................................................</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3,051</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3,034</w:t>
            </w:r>
          </w:p>
        </w:tc>
      </w:tr>
      <w:tr>
        <w:trPr>
          <w:trHeight w:val="367"/>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2"/>
              </w:rPr>
              <w:t>Equity method...............................................</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323</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w:t>
            </w:r>
          </w:p>
        </w:tc>
      </w:tr>
      <w:tr>
        <w:trPr>
          <w:trHeight w:val="183"/>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2"/>
              </w:rPr>
              <w:t>Cost method.................................................</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124</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gridSpan w:val="3"/>
          </w:tcPr>
          <w:p>
            <w:pPr>
              <w:ind w:left="380"/>
              <w:spacing w:after="0"/>
              <w:rPr>
                <w:sz w:val="20"/>
                <w:szCs w:val="20"/>
                <w:color w:val="auto"/>
              </w:rPr>
            </w:pPr>
            <w:r>
              <w:rPr>
                <w:rFonts w:ascii="Courier New" w:cs="Courier New" w:eastAsia="Courier New" w:hAnsi="Courier New"/>
                <w:sz w:val="14"/>
                <w:szCs w:val="14"/>
                <w:color w:val="auto"/>
                <w:w w:val="73"/>
              </w:rPr>
              <w:t>Total investments.......................................</w:t>
            </w: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3,498</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3,502</w:t>
            </w:r>
          </w:p>
        </w:tc>
      </w:tr>
      <w:tr>
        <w:trPr>
          <w:trHeight w:val="367"/>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w w:val="71"/>
              </w:rPr>
              <w:t>Less, current investments...................................</w:t>
            </w:r>
          </w:p>
        </w:tc>
        <w:tc>
          <w:tcPr>
            <w:tcW w:w="340" w:type="dxa"/>
            <w:vAlign w:val="bottom"/>
          </w:tcPr>
          <w:p>
            <w:pPr>
              <w:spacing w:after="0"/>
              <w:rPr>
                <w:sz w:val="24"/>
                <w:szCs w:val="24"/>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247</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w w:val="71"/>
              </w:rPr>
              <w:t>Noncurrent investments .....................................</w:t>
            </w: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$3,251</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$3,363</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1720" w:type="dxa"/>
            <w:vAlign w:val="bottom"/>
          </w:tcPr>
          <w:p>
            <w:pPr>
              <w:spacing w:after="0"/>
              <w:rPr>
                <w:sz w:val="20"/>
                <w:szCs w:val="20"/>
                <w:color w:val="auto"/>
              </w:rPr>
            </w:pPr>
            <w:r>
              <w:rPr>
                <w:rFonts w:ascii="Courier New" w:cs="Courier New" w:eastAsia="Courier New" w:hAnsi="Courier New"/>
                <w:sz w:val="16"/>
                <w:szCs w:val="16"/>
                <w:color w:val="auto"/>
              </w:rPr>
              <w:t>Fair Value Method</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3860" w:type="dxa"/>
            <w:vAlign w:val="bottom"/>
            <w:gridSpan w:val="3"/>
          </w:tcPr>
          <w:p>
            <w:pPr>
              <w:spacing w:after="0"/>
              <w:rPr>
                <w:sz w:val="20"/>
                <w:szCs w:val="20"/>
                <w:color w:val="auto"/>
              </w:rPr>
            </w:pPr>
            <w:r>
              <w:rPr>
                <w:rFonts w:ascii="Courier New" w:cs="Courier New" w:eastAsia="Courier New" w:hAnsi="Courier New"/>
                <w:sz w:val="16"/>
                <w:szCs w:val="16"/>
                <w:color w:val="auto"/>
                <w:w w:val="99"/>
              </w:rPr>
              <w:t>We hold unrestricted equity investments,</w:t>
            </w:r>
          </w:p>
        </w:tc>
        <w:tc>
          <w:tcPr>
            <w:tcW w:w="4720" w:type="dxa"/>
            <w:vAlign w:val="bottom"/>
            <w:gridSpan w:val="2"/>
          </w:tcPr>
          <w:p>
            <w:pPr>
              <w:jc w:val="right"/>
              <w:ind w:right="1361"/>
              <w:spacing w:after="0"/>
              <w:rPr>
                <w:sz w:val="20"/>
                <w:szCs w:val="20"/>
                <w:color w:val="auto"/>
              </w:rPr>
            </w:pPr>
            <w:r>
              <w:rPr>
                <w:rFonts w:ascii="Courier New" w:cs="Courier New" w:eastAsia="Courier New" w:hAnsi="Courier New"/>
                <w:sz w:val="16"/>
                <w:szCs w:val="16"/>
                <w:color w:val="auto"/>
              </w:rPr>
              <w:t>which we account for as available</w:t>
            </w:r>
          </w:p>
        </w:tc>
        <w:tc>
          <w:tcPr>
            <w:tcW w:w="1720" w:type="dxa"/>
            <w:vAlign w:val="bottom"/>
          </w:tcPr>
          <w:p>
            <w:pPr>
              <w:spacing w:after="0"/>
              <w:rPr>
                <w:sz w:val="15"/>
                <w:szCs w:val="15"/>
                <w:color w:val="auto"/>
              </w:rPr>
            </w:pPr>
          </w:p>
        </w:tc>
      </w:tr>
      <w:tr>
        <w:trPr>
          <w:trHeight w:val="183"/>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for sale or trading securities,</w:t>
            </w:r>
          </w:p>
        </w:tc>
        <w:tc>
          <w:tcPr>
            <w:tcW w:w="5440" w:type="dxa"/>
            <w:vAlign w:val="bottom"/>
            <w:gridSpan w:val="3"/>
          </w:tcPr>
          <w:p>
            <w:pPr>
              <w:jc w:val="right"/>
              <w:ind w:right="1361"/>
              <w:spacing w:after="0"/>
              <w:rPr>
                <w:sz w:val="20"/>
                <w:szCs w:val="20"/>
                <w:color w:val="auto"/>
              </w:rPr>
            </w:pPr>
            <w:r>
              <w:rPr>
                <w:rFonts w:ascii="Courier New" w:cs="Courier New" w:eastAsia="Courier New" w:hAnsi="Courier New"/>
                <w:sz w:val="16"/>
                <w:szCs w:val="16"/>
                <w:color w:val="auto"/>
                <w:w w:val="98"/>
              </w:rPr>
              <w:t>in certain publicly traded companies.  The</w:t>
            </w:r>
          </w:p>
        </w:tc>
        <w:tc>
          <w:tcPr>
            <w:tcW w:w="1720" w:type="dxa"/>
            <w:vAlign w:val="bottom"/>
          </w:tcPr>
          <w:p>
            <w:pPr>
              <w:spacing w:after="0"/>
              <w:rPr>
                <w:sz w:val="15"/>
                <w:szCs w:val="15"/>
                <w:color w:val="auto"/>
              </w:rPr>
            </w:pPr>
          </w:p>
        </w:tc>
      </w:tr>
      <w:tr>
        <w:trPr>
          <w:trHeight w:val="183"/>
        </w:trPr>
        <w:tc>
          <w:tcPr>
            <w:tcW w:w="4200" w:type="dxa"/>
            <w:vAlign w:val="bottom"/>
            <w:gridSpan w:val="4"/>
          </w:tcPr>
          <w:p>
            <w:pPr>
              <w:spacing w:after="0"/>
              <w:rPr>
                <w:sz w:val="20"/>
                <w:szCs w:val="20"/>
                <w:color w:val="auto"/>
              </w:rPr>
            </w:pPr>
            <w:r>
              <w:rPr>
                <w:rFonts w:ascii="Courier New" w:cs="Courier New" w:eastAsia="Courier New" w:hAnsi="Courier New"/>
                <w:sz w:val="16"/>
                <w:szCs w:val="16"/>
                <w:color w:val="auto"/>
              </w:rPr>
              <w:t>net unrealized pre-tax gains on investments</w:t>
            </w:r>
          </w:p>
        </w:tc>
        <w:tc>
          <w:tcPr>
            <w:tcW w:w="438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accounted for as available for</w:t>
            </w:r>
          </w:p>
        </w:tc>
        <w:tc>
          <w:tcPr>
            <w:tcW w:w="1720" w:type="dxa"/>
            <w:vAlign w:val="bottom"/>
          </w:tcPr>
          <w:p>
            <w:pPr>
              <w:spacing w:after="0"/>
              <w:rPr>
                <w:sz w:val="15"/>
                <w:szCs w:val="15"/>
                <w:color w:val="auto"/>
              </w:rPr>
            </w:pP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sale  securities</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as of March 31,</w:t>
            </w:r>
          </w:p>
        </w:tc>
        <w:tc>
          <w:tcPr>
            <w:tcW w:w="5440" w:type="dxa"/>
            <w:vAlign w:val="bottom"/>
            <w:gridSpan w:val="3"/>
          </w:tcPr>
          <w:p>
            <w:pPr>
              <w:jc w:val="right"/>
              <w:ind w:right="1361"/>
              <w:spacing w:after="0"/>
              <w:rPr>
                <w:sz w:val="20"/>
                <w:szCs w:val="20"/>
                <w:color w:val="auto"/>
              </w:rPr>
            </w:pPr>
            <w:r>
              <w:rPr>
                <w:rFonts w:ascii="Courier New" w:cs="Courier New" w:eastAsia="Courier New" w:hAnsi="Courier New"/>
                <w:sz w:val="16"/>
                <w:szCs w:val="16"/>
                <w:color w:val="auto"/>
              </w:rPr>
              <w:t>2004 and December 31, 2003 of $46 million</w:t>
            </w:r>
          </w:p>
        </w:tc>
        <w:tc>
          <w:tcPr>
            <w:tcW w:w="1720" w:type="dxa"/>
            <w:vAlign w:val="bottom"/>
          </w:tcPr>
          <w:p>
            <w:pPr>
              <w:spacing w:after="0"/>
              <w:rPr>
                <w:sz w:val="15"/>
                <w:szCs w:val="15"/>
                <w:color w:val="auto"/>
              </w:rPr>
            </w:pP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and $42  million,</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9"/>
              </w:rPr>
              <w:t>respectively,</w:t>
            </w: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have been</w:t>
            </w:r>
          </w:p>
        </w:tc>
        <w:tc>
          <w:tcPr>
            <w:tcW w:w="438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reported  in our  consolidated</w:t>
            </w:r>
          </w:p>
        </w:tc>
        <w:tc>
          <w:tcPr>
            <w:tcW w:w="1720" w:type="dxa"/>
            <w:vAlign w:val="bottom"/>
          </w:tcPr>
          <w:p>
            <w:pPr>
              <w:spacing w:after="0"/>
              <w:rPr>
                <w:sz w:val="15"/>
                <w:szCs w:val="15"/>
                <w:color w:val="auto"/>
              </w:rPr>
            </w:pPr>
          </w:p>
        </w:tc>
      </w:tr>
      <w:tr>
        <w:trPr>
          <w:trHeight w:val="183"/>
        </w:trPr>
        <w:tc>
          <w:tcPr>
            <w:tcW w:w="8580" w:type="dxa"/>
            <w:vAlign w:val="bottom"/>
            <w:gridSpan w:val="5"/>
          </w:tcPr>
          <w:p>
            <w:pPr>
              <w:spacing w:after="0"/>
              <w:rPr>
                <w:sz w:val="20"/>
                <w:szCs w:val="20"/>
                <w:color w:val="auto"/>
              </w:rPr>
            </w:pPr>
            <w:r>
              <w:rPr>
                <w:rFonts w:ascii="Courier New" w:cs="Courier New" w:eastAsia="Courier New" w:hAnsi="Courier New"/>
                <w:sz w:val="16"/>
                <w:szCs w:val="16"/>
                <w:color w:val="auto"/>
              </w:rPr>
              <w:t>balance sheet principally as a component of accumulated other comprehensive</w:t>
            </w:r>
          </w:p>
        </w:tc>
        <w:tc>
          <w:tcPr>
            <w:tcW w:w="1720" w:type="dxa"/>
            <w:vAlign w:val="bottom"/>
          </w:tcPr>
          <w:p>
            <w:pPr>
              <w:spacing w:after="0"/>
              <w:rPr>
                <w:sz w:val="15"/>
                <w:szCs w:val="15"/>
                <w:color w:val="auto"/>
              </w:rPr>
            </w:pPr>
          </w:p>
        </w:tc>
      </w:tr>
      <w:tr>
        <w:trPr>
          <w:trHeight w:val="183"/>
        </w:trPr>
        <w:tc>
          <w:tcPr>
            <w:tcW w:w="8580" w:type="dxa"/>
            <w:vAlign w:val="bottom"/>
            <w:gridSpan w:val="5"/>
          </w:tcPr>
          <w:p>
            <w:pPr>
              <w:spacing w:after="0"/>
              <w:rPr>
                <w:sz w:val="20"/>
                <w:szCs w:val="20"/>
                <w:color w:val="auto"/>
              </w:rPr>
            </w:pPr>
            <w:r>
              <w:rPr>
                <w:rFonts w:ascii="Courier New" w:cs="Courier New" w:eastAsia="Courier New" w:hAnsi="Courier New"/>
                <w:sz w:val="16"/>
                <w:szCs w:val="16"/>
                <w:color w:val="auto"/>
              </w:rPr>
              <w:t>loss, net of related  deferred income taxes of $16 million and $15 million,</w:t>
            </w:r>
          </w:p>
        </w:tc>
        <w:tc>
          <w:tcPr>
            <w:tcW w:w="1720" w:type="dxa"/>
            <w:vAlign w:val="bottom"/>
          </w:tcPr>
          <w:p>
            <w:pPr>
              <w:spacing w:after="0"/>
              <w:rPr>
                <w:sz w:val="15"/>
                <w:szCs w:val="15"/>
                <w:color w:val="auto"/>
              </w:rPr>
            </w:pP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respectively.</w:t>
            </w: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67"/>
        </w:trPr>
        <w:tc>
          <w:tcPr>
            <w:tcW w:w="3860" w:type="dxa"/>
            <w:vAlign w:val="bottom"/>
            <w:gridSpan w:val="3"/>
          </w:tcPr>
          <w:p>
            <w:pPr>
              <w:spacing w:after="0"/>
              <w:rPr>
                <w:sz w:val="20"/>
                <w:szCs w:val="20"/>
                <w:color w:val="auto"/>
              </w:rPr>
            </w:pPr>
            <w:r>
              <w:rPr>
                <w:rFonts w:ascii="Courier New" w:cs="Courier New" w:eastAsia="Courier New" w:hAnsi="Courier New"/>
                <w:sz w:val="16"/>
                <w:szCs w:val="16"/>
                <w:color w:val="auto"/>
              </w:rPr>
              <w:t>The  cost,  fair  value and  unrealized</w:t>
            </w:r>
          </w:p>
        </w:tc>
        <w:tc>
          <w:tcPr>
            <w:tcW w:w="4720" w:type="dxa"/>
            <w:vAlign w:val="bottom"/>
            <w:gridSpan w:val="2"/>
          </w:tcPr>
          <w:p>
            <w:pPr>
              <w:jc w:val="right"/>
              <w:ind w:right="1361"/>
              <w:spacing w:after="0"/>
              <w:rPr>
                <w:sz w:val="20"/>
                <w:szCs w:val="20"/>
                <w:color w:val="auto"/>
              </w:rPr>
            </w:pPr>
            <w:r>
              <w:rPr>
                <w:rFonts w:ascii="Courier New" w:cs="Courier New" w:eastAsia="Courier New" w:hAnsi="Courier New"/>
                <w:sz w:val="16"/>
                <w:szCs w:val="16"/>
                <w:color w:val="auto"/>
                <w:w w:val="99"/>
              </w:rPr>
              <w:t>gains and  losses  related  to our</w:t>
            </w:r>
          </w:p>
        </w:tc>
        <w:tc>
          <w:tcPr>
            <w:tcW w:w="1720" w:type="dxa"/>
            <w:vAlign w:val="bottom"/>
          </w:tcPr>
          <w:p>
            <w:pPr>
              <w:spacing w:after="0"/>
              <w:rPr>
                <w:sz w:val="24"/>
                <w:szCs w:val="24"/>
                <w:color w:val="auto"/>
              </w:rPr>
            </w:pPr>
          </w:p>
        </w:tc>
      </w:tr>
      <w:tr>
        <w:trPr>
          <w:trHeight w:val="183"/>
        </w:trPr>
        <w:tc>
          <w:tcPr>
            <w:tcW w:w="8580" w:type="dxa"/>
            <w:vAlign w:val="bottom"/>
            <w:gridSpan w:val="5"/>
          </w:tcPr>
          <w:p>
            <w:pPr>
              <w:spacing w:after="0"/>
              <w:rPr>
                <w:sz w:val="20"/>
                <w:szCs w:val="20"/>
                <w:color w:val="auto"/>
              </w:rPr>
            </w:pPr>
            <w:r>
              <w:rPr>
                <w:rFonts w:ascii="Courier New" w:cs="Courier New" w:eastAsia="Courier New" w:hAnsi="Courier New"/>
                <w:sz w:val="16"/>
                <w:szCs w:val="16"/>
                <w:color w:val="auto"/>
              </w:rPr>
              <w:t>available for sale securities are as follows (in millions):</w:t>
            </w:r>
          </w:p>
        </w:tc>
        <w:tc>
          <w:tcPr>
            <w:tcW w:w="1720" w:type="dxa"/>
            <w:vAlign w:val="bottom"/>
          </w:tcPr>
          <w:p>
            <w:pPr>
              <w:spacing w:after="0"/>
              <w:rPr>
                <w:sz w:val="15"/>
                <w:szCs w:val="15"/>
                <w:color w:val="auto"/>
              </w:rPr>
            </w:pPr>
          </w:p>
        </w:tc>
      </w:tr>
      <w:tr>
        <w:trPr>
          <w:trHeight w:val="734"/>
        </w:trPr>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March 31,</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2004</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w:t>
            </w:r>
          </w:p>
        </w:tc>
      </w:tr>
      <w:tr>
        <w:trPr>
          <w:trHeight w:val="367"/>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3"/>
              </w:rPr>
              <w:t>Cost.......................................................</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w:t>
            </w:r>
          </w:p>
        </w:tc>
      </w:tr>
      <w:tr>
        <w:trPr>
          <w:trHeight w:val="183"/>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3"/>
              </w:rPr>
              <w:t>Unrealized gains...........................................</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w:t>
            </w:r>
          </w:p>
        </w:tc>
      </w:tr>
      <w:tr>
        <w:trPr>
          <w:trHeight w:val="183"/>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3"/>
              </w:rPr>
              <w:t>Unrealized losses..........................................</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140" w:type="dxa"/>
            <w:vAlign w:val="bottom"/>
            <w:gridSpan w:val="2"/>
          </w:tcPr>
          <w:p>
            <w:pPr>
              <w:spacing w:after="0"/>
              <w:rPr>
                <w:sz w:val="20"/>
                <w:szCs w:val="20"/>
                <w:color w:val="auto"/>
              </w:rPr>
            </w:pPr>
            <w:r>
              <w:rPr>
                <w:rFonts w:ascii="Courier New" w:cs="Courier New" w:eastAsia="Courier New" w:hAnsi="Courier New"/>
                <w:sz w:val="12"/>
                <w:szCs w:val="12"/>
                <w:color w:val="auto"/>
                <w:w w:val="73"/>
              </w:rPr>
              <w:t>Fair value.................................................</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$128</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r>
      <w:tr>
        <w:trPr>
          <w:trHeight w:val="183"/>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782"/>
          </w:cols>
          <w:pgMar w:left="238" w:top="665" w:right="879" w:bottom="572" w:gutter="0" w:footer="0" w:header="0"/>
        </w:sectPr>
      </w:pPr>
    </w:p>
    <w:bookmarkStart w:id="7" w:name="page8"/>
    <w:bookmarkEnd w:id="7"/>
    <w:p>
      <w:pPr>
        <w:ind w:left="172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Investment Loss, Net</w:t>
      </w:r>
    </w:p>
    <w:p>
      <w:pPr>
        <w:spacing w:after="0" w:line="5" w:lineRule="exact"/>
        <w:rPr>
          <w:sz w:val="20"/>
          <w:szCs w:val="20"/>
          <w:color w:val="auto"/>
        </w:rPr>
      </w:pPr>
    </w:p>
    <w:p>
      <w:pPr>
        <w:ind w:left="482" w:right="3160"/>
        <w:spacing w:after="0" w:line="239" w:lineRule="auto"/>
        <w:rPr>
          <w:sz w:val="20"/>
          <w:szCs w:val="20"/>
          <w:color w:val="auto"/>
        </w:rPr>
      </w:pPr>
      <w:r>
        <w:rPr>
          <w:rFonts w:ascii="Courier New" w:cs="Courier New" w:eastAsia="Courier New" w:hAnsi="Courier New"/>
          <w:sz w:val="16"/>
          <w:szCs w:val="16"/>
          <w:color w:val="auto"/>
        </w:rPr>
        <w:t>Investment loss, net for the interim periods includes the following (in millions):</w:t>
      </w:r>
    </w:p>
    <w:p>
      <w:pPr>
        <w:spacing w:after="0" w:line="200" w:lineRule="exact"/>
        <w:rPr>
          <w:sz w:val="20"/>
          <w:szCs w:val="20"/>
          <w:color w:val="auto"/>
        </w:rPr>
      </w:pPr>
    </w:p>
    <w:p>
      <w:pPr>
        <w:spacing w:after="0" w:line="353"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372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580" w:type="dxa"/>
            <w:vAlign w:val="bottom"/>
          </w:tcPr>
          <w:p>
            <w:pPr>
              <w:spacing w:after="0"/>
              <w:rPr>
                <w:sz w:val="15"/>
                <w:szCs w:val="15"/>
                <w:color w:val="auto"/>
              </w:rPr>
            </w:pPr>
          </w:p>
        </w:tc>
        <w:tc>
          <w:tcPr>
            <w:tcW w:w="3720" w:type="dxa"/>
            <w:vAlign w:val="bottom"/>
            <w:gridSpan w:val="2"/>
          </w:tcPr>
          <w:p>
            <w:pPr>
              <w:jc w:val="right"/>
              <w:ind w:right="146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6580" w:type="dxa"/>
            <w:vAlign w:val="bottom"/>
          </w:tcPr>
          <w:p>
            <w:pPr>
              <w:spacing w:after="0"/>
              <w:rPr>
                <w:sz w:val="15"/>
                <w:szCs w:val="15"/>
                <w:color w:val="auto"/>
              </w:rPr>
            </w:pPr>
          </w:p>
        </w:tc>
        <w:tc>
          <w:tcPr>
            <w:tcW w:w="20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2004</w:t>
            </w:r>
          </w:p>
        </w:tc>
        <w:tc>
          <w:tcPr>
            <w:tcW w:w="17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6580" w:type="dxa"/>
            <w:vAlign w:val="bottom"/>
          </w:tcPr>
          <w:p>
            <w:pPr>
              <w:spacing w:after="0"/>
              <w:rPr>
                <w:sz w:val="15"/>
                <w:szCs w:val="15"/>
                <w:color w:val="auto"/>
              </w:rPr>
            </w:pPr>
          </w:p>
        </w:tc>
        <w:tc>
          <w:tcPr>
            <w:tcW w:w="3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w:t>
            </w:r>
          </w:p>
        </w:tc>
      </w:tr>
      <w:tr>
        <w:trPr>
          <w:trHeight w:val="367"/>
        </w:trPr>
        <w:tc>
          <w:tcPr>
            <w:tcW w:w="6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Interest and dividend income (expense)............................</w:t>
            </w:r>
          </w:p>
        </w:tc>
        <w:tc>
          <w:tcPr>
            <w:tcW w:w="2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r>
      <w:tr>
        <w:trPr>
          <w:trHeight w:val="183"/>
        </w:trPr>
        <w:tc>
          <w:tcPr>
            <w:tcW w:w="6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Gains on sales and exchanges of investments, net..................</w:t>
            </w:r>
          </w:p>
        </w:tc>
        <w:tc>
          <w:tcPr>
            <w:tcW w:w="2000" w:type="dxa"/>
            <w:vAlign w:val="bottom"/>
          </w:tcPr>
          <w:p>
            <w:pPr>
              <w:spacing w:after="0"/>
              <w:rPr>
                <w:sz w:val="15"/>
                <w:szCs w:val="15"/>
                <w:color w:val="auto"/>
              </w:rPr>
            </w:pP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w:t>
            </w:r>
          </w:p>
        </w:tc>
      </w:tr>
      <w:tr>
        <w:trPr>
          <w:trHeight w:val="183"/>
        </w:trPr>
        <w:tc>
          <w:tcPr>
            <w:tcW w:w="6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Investment impairment losses......................................</w:t>
            </w:r>
          </w:p>
        </w:tc>
        <w:tc>
          <w:tcPr>
            <w:tcW w:w="2000" w:type="dxa"/>
            <w:vAlign w:val="bottom"/>
          </w:tcPr>
          <w:p>
            <w:pPr>
              <w:spacing w:after="0"/>
              <w:rPr>
                <w:sz w:val="15"/>
                <w:szCs w:val="15"/>
                <w:color w:val="auto"/>
              </w:rPr>
            </w:pP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(55)</w:t>
            </w:r>
          </w:p>
        </w:tc>
      </w:tr>
      <w:tr>
        <w:trPr>
          <w:trHeight w:val="183"/>
        </w:trPr>
        <w:tc>
          <w:tcPr>
            <w:tcW w:w="6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Mark to market adjustments on trading securities..................</w:t>
            </w:r>
          </w:p>
        </w:tc>
        <w:tc>
          <w:tcPr>
            <w:tcW w:w="2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w:t>
            </w:r>
          </w:p>
        </w:tc>
      </w:tr>
      <w:tr>
        <w:trPr>
          <w:trHeight w:val="183"/>
        </w:trPr>
        <w:tc>
          <w:tcPr>
            <w:tcW w:w="6580" w:type="dxa"/>
            <w:vAlign w:val="bottom"/>
          </w:tcPr>
          <w:p>
            <w:pPr>
              <w:jc w:val="right"/>
              <w:ind w:right="1841"/>
              <w:spacing w:after="0"/>
              <w:rPr>
                <w:sz w:val="20"/>
                <w:szCs w:val="20"/>
                <w:color w:val="auto"/>
              </w:rPr>
            </w:pPr>
            <w:r>
              <w:rPr>
                <w:rFonts w:ascii="Courier New" w:cs="Courier New" w:eastAsia="Courier New" w:hAnsi="Courier New"/>
                <w:sz w:val="16"/>
                <w:szCs w:val="16"/>
                <w:color w:val="auto"/>
                <w:w w:val="98"/>
              </w:rPr>
              <w:t>Mark to market adjustments on derivatives related</w:t>
            </w:r>
          </w:p>
        </w:tc>
        <w:tc>
          <w:tcPr>
            <w:tcW w:w="20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6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 trading securities........................................</w:t>
            </w:r>
          </w:p>
        </w:tc>
        <w:tc>
          <w:tcPr>
            <w:tcW w:w="2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r>
      <w:tr>
        <w:trPr>
          <w:trHeight w:val="183"/>
        </w:trPr>
        <w:tc>
          <w:tcPr>
            <w:tcW w:w="6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Mark to market adjustments on derivatives and hedged items........</w:t>
            </w: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w:t>
            </w:r>
          </w:p>
        </w:tc>
      </w:tr>
      <w:tr>
        <w:trPr>
          <w:trHeight w:val="183"/>
        </w:trPr>
        <w:tc>
          <w:tcPr>
            <w:tcW w:w="658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Investment loss, net.........................................</w:t>
            </w:r>
          </w:p>
        </w:tc>
        <w:tc>
          <w:tcPr>
            <w:tcW w:w="2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w:t>
            </w:r>
          </w:p>
        </w:tc>
      </w:tr>
      <w:tr>
        <w:trPr>
          <w:trHeight w:val="183"/>
        </w:trPr>
        <w:tc>
          <w:tcPr>
            <w:tcW w:w="6580" w:type="dxa"/>
            <w:vAlign w:val="bottom"/>
          </w:tcPr>
          <w:p>
            <w:pPr>
              <w:spacing w:after="0"/>
              <w:rPr>
                <w:sz w:val="15"/>
                <w:szCs w:val="15"/>
                <w:color w:val="auto"/>
              </w:rPr>
            </w:pP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2" w:hanging="482"/>
        <w:spacing w:after="0"/>
        <w:tabs>
          <w:tab w:leader="none" w:pos="4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Cross-Guarantee Structure</w:t>
      </w:r>
    </w:p>
    <w:p>
      <w:pPr>
        <w:spacing w:after="0" w:line="4" w:lineRule="exact"/>
        <w:rPr>
          <w:rFonts w:ascii="Courier New" w:cs="Courier New" w:eastAsia="Courier New" w:hAnsi="Courier New"/>
          <w:sz w:val="16"/>
          <w:szCs w:val="16"/>
          <w:color w:val="auto"/>
        </w:rPr>
      </w:pPr>
    </w:p>
    <w:p>
      <w:pPr>
        <w:jc w:val="both"/>
        <w:ind w:left="482" w:right="31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simplify Comcast's capital structure, Comcast and certain of its cable holding company subsidiaries, including our wholly owned subsidiary Comcast Cable Communications, LLC ("Comcast Cable"), have unconditionally guaranteed each other's debt securities and indebtedness for borrowed money. As of March 31, 2004, $20.642 billion of Comcast's debt securities were entitled to the benefits of the cross-guarantee structure, including $6.697 billion of Comcast Cable's debt securities.</w:t>
      </w:r>
    </w:p>
    <w:p>
      <w:pPr>
        <w:spacing w:after="0" w:line="187" w:lineRule="exact"/>
        <w:rPr>
          <w:rFonts w:ascii="Courier New" w:cs="Courier New" w:eastAsia="Courier New" w:hAnsi="Courier New"/>
          <w:sz w:val="16"/>
          <w:szCs w:val="16"/>
          <w:color w:val="auto"/>
        </w:rPr>
      </w:pPr>
    </w:p>
    <w:p>
      <w:pPr>
        <w:jc w:val="both"/>
        <w:ind w:left="482" w:right="3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Corporation is not a guarantor, and none of its debt is guaranteed. As of March 31, 2004, $1.199 billion of debt was outstanding at Comcast Holdings Corporation.</w:t>
      </w:r>
    </w:p>
    <w:p>
      <w:pPr>
        <w:spacing w:after="0" w:line="187"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Debt</w:t>
      </w:r>
    </w:p>
    <w:p>
      <w:pPr>
        <w:spacing w:after="0" w:line="5" w:lineRule="exact"/>
        <w:rPr>
          <w:rFonts w:ascii="Courier New" w:cs="Courier New" w:eastAsia="Courier New" w:hAnsi="Courier New"/>
          <w:sz w:val="16"/>
          <w:szCs w:val="16"/>
          <w:color w:val="auto"/>
        </w:rPr>
      </w:pPr>
    </w:p>
    <w:p>
      <w:pPr>
        <w:jc w:val="both"/>
        <w:ind w:left="482" w:right="3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31, 2004, we redeemed all $250 million principal amount of our 8.875% senior notes due 2007. The redemption was financed with available cash.</w:t>
      </w:r>
    </w:p>
    <w:p>
      <w:pPr>
        <w:spacing w:after="0" w:line="187"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ZONES</w:t>
      </w:r>
    </w:p>
    <w:p>
      <w:pPr>
        <w:spacing w:after="0" w:line="4" w:lineRule="exact"/>
        <w:rPr>
          <w:rFonts w:ascii="Courier New" w:cs="Courier New" w:eastAsia="Courier New" w:hAnsi="Courier New"/>
          <w:sz w:val="16"/>
          <w:szCs w:val="16"/>
          <w:color w:val="auto"/>
        </w:rPr>
      </w:pPr>
    </w:p>
    <w:p>
      <w:pPr>
        <w:jc w:val="both"/>
        <w:ind w:left="482" w:right="31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maturity, holders of our 2.0% Exchangeable Subordinated Debentures due 2029 (the "ZONES") are entitled to receive in cash an amount equal to the higher of the principal amount of the ZONES or the market value of Sprint common stock. Prior to maturity, each ZONES is exchangeable at the holders' option for an amount of cash equal to 95% of the market value of Sprint common stock. As of March 31, 2004, the number of Sprint shares we held exceeded the number of ZONES outstanding.</w:t>
      </w:r>
    </w:p>
    <w:p>
      <w:pPr>
        <w:spacing w:after="0" w:line="188" w:lineRule="exact"/>
        <w:rPr>
          <w:sz w:val="20"/>
          <w:szCs w:val="20"/>
          <w:color w:val="auto"/>
        </w:rPr>
      </w:pPr>
    </w:p>
    <w:p>
      <w:pPr>
        <w:jc w:val="both"/>
        <w:ind w:left="482" w:right="3160"/>
        <w:spacing w:after="0" w:line="241" w:lineRule="auto"/>
        <w:rPr>
          <w:sz w:val="20"/>
          <w:szCs w:val="20"/>
          <w:color w:val="auto"/>
        </w:rPr>
      </w:pPr>
      <w:r>
        <w:rPr>
          <w:rFonts w:ascii="Courier New" w:cs="Courier New" w:eastAsia="Courier New" w:hAnsi="Courier New"/>
          <w:sz w:val="16"/>
          <w:szCs w:val="16"/>
          <w:color w:val="auto"/>
        </w:rPr>
        <w:t>We separated the accounting for the ZONES into derivative and debt components. We record the change in the fair value of the derivative component of the ZONES and the change in the carrying value of the debt component of the ZONES as follows (in millions):</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82"/>
          </w:cols>
          <w:pgMar w:left="238" w:top="665" w:right="879" w:bottom="1440" w:gutter="0" w:footer="0" w:header="0"/>
        </w:sectPr>
      </w:pPr>
    </w:p>
    <w:bookmarkStart w:id="8" w:name="page9"/>
    <w:bookmarkEnd w:id="8"/>
    <w:p>
      <w:pPr>
        <w:ind w:left="172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tbl>
      <w:tblPr>
        <w:tblLayout w:type="fixed"/>
        <w:tblInd w:w="1142" w:type="dxa"/>
        <w:tblCellMar>
          <w:top w:w="0" w:type="dxa"/>
          <w:left w:w="0" w:type="dxa"/>
          <w:bottom w:w="0" w:type="dxa"/>
          <w:right w:w="0" w:type="dxa"/>
        </w:tblCellMar>
      </w:tblPr>
      <w:tr>
        <w:trPr>
          <w:trHeight w:val="181"/>
        </w:trPr>
        <w:tc>
          <w:tcPr>
            <w:tcW w:w="41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(Unaudited)</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734"/>
        </w:trPr>
        <w:tc>
          <w:tcPr>
            <w:tcW w:w="4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jc w:val="right"/>
              <w:ind w:right="981"/>
              <w:spacing w:after="0"/>
              <w:rPr>
                <w:sz w:val="20"/>
                <w:szCs w:val="20"/>
                <w:color w:val="auto"/>
              </w:rPr>
            </w:pPr>
            <w:r>
              <w:rPr>
                <w:rFonts w:ascii="Courier New" w:cs="Courier New" w:eastAsia="Courier New" w:hAnsi="Courier New"/>
                <w:sz w:val="16"/>
                <w:szCs w:val="16"/>
                <w:color w:val="auto"/>
                <w:w w:val="95"/>
              </w:rPr>
              <w:t>ZONES</w:t>
            </w:r>
          </w:p>
        </w:tc>
      </w:tr>
      <w:tr>
        <w:trPr>
          <w:trHeight w:val="183"/>
        </w:trPr>
        <w:tc>
          <w:tcPr>
            <w:tcW w:w="4100" w:type="dxa"/>
            <w:vAlign w:val="bottom"/>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30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4100" w:type="dxa"/>
            <w:vAlign w:val="bottom"/>
          </w:tcPr>
          <w:p>
            <w:pPr>
              <w:spacing w:after="0"/>
              <w:rPr>
                <w:sz w:val="15"/>
                <w:szCs w:val="15"/>
                <w:color w:val="auto"/>
              </w:rPr>
            </w:pPr>
          </w:p>
        </w:tc>
        <w:tc>
          <w:tcPr>
            <w:tcW w:w="306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4100" w:type="dxa"/>
            <w:vAlign w:val="bottom"/>
          </w:tcPr>
          <w:p>
            <w:pPr>
              <w:spacing w:after="0"/>
              <w:rPr>
                <w:sz w:val="15"/>
                <w:szCs w:val="15"/>
                <w:color w:val="auto"/>
              </w:rPr>
            </w:pP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2004</w:t>
            </w: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4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rPr>
              <w:t>Balance at Beginning of Period:</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3"/>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Debt component.....................</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$515</w:t>
            </w:r>
          </w:p>
        </w:tc>
        <w:tc>
          <w:tcPr>
            <w:tcW w:w="1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$491</w:t>
            </w:r>
          </w:p>
        </w:tc>
      </w:tr>
      <w:tr>
        <w:trPr>
          <w:trHeight w:val="183"/>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Derivative component...............</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268</w:t>
            </w:r>
          </w:p>
        </w:tc>
        <w:tc>
          <w:tcPr>
            <w:tcW w:w="1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w:t>
            </w:r>
          </w:p>
        </w:tc>
      </w:tr>
      <w:tr>
        <w:trPr>
          <w:trHeight w:val="183"/>
        </w:trPr>
        <w:tc>
          <w:tcPr>
            <w:tcW w:w="4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783</w:t>
            </w:r>
          </w:p>
        </w:tc>
        <w:tc>
          <w:tcPr>
            <w:tcW w:w="1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699</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rPr>
              <w:t>Change in debt component</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3"/>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 interest expense................</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w:t>
            </w:r>
          </w:p>
        </w:tc>
        <w:tc>
          <w:tcPr>
            <w:tcW w:w="1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r>
      <w:tr>
        <w:trPr>
          <w:trHeight w:val="183"/>
        </w:trPr>
        <w:tc>
          <w:tcPr>
            <w:tcW w:w="4100" w:type="dxa"/>
            <w:vAlign w:val="bottom"/>
          </w:tcPr>
          <w:p>
            <w:pPr>
              <w:spacing w:after="0"/>
              <w:rPr>
                <w:sz w:val="20"/>
                <w:szCs w:val="20"/>
                <w:color w:val="auto"/>
              </w:rPr>
            </w:pPr>
            <w:r>
              <w:rPr>
                <w:rFonts w:ascii="Courier New" w:cs="Courier New" w:eastAsia="Courier New" w:hAnsi="Courier New"/>
                <w:sz w:val="16"/>
                <w:szCs w:val="16"/>
                <w:color w:val="auto"/>
              </w:rPr>
              <w:t>Change in derivative component</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3"/>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 investment loss, net............</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169</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rPr>
              <w:t>Balance at End of Period:</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3"/>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Debt component.....................</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521</w:t>
            </w:r>
          </w:p>
        </w:tc>
        <w:tc>
          <w:tcPr>
            <w:tcW w:w="1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497</w:t>
            </w:r>
          </w:p>
        </w:tc>
      </w:tr>
      <w:tr>
        <w:trPr>
          <w:trHeight w:val="183"/>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Derivative component...............</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437</w:t>
            </w:r>
          </w:p>
        </w:tc>
        <w:tc>
          <w:tcPr>
            <w:tcW w:w="1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w:t>
            </w:r>
          </w:p>
        </w:tc>
      </w:tr>
      <w:tr>
        <w:trPr>
          <w:trHeight w:val="183"/>
        </w:trPr>
        <w:tc>
          <w:tcPr>
            <w:tcW w:w="4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$958</w:t>
            </w:r>
          </w:p>
        </w:tc>
        <w:tc>
          <w:tcPr>
            <w:tcW w:w="1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$704</w:t>
            </w:r>
          </w:p>
        </w:tc>
      </w:tr>
      <w:tr>
        <w:trPr>
          <w:trHeight w:val="183"/>
        </w:trPr>
        <w:tc>
          <w:tcPr>
            <w:tcW w:w="4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Interest Rates</w:t>
      </w:r>
    </w:p>
    <w:p>
      <w:pPr>
        <w:spacing w:after="0" w:line="5" w:lineRule="exact"/>
        <w:rPr>
          <w:sz w:val="20"/>
          <w:szCs w:val="20"/>
          <w:color w:val="auto"/>
        </w:rPr>
      </w:pPr>
    </w:p>
    <w:p>
      <w:pPr>
        <w:jc w:val="both"/>
        <w:ind w:left="482" w:right="2599"/>
        <w:spacing w:after="0" w:line="241"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loss, net, our effective weighted average interest rate was 7.47% and 7.56% as of March 31, 2004 and December 31, 2003, respectively.</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Derivatives</w:t>
      </w:r>
    </w:p>
    <w:p>
      <w:pPr>
        <w:spacing w:after="0" w:line="5" w:lineRule="exact"/>
        <w:rPr>
          <w:sz w:val="20"/>
          <w:szCs w:val="20"/>
          <w:color w:val="auto"/>
        </w:rPr>
      </w:pPr>
    </w:p>
    <w:p>
      <w:pPr>
        <w:jc w:val="both"/>
        <w:ind w:left="482" w:right="2599"/>
        <w:spacing w:after="0" w:line="241" w:lineRule="auto"/>
        <w:rPr>
          <w:sz w:val="20"/>
          <w:szCs w:val="20"/>
          <w:color w:val="auto"/>
        </w:rPr>
      </w:pPr>
      <w:r>
        <w:rPr>
          <w:rFonts w:ascii="Courier New" w:cs="Courier New" w:eastAsia="Courier New" w:hAnsi="Courier New"/>
          <w:sz w:val="16"/>
          <w:szCs w:val="16"/>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188"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Lines and Letters of Credit</w:t>
      </w:r>
    </w:p>
    <w:p>
      <w:pPr>
        <w:spacing w:after="0" w:line="5" w:lineRule="exact"/>
        <w:rPr>
          <w:sz w:val="20"/>
          <w:szCs w:val="20"/>
          <w:color w:val="auto"/>
        </w:rPr>
      </w:pPr>
    </w:p>
    <w:p>
      <w:pPr>
        <w:jc w:val="both"/>
        <w:ind w:left="482" w:right="2599"/>
        <w:spacing w:after="0" w:line="239" w:lineRule="auto"/>
        <w:rPr>
          <w:sz w:val="20"/>
          <w:szCs w:val="20"/>
          <w:color w:val="auto"/>
        </w:rPr>
      </w:pPr>
      <w:r>
        <w:rPr>
          <w:rFonts w:ascii="Courier New" w:cs="Courier New" w:eastAsia="Courier New" w:hAnsi="Courier New"/>
          <w:sz w:val="16"/>
          <w:szCs w:val="16"/>
          <w:color w:val="auto"/>
        </w:rPr>
        <w:t>As of March 31, 2004, we and certain of our subsidiaries had unused lines of credit of $287 million under our respective credit facilities.</w:t>
      </w:r>
    </w:p>
    <w:p>
      <w:pPr>
        <w:spacing w:after="0" w:line="189" w:lineRule="exact"/>
        <w:rPr>
          <w:sz w:val="20"/>
          <w:szCs w:val="20"/>
          <w:color w:val="auto"/>
        </w:rPr>
      </w:pPr>
    </w:p>
    <w:p>
      <w:pPr>
        <w:jc w:val="both"/>
        <w:ind w:left="482" w:right="2599"/>
        <w:spacing w:after="0"/>
        <w:rPr>
          <w:sz w:val="20"/>
          <w:szCs w:val="20"/>
          <w:color w:val="auto"/>
        </w:rPr>
      </w:pPr>
      <w:r>
        <w:rPr>
          <w:rFonts w:ascii="Courier New" w:cs="Courier New" w:eastAsia="Courier New" w:hAnsi="Courier New"/>
          <w:sz w:val="16"/>
          <w:szCs w:val="16"/>
          <w:color w:val="auto"/>
        </w:rPr>
        <w:t>As of March 31, 2004, we and certain of our subsidiaries had unused irrevocable standby letters of credit totaling $13 million to cover potential fundings under various agreements.</w:t>
      </w:r>
    </w:p>
    <w:p>
      <w:pPr>
        <w:spacing w:after="0" w:line="187" w:lineRule="exact"/>
        <w:rPr>
          <w:sz w:val="20"/>
          <w:szCs w:val="20"/>
          <w:color w:val="auto"/>
        </w:rPr>
      </w:pPr>
    </w:p>
    <w:p>
      <w:pPr>
        <w:ind w:left="482" w:hanging="482"/>
        <w:spacing w:after="0"/>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w:t>
      </w:r>
    </w:p>
    <w:p>
      <w:pPr>
        <w:spacing w:after="0" w:line="4"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account for stock-based compensation in accordance with APB Opinion No. 25, "Accounting for Stock Issued to Employees," and related interpretations, as permitted by SFAS No. 123, "Accounting for Stock-Based Compensation," ("SFAS No. 123") as amended. Compensation expense for stock options is measured as the excess, if any, of the quoted market price of the stock at the date of the grant over the amount an employee must pay to acquire the stock. We record compensation expense for restricted stock awards based on the quoted market price of the stock at the date of the grant and the vesting period. We record compensation expense for stock appreciation rights based on the changes in quoted market prices of the stock or other determinants of fair value.</w:t>
      </w:r>
    </w:p>
    <w:p>
      <w:pPr>
        <w:spacing w:after="0" w:line="190"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illustrates the effect that applying the fair value recognition provisions of SFAS No. 123 to stock-based compensation would have had on net income. Upon further analysis during 2003, it was determined that the expected option lives for options granted in prior years should have been 7 years rather than the 8 years used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8" w:top="665" w:right="1440" w:bottom="755" w:gutter="0" w:footer="0" w:header="0"/>
        </w:sectPr>
      </w:pPr>
    </w:p>
    <w:bookmarkStart w:id="9" w:name="page10"/>
    <w:bookmarkEnd w:id="9"/>
    <w:p>
      <w:pPr>
        <w:ind w:left="172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jc w:val="both"/>
        <w:ind w:left="482" w:right="2599"/>
        <w:spacing w:after="0" w:line="241" w:lineRule="auto"/>
        <w:rPr>
          <w:sz w:val="20"/>
          <w:szCs w:val="20"/>
          <w:color w:val="auto"/>
        </w:rPr>
      </w:pPr>
      <w:r>
        <w:rPr>
          <w:rFonts w:ascii="Courier New" w:cs="Courier New" w:eastAsia="Courier New" w:hAnsi="Courier New"/>
          <w:sz w:val="16"/>
          <w:szCs w:val="16"/>
          <w:color w:val="auto"/>
        </w:rPr>
        <w:t>previously. The amounts in the table reflect this revision for all periods presented. Total stock-based compensation expense was determined under the fair value method for all awards using the accelerated recognition method as permitted under SFAS No. 123 (dollars in millions, except per share data):</w:t>
      </w:r>
    </w:p>
    <w:p>
      <w:pPr>
        <w:spacing w:after="0" w:line="200" w:lineRule="exact"/>
        <w:rPr>
          <w:sz w:val="20"/>
          <w:szCs w:val="20"/>
          <w:color w:val="auto"/>
        </w:rPr>
      </w:pPr>
    </w:p>
    <w:p>
      <w:pPr>
        <w:spacing w:after="0" w:line="354" w:lineRule="exact"/>
        <w:rPr>
          <w:sz w:val="20"/>
          <w:szCs w:val="20"/>
          <w:color w:val="auto"/>
        </w:rPr>
      </w:pPr>
    </w:p>
    <w:tbl>
      <w:tblPr>
        <w:tblLayout w:type="fixed"/>
        <w:tblInd w:w="1142"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1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7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10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7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2004</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7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540" w:type="dxa"/>
            <w:vAlign w:val="bottom"/>
            <w:gridSpan w:val="2"/>
          </w:tcPr>
          <w:p>
            <w:pPr>
              <w:spacing w:after="0"/>
              <w:rPr>
                <w:sz w:val="20"/>
                <w:szCs w:val="20"/>
                <w:color w:val="auto"/>
              </w:rPr>
            </w:pPr>
            <w:r>
              <w:rPr>
                <w:rFonts w:ascii="Courier New" w:cs="Courier New" w:eastAsia="Courier New" w:hAnsi="Courier New"/>
                <w:sz w:val="16"/>
                <w:szCs w:val="16"/>
                <w:color w:val="auto"/>
              </w:rPr>
              <w:t>Net income, as reported...............................</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Add:</w:t>
            </w: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Total stock-based compensation expense</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included in net income, as reported above....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Deduct:</w:t>
            </w: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Total stock-based compensation expense</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determined under fair value based method</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w w:val="99"/>
              </w:rPr>
              <w:t>for all awards relating to continuing operations,</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net of related tax effects...................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Deduct:</w:t>
            </w: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Total stock-based compensation expense</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determined under fair value based method for all</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awards relating to discontinued operations,</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net of related tax effects...................</w:t>
            </w:r>
          </w:p>
        </w:tc>
        <w:tc>
          <w:tcPr>
            <w:tcW w:w="10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3"/>
        </w:trPr>
        <w:tc>
          <w:tcPr>
            <w:tcW w:w="7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540" w:type="dxa"/>
            <w:vAlign w:val="bottom"/>
            <w:gridSpan w:val="2"/>
          </w:tcPr>
          <w:p>
            <w:pPr>
              <w:spacing w:after="0"/>
              <w:rPr>
                <w:sz w:val="20"/>
                <w:szCs w:val="20"/>
                <w:color w:val="auto"/>
              </w:rPr>
            </w:pPr>
            <w:r>
              <w:rPr>
                <w:rFonts w:ascii="Courier New" w:cs="Courier New" w:eastAsia="Courier New" w:hAnsi="Courier New"/>
                <w:sz w:val="16"/>
                <w:szCs w:val="16"/>
                <w:color w:val="auto"/>
              </w:rPr>
              <w:t>Pro forma, net income.................................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r>
      <w:tr>
        <w:trPr>
          <w:trHeight w:val="183"/>
        </w:trPr>
        <w:tc>
          <w:tcPr>
            <w:tcW w:w="7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both"/>
        <w:ind w:left="482" w:right="2599"/>
        <w:spacing w:after="0" w:line="241" w:lineRule="auto"/>
        <w:rPr>
          <w:sz w:val="20"/>
          <w:szCs w:val="20"/>
          <w:color w:val="auto"/>
        </w:rPr>
      </w:pPr>
      <w:r>
        <w:rPr>
          <w:rFonts w:ascii="Courier New" w:cs="Courier New" w:eastAsia="Courier New" w:hAnsi="Courier New"/>
          <w:sz w:val="16"/>
          <w:szCs w:val="16"/>
          <w:color w:val="auto"/>
        </w:rPr>
        <w:t>The pro forma effect on net income for the interim periods by applying SFAS No. 123 may not be indicative of the effect on net income or loss in future years since SFAS No. 123 does not take into consideration pro forma compensation expense related to awards made prior to January 1, 1995 and also because additional awards in future years are anticipated.</w:t>
      </w:r>
    </w:p>
    <w:p>
      <w:pPr>
        <w:spacing w:after="0" w:line="188"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Comprehensive Income</w:t>
      </w:r>
    </w:p>
    <w:p>
      <w:pPr>
        <w:spacing w:after="0" w:line="5" w:lineRule="exact"/>
        <w:rPr>
          <w:sz w:val="20"/>
          <w:szCs w:val="20"/>
          <w:color w:val="auto"/>
        </w:rPr>
      </w:pPr>
    </w:p>
    <w:p>
      <w:pPr>
        <w:jc w:val="both"/>
        <w:ind w:left="482" w:right="2599"/>
        <w:spacing w:after="0" w:line="239" w:lineRule="auto"/>
        <w:rPr>
          <w:sz w:val="20"/>
          <w:szCs w:val="20"/>
          <w:color w:val="auto"/>
        </w:rPr>
      </w:pPr>
      <w:r>
        <w:rPr>
          <w:rFonts w:ascii="Courier New" w:cs="Courier New" w:eastAsia="Courier New" w:hAnsi="Courier New"/>
          <w:sz w:val="16"/>
          <w:szCs w:val="16"/>
          <w:color w:val="auto"/>
        </w:rPr>
        <w:t>Our total comprehensive income for the interim periods was as follows (in millions):</w:t>
      </w:r>
    </w:p>
    <w:p>
      <w:pPr>
        <w:spacing w:after="0" w:line="200" w:lineRule="exact"/>
        <w:rPr>
          <w:sz w:val="20"/>
          <w:szCs w:val="20"/>
          <w:color w:val="auto"/>
        </w:rPr>
      </w:pPr>
    </w:p>
    <w:p>
      <w:pPr>
        <w:spacing w:after="0" w:line="353" w:lineRule="exact"/>
        <w:rPr>
          <w:sz w:val="20"/>
          <w:szCs w:val="20"/>
          <w:color w:val="auto"/>
        </w:rPr>
      </w:pPr>
    </w:p>
    <w:tbl>
      <w:tblPr>
        <w:tblLayout w:type="fixed"/>
        <w:tblInd w:w="662"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2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5100" w:type="dxa"/>
            <w:vAlign w:val="bottom"/>
          </w:tcPr>
          <w:p>
            <w:pPr>
              <w:spacing w:after="0"/>
              <w:rPr>
                <w:sz w:val="15"/>
                <w:szCs w:val="15"/>
                <w:color w:val="auto"/>
              </w:rPr>
            </w:pPr>
          </w:p>
        </w:tc>
        <w:tc>
          <w:tcPr>
            <w:tcW w:w="224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5100" w:type="dxa"/>
            <w:vAlign w:val="bottom"/>
          </w:tcPr>
          <w:p>
            <w:pPr>
              <w:spacing w:after="0"/>
              <w:rPr>
                <w:sz w:val="15"/>
                <w:szCs w:val="15"/>
                <w:color w:val="auto"/>
              </w:rPr>
            </w:pP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2004</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5100" w:type="dxa"/>
            <w:vAlign w:val="bottom"/>
          </w:tcPr>
          <w:p>
            <w:pPr>
              <w:spacing w:after="0"/>
              <w:rPr>
                <w:sz w:val="15"/>
                <w:szCs w:val="15"/>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$98</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$115</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Unrealized losses on marketable securities..........</w:t>
            </w:r>
          </w:p>
        </w:tc>
        <w:tc>
          <w:tcPr>
            <w:tcW w:w="1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losses</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5100" w:type="dxa"/>
            <w:vAlign w:val="bottom"/>
          </w:tcPr>
          <w:p>
            <w:pPr>
              <w:ind w:left="380"/>
              <w:spacing w:after="0"/>
              <w:rPr>
                <w:sz w:val="20"/>
                <w:szCs w:val="20"/>
                <w:color w:val="auto"/>
              </w:rPr>
            </w:pPr>
            <w:r>
              <w:rPr>
                <w:rFonts w:ascii="Courier New" w:cs="Courier New" w:eastAsia="Courier New" w:hAnsi="Courier New"/>
                <w:sz w:val="16"/>
                <w:szCs w:val="16"/>
                <w:color w:val="auto"/>
              </w:rPr>
              <w:t>included in net income..........................</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gains..................</w:t>
            </w:r>
          </w:p>
        </w:tc>
        <w:tc>
          <w:tcPr>
            <w:tcW w:w="11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w:t>
            </w:r>
          </w:p>
        </w:tc>
      </w:tr>
      <w:tr>
        <w:trPr>
          <w:trHeight w:val="183"/>
        </w:trPr>
        <w:tc>
          <w:tcPr>
            <w:tcW w:w="5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1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$106</w:t>
            </w:r>
          </w:p>
        </w:tc>
      </w:tr>
      <w:tr>
        <w:trPr>
          <w:trHeight w:val="183"/>
        </w:trPr>
        <w:tc>
          <w:tcPr>
            <w:tcW w:w="5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8" w:lineRule="exact"/>
        <w:rPr>
          <w:rFonts w:ascii="Courier New" w:cs="Courier New" w:eastAsia="Courier New" w:hAnsi="Courier New"/>
          <w:sz w:val="16"/>
          <w:szCs w:val="16"/>
          <w:color w:val="auto"/>
        </w:rPr>
      </w:pPr>
    </w:p>
    <w:p>
      <w:pPr>
        <w:ind w:left="482"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made cash payments for interest and income taxes related to continuing operations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8" w:top="665" w:right="1440" w:bottom="1440" w:gutter="0" w:footer="0" w:header="0"/>
        </w:sectPr>
      </w:pPr>
    </w:p>
    <w:bookmarkStart w:id="10" w:name="page11"/>
    <w:bookmarkEnd w:id="10"/>
    <w:p>
      <w:pPr>
        <w:ind w:left="172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tbl>
      <w:tblPr>
        <w:tblLayout w:type="fixed"/>
        <w:tblInd w:w="662" w:type="dxa"/>
        <w:tblCellMar>
          <w:top w:w="0" w:type="dxa"/>
          <w:left w:w="0" w:type="dxa"/>
          <w:bottom w:w="0" w:type="dxa"/>
          <w:right w:w="0" w:type="dxa"/>
        </w:tblCellMar>
      </w:tblPr>
      <w:tr>
        <w:trPr>
          <w:trHeight w:val="181"/>
        </w:trPr>
        <w:tc>
          <w:tcPr>
            <w:tcW w:w="2680" w:type="dxa"/>
            <w:vAlign w:val="bottom"/>
          </w:tcPr>
          <w:p>
            <w:pPr>
              <w:spacing w:after="0"/>
              <w:rPr>
                <w:sz w:val="15"/>
                <w:szCs w:val="15"/>
                <w:color w:val="auto"/>
              </w:rPr>
            </w:pPr>
          </w:p>
        </w:tc>
        <w:tc>
          <w:tcPr>
            <w:tcW w:w="3420" w:type="dxa"/>
            <w:vAlign w:val="bottom"/>
          </w:tcPr>
          <w:p>
            <w:pPr>
              <w:jc w:val="right"/>
              <w:ind w:right="2301"/>
              <w:spacing w:after="0"/>
              <w:rPr>
                <w:sz w:val="20"/>
                <w:szCs w:val="20"/>
                <w:color w:val="auto"/>
              </w:rPr>
            </w:pPr>
            <w:r>
              <w:rPr>
                <w:rFonts w:ascii="Courier New" w:cs="Courier New" w:eastAsia="Courier New" w:hAnsi="Courier New"/>
                <w:sz w:val="16"/>
                <w:szCs w:val="16"/>
                <w:color w:val="auto"/>
                <w:w w:val="96"/>
              </w:rPr>
              <w:t>(Unaudited)</w:t>
            </w:r>
          </w:p>
        </w:tc>
        <w:tc>
          <w:tcPr>
            <w:tcW w:w="1240" w:type="dxa"/>
            <w:vAlign w:val="bottom"/>
          </w:tcPr>
          <w:p>
            <w:pPr>
              <w:spacing w:after="0"/>
              <w:rPr>
                <w:sz w:val="15"/>
                <w:szCs w:val="15"/>
                <w:color w:val="auto"/>
              </w:rPr>
            </w:pPr>
          </w:p>
        </w:tc>
      </w:tr>
      <w:tr>
        <w:trPr>
          <w:trHeight w:val="734"/>
        </w:trPr>
        <w:tc>
          <w:tcPr>
            <w:tcW w:w="2680" w:type="dxa"/>
            <w:vAlign w:val="bottom"/>
          </w:tcPr>
          <w:p>
            <w:pPr>
              <w:spacing w:after="0"/>
              <w:rPr>
                <w:sz w:val="24"/>
                <w:szCs w:val="24"/>
                <w:color w:val="auto"/>
              </w:rPr>
            </w:pPr>
          </w:p>
        </w:tc>
        <w:tc>
          <w:tcPr>
            <w:tcW w:w="4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26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March 31,</w:t>
            </w:r>
          </w:p>
        </w:tc>
      </w:tr>
      <w:tr>
        <w:trPr>
          <w:trHeight w:val="183"/>
        </w:trPr>
        <w:tc>
          <w:tcPr>
            <w:tcW w:w="2680" w:type="dxa"/>
            <w:vAlign w:val="bottom"/>
          </w:tcPr>
          <w:p>
            <w:pPr>
              <w:spacing w:after="0"/>
              <w:rPr>
                <w:sz w:val="15"/>
                <w:szCs w:val="15"/>
                <w:color w:val="auto"/>
              </w:rPr>
            </w:pPr>
          </w:p>
        </w:tc>
        <w:tc>
          <w:tcPr>
            <w:tcW w:w="3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2004</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2680" w:type="dxa"/>
            <w:vAlign w:val="bottom"/>
          </w:tcPr>
          <w:p>
            <w:pPr>
              <w:spacing w:after="0"/>
              <w:rPr>
                <w:sz w:val="15"/>
                <w:szCs w:val="15"/>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680" w:type="dxa"/>
            <w:vAlign w:val="bottom"/>
          </w:tcPr>
          <w:p>
            <w:pPr>
              <w:spacing w:after="0"/>
              <w:rPr>
                <w:sz w:val="20"/>
                <w:szCs w:val="20"/>
                <w:color w:val="auto"/>
              </w:rPr>
            </w:pPr>
            <w:r>
              <w:rPr>
                <w:rFonts w:ascii="Courier New" w:cs="Courier New" w:eastAsia="Courier New" w:hAnsi="Courier New"/>
                <w:sz w:val="12"/>
                <w:szCs w:val="12"/>
                <w:color w:val="auto"/>
                <w:w w:val="71"/>
              </w:rPr>
              <w:t>Interest............................................</w:t>
            </w: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$106</w:t>
            </w:r>
          </w:p>
        </w:tc>
      </w:tr>
      <w:tr>
        <w:trPr>
          <w:trHeight w:val="183"/>
        </w:trPr>
        <w:tc>
          <w:tcPr>
            <w:tcW w:w="2680" w:type="dxa"/>
            <w:vAlign w:val="bottom"/>
          </w:tcPr>
          <w:p>
            <w:pPr>
              <w:spacing w:after="0"/>
              <w:rPr>
                <w:sz w:val="20"/>
                <w:szCs w:val="20"/>
                <w:color w:val="auto"/>
              </w:rPr>
            </w:pPr>
            <w:r>
              <w:rPr>
                <w:rFonts w:ascii="Courier New" w:cs="Courier New" w:eastAsia="Courier New" w:hAnsi="Courier New"/>
                <w:sz w:val="12"/>
                <w:szCs w:val="12"/>
                <w:color w:val="auto"/>
                <w:w w:val="71"/>
              </w:rPr>
              <w:t>Income taxes........................................</w:t>
            </w: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w:t>
            </w:r>
          </w:p>
        </w:tc>
      </w:tr>
    </w:tbl>
    <w:p>
      <w:pPr>
        <w:spacing w:after="0" w:line="372" w:lineRule="exact"/>
        <w:rPr>
          <w:sz w:val="20"/>
          <w:szCs w:val="20"/>
          <w:color w:val="auto"/>
        </w:rPr>
      </w:pPr>
    </w:p>
    <w:p>
      <w:pPr>
        <w:ind w:left="482" w:right="2599"/>
        <w:spacing w:after="0" w:line="239" w:lineRule="auto"/>
        <w:rPr>
          <w:sz w:val="20"/>
          <w:szCs w:val="20"/>
          <w:color w:val="auto"/>
        </w:rPr>
      </w:pPr>
      <w:r>
        <w:rPr>
          <w:rFonts w:ascii="Courier New" w:cs="Courier New" w:eastAsia="Courier New" w:hAnsi="Courier New"/>
          <w:sz w:val="16"/>
          <w:szCs w:val="16"/>
          <w:color w:val="auto"/>
        </w:rPr>
        <w:t>During 2004, we transferred certain assets to Comcast through a non-cash intercompany transaction in the amount of $43 million.</w:t>
      </w:r>
    </w:p>
    <w:p>
      <w:pPr>
        <w:spacing w:after="0" w:line="189" w:lineRule="exact"/>
        <w:rPr>
          <w:sz w:val="20"/>
          <w:szCs w:val="20"/>
          <w:color w:val="auto"/>
        </w:rPr>
      </w:pPr>
    </w:p>
    <w:p>
      <w:pPr>
        <w:ind w:left="482" w:right="6979" w:hanging="482"/>
        <w:spacing w:after="0" w:line="481" w:lineRule="auto"/>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Contingencies</w:t>
      </w:r>
    </w:p>
    <w:p>
      <w:pPr>
        <w:spacing w:after="0" w:line="4"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 Home</w:t>
      </w:r>
    </w:p>
    <w:p>
      <w:pPr>
        <w:spacing w:after="0" w:line="2"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w:t>
      </w:r>
    </w:p>
    <w:p>
      <w:pPr>
        <w:spacing w:after="0" w:line="5" w:lineRule="exact"/>
        <w:rPr>
          <w:rFonts w:ascii="Courier New" w:cs="Courier New" w:eastAsia="Courier New" w:hAnsi="Courier New"/>
          <w:sz w:val="16"/>
          <w:szCs w:val="16"/>
          <w:color w:val="auto"/>
        </w:rPr>
      </w:pPr>
    </w:p>
    <w:p>
      <w:pPr>
        <w:jc w:val="both"/>
        <w:ind w:left="482" w:right="2599" w:hanging="5"/>
        <w:spacing w:after="0" w:line="242" w:lineRule="auto"/>
        <w:tabs>
          <w:tab w:leader="none" w:pos="86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204" w:lineRule="exact"/>
        <w:rPr>
          <w:sz w:val="20"/>
          <w:szCs w:val="20"/>
          <w:color w:val="auto"/>
        </w:rPr>
      </w:pPr>
    </w:p>
    <w:p>
      <w:pPr>
        <w:jc w:val="both"/>
        <w:ind w:left="482" w:right="2599"/>
        <w:spacing w:after="0" w:line="242" w:lineRule="auto"/>
        <w:rPr>
          <w:sz w:val="20"/>
          <w:szCs w:val="20"/>
          <w:color w:val="auto"/>
        </w:rPr>
      </w:pPr>
      <w:r>
        <w:rPr>
          <w:rFonts w:ascii="Courier New" w:cs="Courier New" w:eastAsia="Courier New" w:hAnsi="Courier New"/>
          <w:sz w:val="16"/>
          <w:szCs w:val="16"/>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left="482" w:right="2599"/>
        <w:spacing w:after="0" w:line="241" w:lineRule="auto"/>
        <w:rPr>
          <w:sz w:val="20"/>
          <w:szCs w:val="20"/>
          <w:color w:val="auto"/>
        </w:rPr>
      </w:pPr>
      <w:r>
        <w:rPr>
          <w:rFonts w:ascii="Courier New" w:cs="Courier New" w:eastAsia="Courier New" w:hAnsi="Courier New"/>
          <w:sz w:val="16"/>
          <w:szCs w:val="16"/>
          <w:color w:val="auto"/>
        </w:rPr>
        <w:t>We are subject to other legal proceedings and claims that arise in the ordinary course of our business. In our opinion, the amount of ultimate liability with respect to such actions is not expected to materially affect our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8" w:top="665" w:right="1440" w:bottom="21" w:gutter="0" w:footer="0" w:header="0"/>
        </w:sectPr>
      </w:pPr>
    </w:p>
    <w:bookmarkStart w:id="11" w:name="page12"/>
    <w:bookmarkEnd w:id="11"/>
    <w:p>
      <w:pPr>
        <w:ind w:left="17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FINANCIAL DATA BY BUSINESS SEGMENT</w:t>
      </w:r>
    </w:p>
    <w:p>
      <w:pPr>
        <w:spacing w:after="0" w:line="188" w:lineRule="exact"/>
        <w:rPr>
          <w:sz w:val="20"/>
          <w:szCs w:val="20"/>
          <w:color w:val="auto"/>
        </w:rPr>
      </w:pPr>
    </w:p>
    <w:p>
      <w:pPr>
        <w:jc w:val="both"/>
        <w:ind w:left="480" w:right="2599"/>
        <w:spacing w:after="0" w:line="242" w:lineRule="auto"/>
        <w:rPr>
          <w:sz w:val="20"/>
          <w:szCs w:val="20"/>
          <w:color w:val="auto"/>
        </w:rPr>
      </w:pPr>
      <w:r>
        <w:rPr>
          <w:rFonts w:ascii="Courier New" w:cs="Courier New" w:eastAsia="Courier New" w:hAnsi="Courier New"/>
          <w:sz w:val="16"/>
          <w:szCs w:val="16"/>
          <w:color w:val="auto"/>
        </w:rPr>
        <w:t>Our reportable segments consist of our Cable and Content businesses. Beginning in the first quarter of 2004, although they do not meet the quantitative disclosure requirements of SFAS No. 131, "Disclosures About Segments of an Enterprise and Related Information," we have elected to separately disclose our content businesses as a reportable segment. Our content segment consists of our national networks E! Entertainment, Style Network, The Golf Channel, Outdoor Life Network and G4. As a result of this change, we have presented the comparable 2003 Content segment amounts. In evaluating our segments' profitability, the components of net income (loss) below operating income (loss) before depreciation and amortization are not separately evaluated by our management (in millions).</w:t>
      </w:r>
    </w:p>
    <w:p>
      <w:pPr>
        <w:spacing w:after="0" w:line="371"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9"/>
              </w:rPr>
              <w:t>Corporate</w:t>
            </w: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and</w:t>
            </w: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Cable (1)</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Content</w:t>
            </w:r>
          </w:p>
        </w:tc>
        <w:tc>
          <w:tcPr>
            <w:tcW w:w="12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9"/>
              </w:rPr>
              <w:t>Other (2)</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Three Months Ended March 31, 2004</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Revenues (3)..................................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$2,089</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and amortization (4)..........................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750</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410</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261</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275</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Three Months Ended March 31, 2003</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Revenues (3)..................................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$1,881</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and amortization (4)..........................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682</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376</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As of March 31, 2004</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$35,379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$2,067</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$3,245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$40,691</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As of December 31, 2003</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$34,952</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$2,110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$3,340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$40,402</w:t>
            </w:r>
          </w:p>
        </w:tc>
      </w:tr>
    </w:tbl>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left="960" w:right="2599" w:hanging="485"/>
        <w:spacing w:after="0" w:line="259"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regional programming networks Comcast SportsNet, Comcast SportsNet Mid-Atlantic, Comcast SportsNet Chicago, Cable Sports Southeast and CN8-The Comcast Network are included in our cable segment.</w:t>
      </w:r>
    </w:p>
    <w:p>
      <w:pPr>
        <w:jc w:val="both"/>
        <w:ind w:left="960" w:right="2599" w:hanging="485"/>
        <w:spacing w:after="0" w:line="241"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corporate activities, elimination entries and all other businesses not presented in our cable or content segments. Assets included in this caption consist primarily of our investments (see Note 3).</w:t>
      </w:r>
    </w:p>
    <w:p>
      <w:pPr>
        <w:spacing w:after="0" w:line="5" w:lineRule="exact"/>
        <w:rPr>
          <w:rFonts w:ascii="Courier New" w:cs="Courier New" w:eastAsia="Courier New" w:hAnsi="Courier New"/>
          <w:sz w:val="16"/>
          <w:szCs w:val="16"/>
          <w:color w:val="auto"/>
        </w:rPr>
      </w:pPr>
    </w:p>
    <w:p>
      <w:pPr>
        <w:ind w:left="960" w:right="2599" w:hanging="485"/>
        <w:spacing w:after="0" w:line="259"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Non-US revenues were not significant in any period. No single customer accounted for a significant amount of our revenue in any period.</w:t>
      </w:r>
    </w:p>
    <w:p>
      <w:pPr>
        <w:jc w:val="both"/>
        <w:ind w:left="960" w:right="2599" w:hanging="485"/>
        <w:spacing w:after="0" w:line="242"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5" w:right="1440" w:bottom="205" w:gutter="0" w:footer="0" w:header="0"/>
        </w:sectPr>
      </w:pPr>
    </w:p>
    <w:bookmarkStart w:id="12" w:name="page13"/>
    <w:bookmarkEnd w:id="12"/>
    <w:p>
      <w:pPr>
        <w:ind w:left="1722"/>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jc w:val="both"/>
        <w:ind w:left="962" w:right="2599"/>
        <w:spacing w:after="0"/>
        <w:rPr>
          <w:sz w:val="20"/>
          <w:szCs w:val="20"/>
          <w:color w:val="auto"/>
        </w:rPr>
      </w:pPr>
      <w:r>
        <w:rPr>
          <w:rFonts w:ascii="Courier New" w:cs="Courier New" w:eastAsia="Courier New" w:hAnsi="Courier New"/>
          <w:sz w:val="16"/>
          <w:szCs w:val="16"/>
          <w:color w:val="auto"/>
        </w:rPr>
        <w:t>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354" w:lineRule="exact"/>
        <w:rPr>
          <w:sz w:val="20"/>
          <w:szCs w:val="20"/>
          <w:color w:val="auto"/>
        </w:rPr>
      </w:pPr>
    </w:p>
    <w:p>
      <w:pPr>
        <w:ind w:left="482" w:hanging="482"/>
        <w:spacing w:after="0"/>
        <w:tabs>
          <w:tab w:leader="none" w:pos="4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88"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content businesses generate a portion of their revenues through the sale of subscriber services under affiliation agreements with cable subsidiaries of Comcast. These amounts, which are included in service revenues in our consolidated statement of operations, totaled $9 million for each of the three months ended March 31, 2004 and 2003. Amounts related to similar affiliation agreements between our content businesses and our wholly owned subsidiaries are eliminated in our consolidated financial statements.</w:t>
      </w:r>
    </w:p>
    <w:p>
      <w:pPr>
        <w:spacing w:after="0" w:line="188"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entered into management agreements with our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which are included in selling, general and administrative expenses in our consolidated statement of operations, totaled $39 million and $37 million for the three months ended March 31, 2004 and 2003, respectively.</w:t>
      </w:r>
    </w:p>
    <w:p>
      <w:pPr>
        <w:spacing w:after="0" w:line="189"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reimburse Comcast for certain cable-related costs under a cost sharing agreement. These charges, which are included in selling, general and administrative expenses in our consolidated statement of operations, totaled $53 million and $33 million for the three months ended March 31, 2004 and 2003, respectively.</w:t>
      </w:r>
    </w:p>
    <w:p>
      <w:pPr>
        <w:spacing w:after="0" w:line="190"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purchase certain other services from Comcast under cost sharing arrangements on terms that reflect Comcast's actual cost. These charges, which are included in selling, general and administrative expenses in our consolidated statement of operations, totaled $48 million and $38 million for the three months ended March 31, 2004 and 2003, respectively.</w:t>
      </w:r>
    </w:p>
    <w:p>
      <w:pPr>
        <w:spacing w:after="0" w:line="190"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Financial Agency Corporation ("CFAC"), an indirect wholly owned subsidiary of ours, provides cash management services to Comcast and to certain cable subsidiaries of Comcast. Under this arrangement, Comcast's and these subsidiaries' cash receipts are deposited with and held by CFAC, as custodian and agent, which invests and disburses such funds at our direction. Interest income related to this cash was not significant during the 2004 or 2003 interim periods.</w:t>
      </w:r>
    </w:p>
    <w:p>
      <w:pPr>
        <w:spacing w:after="0" w:line="187" w:lineRule="exact"/>
        <w:rPr>
          <w:rFonts w:ascii="Courier New" w:cs="Courier New" w:eastAsia="Courier New" w:hAnsi="Courier New"/>
          <w:sz w:val="16"/>
          <w:szCs w:val="16"/>
          <w:color w:val="auto"/>
        </w:rPr>
      </w:pPr>
    </w:p>
    <w:p>
      <w:pPr>
        <w:jc w:val="both"/>
        <w:ind w:left="482" w:right="259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With the exception of cash payments related to interest and income taxes, we consider all of our transactions with Comcast or its affiliates to be financing transactions, which are presented as net transactions with affiliates in our consolidated statement of cash flows. Our significant financing transactions with Comcast and its affiliates are described below.</w:t>
      </w:r>
    </w:p>
    <w:p>
      <w:pPr>
        <w:spacing w:after="0" w:line="172"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2004 and December 31, 2003, due from affiliates in our consolidated balance sheet primarily consists of amounts due from Comcast and from certain cable subsidiaries of Comcast for advances we made for working capital and capital expenditures in the ordinary course of business.</w:t>
      </w:r>
    </w:p>
    <w:p>
      <w:pPr>
        <w:spacing w:after="0" w:line="190" w:lineRule="exact"/>
        <w:rPr>
          <w:rFonts w:ascii="Courier New" w:cs="Courier New" w:eastAsia="Courier New" w:hAnsi="Courier New"/>
          <w:sz w:val="16"/>
          <w:szCs w:val="16"/>
          <w:color w:val="auto"/>
        </w:rPr>
      </w:pPr>
    </w:p>
    <w:p>
      <w:pPr>
        <w:jc w:val="both"/>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2004 and December 31, 2003, notes receivable from affiliate consists of an aggregate of $3.766 billion and $3.284 billion principal amount, respectively, of notes receivable from Comcast. The notes receivable bear interest at rates ranging from 5.0% to 7.5% and are due between 2012 and 2013. As of March 31, 2004 and December 31, 2003, notes receivable from affiliate includes $32 million and $26 million, respectively, of interest receivable related to the notes.</w:t>
      </w:r>
    </w:p>
    <w:p>
      <w:pPr>
        <w:spacing w:after="0" w:line="187" w:lineRule="exact"/>
        <w:rPr>
          <w:rFonts w:ascii="Courier New" w:cs="Courier New" w:eastAsia="Courier New" w:hAnsi="Courier New"/>
          <w:sz w:val="16"/>
          <w:szCs w:val="16"/>
          <w:color w:val="auto"/>
        </w:rPr>
      </w:pPr>
    </w:p>
    <w:p>
      <w:pPr>
        <w:jc w:val="both"/>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2004 and December 31, 2003, notes payable to affiliates consists of an aggregate of $228 million and $58 million principal amount, respectively, of notes payable to Comcast and certain cable subsidiaries of Comcast. The notes payable bear interest at rates ranging from 5.0% to 7.5% and are due between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8" w:top="665" w:right="1440" w:bottom="388" w:gutter="0" w:footer="0" w:header="0"/>
        </w:sectPr>
      </w:pPr>
    </w:p>
    <w:bookmarkStart w:id="13" w:name="page14"/>
    <w:bookmarkEnd w:id="13"/>
    <w:p>
      <w:pPr>
        <w:ind w:left="12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QUARTER ENDED MARCH 31, 2004</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5"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2012 and 2013. As of March 31, 2004 and December 31, 2003, notes payable to affiliates includes $6 million and $3 million, respectively, of interest payable related to the notes.</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QVC, a discontinued operation, has an affiliation agreement with certain cable subsidiaries of Comcast to carry QVC's programming. In return for carrying QVC programming, QVC pays these Comcast subsidiaries an allocated portion, based upon market share, of a percentage of net sales of merchandise sold to QVC customers located in their service areas. These amounts, which are included in income from discontinued operations in our consolidated statement of operations, totaled $4 million during the three months ended March 31, 2003. Amounts related to a similar affiliation agreement between QVC and our wholly owned subsidiaries, which are included in service revenues and income from discontinued operations in our consolidated statement of operations, totaled $6 million during the three months ended March 31,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39"/>
          </w:cols>
          <w:pgMar w:left="720" w:top="664" w:right="1440" w:bottom="1440" w:gutter="0" w:footer="0" w:header="0"/>
        </w:sectPr>
      </w:pPr>
    </w:p>
    <w:bookmarkStart w:id="14" w:name="page15"/>
    <w:bookmarkEnd w:id="14"/>
    <w:p>
      <w:pPr>
        <w:ind w:left="17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QUARTER ENDED MARCH 31, 2004</w:t>
      </w:r>
    </w:p>
    <w:p>
      <w:pPr>
        <w:spacing w:after="0" w:line="372" w:lineRule="exact"/>
        <w:rPr>
          <w:sz w:val="20"/>
          <w:szCs w:val="20"/>
          <w:color w:val="auto"/>
        </w:rPr>
      </w:pPr>
    </w:p>
    <w:p>
      <w:pPr>
        <w:ind w:left="760" w:right="2679" w:hanging="762"/>
        <w:spacing w:after="0" w:line="239"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373"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Information for this item is omitted pursuant to SEC General Instruction H to Form 10-Q, except as noted below.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We are an indirect wholly owned subsidiary of Comcast Corporation ("Comcast"). We are principally involved in the management and operation of broadband communications networks (our cable segment) and in the management of programming content over cable and satellite television networks (our content segment). During the first quarter of 2004, we received over 87%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91"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Developments</w:t>
      </w:r>
    </w:p>
    <w:p>
      <w:pPr>
        <w:spacing w:after="0" w:line="188"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There were no significant acquisitions or events since those reported in our December 31, 2003 Annual Report on Form 10-K.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Continuing Operations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Revenues</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Consolidated revenues for the first quarter of 2004 increased $208 million from the same quarter in 2003. Of this increase, $174 million relates to our cable segment, which is discussed separately below. The remaining increase is primarily the result of our content segment, which achieved combined revenue growth of 21.7% during the first quarter of 2004 compared to the same quarter in 2003. This increase in our content segment was the result of increases in distribution revenues and in advertising revenue.</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88"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Consolidated operating, selling, general and administrative expenses for the first quarter of 2004 increased $140 million from the same quarter in 2003. Of this increase, $110 million relates to our cable segment, which is discussed separately below. The remaining increase is primarily the result of increases in corporate expenses.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Depreciation</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Depreciation expense increased $29 million for the first quarter of 2004 compared to the same quarter in 2003, primarily relating to our cable segment. This increase is principally due to our recent capital expenditures.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Amortization</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Amortization expense increased $1 million for the first quarter of 2004 compared to the same quarter in 2003, remaining stable primarily due to a reduction in acquisition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48" w:right="1440" w:bottom="1440" w:gutter="0" w:footer="0" w:header="0"/>
        </w:sectPr>
      </w:pPr>
    </w:p>
    <w:bookmarkStart w:id="15" w:name="page16"/>
    <w:bookmarkEnd w:id="15"/>
    <w:p>
      <w:pPr>
        <w:spacing w:after="0" w:line="3" w:lineRule="exact"/>
        <w:rPr>
          <w:sz w:val="20"/>
          <w:szCs w:val="20"/>
          <w:color w:val="auto"/>
        </w:rPr>
      </w:pPr>
    </w:p>
    <w:p>
      <w:pPr>
        <w:jc w:val="center"/>
        <w:ind w:right="75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jc w:val="center"/>
        <w:ind w:right="758"/>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060" w:type="dxa"/>
            <w:vAlign w:val="bottom"/>
          </w:tcPr>
          <w:p>
            <w:pPr>
              <w:ind w:left="2480"/>
              <w:spacing w:after="0"/>
              <w:rPr>
                <w:sz w:val="20"/>
                <w:szCs w:val="20"/>
                <w:color w:val="auto"/>
              </w:rPr>
            </w:pPr>
            <w:r>
              <w:rPr>
                <w:rFonts w:ascii="Courier New" w:cs="Courier New" w:eastAsia="Courier New" w:hAnsi="Courier New"/>
                <w:sz w:val="16"/>
                <w:szCs w:val="16"/>
                <w:color w:val="auto"/>
              </w:rPr>
              <w:t>QUARTER ENDED MARCH 31, 2004</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50"/>
        </w:trPr>
        <w:tc>
          <w:tcPr>
            <w:tcW w:w="6060" w:type="dxa"/>
            <w:vAlign w:val="bottom"/>
          </w:tcPr>
          <w:p>
            <w:pPr>
              <w:spacing w:after="0"/>
              <w:rPr>
                <w:sz w:val="20"/>
                <w:szCs w:val="20"/>
                <w:color w:val="auto"/>
              </w:rPr>
            </w:pPr>
            <w:r>
              <w:rPr>
                <w:rFonts w:ascii="Courier New" w:cs="Courier New" w:eastAsia="Courier New" w:hAnsi="Courier New"/>
                <w:sz w:val="16"/>
                <w:szCs w:val="16"/>
                <w:color w:val="auto"/>
              </w:rPr>
              <w:t>Cable Segment Operating Results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7"/>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The following table presents our cable segment  operating</w:t>
            </w:r>
          </w:p>
        </w:tc>
        <w:tc>
          <w:tcPr>
            <w:tcW w:w="24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results (dollars</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34"/>
        </w:trPr>
        <w:tc>
          <w:tcPr>
            <w:tcW w:w="6060" w:type="dxa"/>
            <w:vAlign w:val="bottom"/>
          </w:tcPr>
          <w:p>
            <w:pPr>
              <w:spacing w:after="0"/>
              <w:rPr>
                <w:sz w:val="24"/>
                <w:szCs w:val="24"/>
                <w:color w:val="auto"/>
              </w:rPr>
            </w:pPr>
          </w:p>
        </w:tc>
        <w:tc>
          <w:tcPr>
            <w:tcW w:w="2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060" w:type="dxa"/>
            <w:vAlign w:val="bottom"/>
          </w:tcPr>
          <w:p>
            <w:pPr>
              <w:spacing w:after="0"/>
              <w:rPr>
                <w:sz w:val="15"/>
                <w:szCs w:val="15"/>
                <w:color w:val="auto"/>
              </w:rPr>
            </w:pPr>
          </w:p>
        </w:tc>
        <w:tc>
          <w:tcPr>
            <w:tcW w:w="24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6060" w:type="dxa"/>
            <w:vAlign w:val="bottom"/>
          </w:tcPr>
          <w:p>
            <w:pPr>
              <w:spacing w:after="0"/>
              <w:rPr>
                <w:sz w:val="15"/>
                <w:szCs w:val="15"/>
                <w:color w:val="auto"/>
              </w:rPr>
            </w:pP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60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Video.......................................................</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$1,300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$1,230</w:t>
            </w:r>
          </w:p>
        </w:tc>
      </w:tr>
      <w:tr>
        <w:trPr>
          <w:trHeight w:val="183"/>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High-speed Internet.........................................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204</w:t>
            </w:r>
          </w:p>
        </w:tc>
      </w:tr>
      <w:tr>
        <w:trPr>
          <w:trHeight w:val="183"/>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Advertising sales...........................................</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w:t>
            </w:r>
          </w:p>
        </w:tc>
      </w:tr>
      <w:tr>
        <w:trPr>
          <w:trHeight w:val="183"/>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w:t>
            </w:r>
          </w:p>
        </w:tc>
      </w:tr>
      <w:tr>
        <w:trPr>
          <w:trHeight w:val="183"/>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Franchise fees..............................................</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w:t>
            </w:r>
          </w:p>
        </w:tc>
      </w:tr>
      <w:tr>
        <w:trPr>
          <w:trHeight w:val="183"/>
        </w:trPr>
        <w:tc>
          <w:tcPr>
            <w:tcW w:w="60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60" w:type="dxa"/>
            <w:vAlign w:val="bottom"/>
          </w:tcPr>
          <w:p>
            <w:pPr>
              <w:ind w:left="660"/>
              <w:spacing w:after="0"/>
              <w:rPr>
                <w:sz w:val="20"/>
                <w:szCs w:val="20"/>
                <w:color w:val="auto"/>
              </w:rPr>
            </w:pPr>
            <w:r>
              <w:rPr>
                <w:rFonts w:ascii="Courier New" w:cs="Courier New" w:eastAsia="Courier New" w:hAnsi="Courier New"/>
                <w:sz w:val="16"/>
                <w:szCs w:val="16"/>
                <w:color w:val="auto"/>
              </w:rPr>
              <w:t>Revenues................................................</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1,819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1,645</w:t>
            </w:r>
          </w:p>
        </w:tc>
      </w:tr>
      <w:tr>
        <w:trPr>
          <w:trHeight w:val="183"/>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1,080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970</w:t>
            </w:r>
          </w:p>
        </w:tc>
      </w:tr>
      <w:tr>
        <w:trPr>
          <w:trHeight w:val="183"/>
        </w:trPr>
        <w:tc>
          <w:tcPr>
            <w:tcW w:w="60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Operating income before depreciation</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6060" w:type="dxa"/>
            <w:vAlign w:val="bottom"/>
          </w:tcPr>
          <w:p>
            <w:pPr>
              <w:ind w:left="660"/>
              <w:spacing w:after="0"/>
              <w:rPr>
                <w:sz w:val="20"/>
                <w:szCs w:val="20"/>
                <w:color w:val="auto"/>
              </w:rPr>
            </w:pPr>
            <w:r>
              <w:rPr>
                <w:rFonts w:ascii="Courier New" w:cs="Courier New" w:eastAsia="Courier New" w:hAnsi="Courier New"/>
                <w:sz w:val="16"/>
                <w:szCs w:val="16"/>
                <w:color w:val="auto"/>
              </w:rPr>
              <w:t>and amortization (a)....................................</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$675</w:t>
            </w:r>
          </w:p>
        </w:tc>
      </w:tr>
      <w:tr>
        <w:trPr>
          <w:trHeight w:val="183"/>
        </w:trPr>
        <w:tc>
          <w:tcPr>
            <w:tcW w:w="60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188" w:lineRule="exact"/>
        <w:rPr>
          <w:sz w:val="20"/>
          <w:szCs w:val="20"/>
          <w:color w:val="auto"/>
        </w:rPr>
      </w:pPr>
    </w:p>
    <w:p>
      <w:pPr>
        <w:jc w:val="both"/>
        <w:ind w:left="482" w:right="860" w:hanging="482"/>
        <w:spacing w:after="0" w:line="242" w:lineRule="auto"/>
        <w:tabs>
          <w:tab w:leader="none" w:pos="4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Revenues</w:t>
      </w:r>
    </w:p>
    <w:p>
      <w:pPr>
        <w:spacing w:after="0" w:line="188" w:lineRule="exact"/>
        <w:rPr>
          <w:sz w:val="20"/>
          <w:szCs w:val="20"/>
          <w:color w:val="auto"/>
        </w:rPr>
      </w:pPr>
    </w:p>
    <w:p>
      <w:pPr>
        <w:jc w:val="both"/>
        <w:ind w:left="2" w:right="860" w:firstLine="477"/>
        <w:spacing w:after="0" w:line="242" w:lineRule="auto"/>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cable services. The increase in video revenue for the interim period from 2003 to 2004 is primarily due to the effects of rate increases in our traditional video service and growth in digital subscribers. From March 31, 2003 to March 31, 2004, we added approximately 432,000 digital subscribers, or an 18.6% increase in digital subscribers. We expect continued growth in our video services revenue.</w:t>
      </w:r>
    </w:p>
    <w:p>
      <w:pPr>
        <w:spacing w:after="0" w:line="188" w:lineRule="exact"/>
        <w:rPr>
          <w:sz w:val="20"/>
          <w:szCs w:val="20"/>
          <w:color w:val="auto"/>
        </w:rPr>
      </w:pPr>
    </w:p>
    <w:p>
      <w:pPr>
        <w:jc w:val="both"/>
        <w:ind w:left="2" w:right="860" w:firstLine="477"/>
        <w:spacing w:after="0" w:line="242" w:lineRule="auto"/>
        <w:rPr>
          <w:sz w:val="20"/>
          <w:szCs w:val="20"/>
          <w:color w:val="auto"/>
        </w:rPr>
      </w:pPr>
      <w:r>
        <w:rPr>
          <w:rFonts w:ascii="Courier New" w:cs="Courier New" w:eastAsia="Courier New" w:hAnsi="Courier New"/>
          <w:sz w:val="16"/>
          <w:szCs w:val="16"/>
          <w:color w:val="auto"/>
        </w:rPr>
        <w:t>The increase in high-speed Internet revenue for the interim period from 2003 to 2004 is primarily due to the addition of approximately 651,000 high-speed Internet subscribers from March 31, 2003 to March 31, 2004, or a 37.9% increase in high-speed Internet subscribers. We expect continued high-speed Internet revenue growth as overall demand for our services continues to increase.</w:t>
      </w:r>
    </w:p>
    <w:p>
      <w:pPr>
        <w:spacing w:after="0" w:line="187" w:lineRule="exact"/>
        <w:rPr>
          <w:sz w:val="20"/>
          <w:szCs w:val="20"/>
          <w:color w:val="auto"/>
        </w:rPr>
      </w:pPr>
    </w:p>
    <w:p>
      <w:pPr>
        <w:jc w:val="both"/>
        <w:ind w:left="2" w:right="860" w:firstLine="477"/>
        <w:spacing w:after="0" w:line="241" w:lineRule="auto"/>
        <w:rPr>
          <w:sz w:val="20"/>
          <w:szCs w:val="20"/>
          <w:color w:val="auto"/>
        </w:rPr>
      </w:pPr>
      <w:r>
        <w:rPr>
          <w:rFonts w:ascii="Courier New" w:cs="Courier New" w:eastAsia="Courier New" w:hAnsi="Courier New"/>
          <w:sz w:val="16"/>
          <w:szCs w:val="16"/>
          <w:color w:val="auto"/>
        </w:rPr>
        <w:t>The increase in advertising sales revenue for the interim period from 2003 to 2004 is primarily due to the effects of growth in regional/national advertising as a result of the continuing success of our regional interconnects and a stronger local advertising market.</w:t>
      </w:r>
    </w:p>
    <w:p>
      <w:pPr>
        <w:spacing w:after="0" w:line="189" w:lineRule="exact"/>
        <w:rPr>
          <w:sz w:val="20"/>
          <w:szCs w:val="20"/>
          <w:color w:val="auto"/>
        </w:rPr>
      </w:pPr>
    </w:p>
    <w:p>
      <w:pPr>
        <w:jc w:val="both"/>
        <w:ind w:left="2" w:right="860" w:firstLine="477"/>
        <w:spacing w:after="0" w:line="241" w:lineRule="auto"/>
        <w:rPr>
          <w:sz w:val="20"/>
          <w:szCs w:val="20"/>
          <w:color w:val="auto"/>
        </w:rPr>
      </w:pPr>
      <w:r>
        <w:rPr>
          <w:rFonts w:ascii="Courier New" w:cs="Courier New" w:eastAsia="Courier New" w:hAnsi="Courier New"/>
          <w:sz w:val="16"/>
          <w:szCs w:val="16"/>
          <w:color w:val="auto"/>
        </w:rPr>
        <w:t>Other revenue includes installation revenues, guide revenues, commissions from electronic retailing, revenue from our regional programming networks, commercial data revenue, revenue from other product offerings and phone revenues.</w:t>
      </w:r>
    </w:p>
    <w:p>
      <w:pPr>
        <w:spacing w:after="0" w:line="189" w:lineRule="exact"/>
        <w:rPr>
          <w:sz w:val="20"/>
          <w:szCs w:val="20"/>
          <w:color w:val="auto"/>
        </w:rPr>
      </w:pPr>
    </w:p>
    <w:p>
      <w:pPr>
        <w:jc w:val="both"/>
        <w:ind w:left="2" w:right="860" w:firstLine="477"/>
        <w:spacing w:after="0" w:line="271" w:lineRule="auto"/>
        <w:rPr>
          <w:sz w:val="20"/>
          <w:szCs w:val="20"/>
          <w:color w:val="auto"/>
        </w:rPr>
      </w:pPr>
      <w:r>
        <w:rPr>
          <w:rFonts w:ascii="Courier New" w:cs="Courier New" w:eastAsia="Courier New" w:hAnsi="Courier New"/>
          <w:sz w:val="15"/>
          <w:szCs w:val="15"/>
          <w:color w:val="auto"/>
        </w:rPr>
        <w:t>The increase in franchise fees collected from our cable subscribers for the interim period from 2003 to 2004 is primarily attributable to the increase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Increase</w:t>
      </w:r>
    </w:p>
    <w:p>
      <w:pPr>
        <w:spacing w:after="0" w:line="2" w:lineRule="exact"/>
        <w:rPr>
          <w:sz w:val="20"/>
          <w:szCs w:val="20"/>
          <w:color w:val="auto"/>
        </w:rPr>
      </w:pPr>
    </w:p>
    <w:p>
      <w:pPr>
        <w:ind w:left="1520" w:hanging="1147"/>
        <w:spacing w:after="0"/>
        <w:tabs>
          <w:tab w:leader="none" w:pos="1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6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$70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3"/>
        </w:trPr>
        <w:tc>
          <w:tcPr>
            <w:tcW w:w="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40.7</w:t>
            </w:r>
          </w:p>
        </w:tc>
      </w:tr>
      <w:tr>
        <w:trPr>
          <w:trHeight w:val="183"/>
        </w:trPr>
        <w:tc>
          <w:tcPr>
            <w:tcW w:w="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w:t>
            </w:r>
          </w:p>
        </w:tc>
      </w:tr>
    </w:tbl>
    <w:p>
      <w:pPr>
        <w:spacing w:after="0" w:line="2" w:lineRule="exact"/>
        <w:rPr>
          <w:sz w:val="20"/>
          <w:szCs w:val="20"/>
          <w:color w:val="auto"/>
        </w:rPr>
      </w:pPr>
    </w:p>
    <w:p>
      <w:pPr>
        <w:ind w:left="1700" w:hanging="945"/>
        <w:spacing w:after="0"/>
        <w:tabs>
          <w:tab w:leader="none" w:pos="1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w:t>
      </w:r>
    </w:p>
    <w:p>
      <w:pPr>
        <w:spacing w:after="0" w:line="2"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59.8</w:t>
      </w:r>
    </w:p>
    <w:p>
      <w:pPr>
        <w:spacing w:after="0" w:line="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620" w:hanging="1056"/>
        <w:spacing w:after="0"/>
        <w:tabs>
          <w:tab w:leader="none" w:pos="16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10.6</w:t>
      </w:r>
    </w:p>
    <w:p>
      <w:pPr>
        <w:spacing w:after="0" w:line="2" w:lineRule="exact"/>
        <w:rPr>
          <w:rFonts w:ascii="Courier New" w:cs="Courier New" w:eastAsia="Courier New" w:hAnsi="Courier New"/>
          <w:sz w:val="16"/>
          <w:szCs w:val="16"/>
          <w:color w:val="auto"/>
        </w:rPr>
      </w:pPr>
    </w:p>
    <w:p>
      <w:pPr>
        <w:ind w:left="1620" w:hanging="1056"/>
        <w:spacing w:after="0"/>
        <w:tabs>
          <w:tab w:leader="none" w:pos="16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11.3</w:t>
      </w:r>
    </w:p>
    <w:p>
      <w:pPr>
        <w:spacing w:after="0" w:line="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jc w:val="right"/>
        <w:spacing w:after="0"/>
        <w:tabs>
          <w:tab w:leader="none" w:pos="38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9.5%</w:t>
      </w:r>
    </w:p>
    <w:p>
      <w:pPr>
        <w:spacing w:after="0" w:line="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w:t>
        <w:tab/>
        <w:t>==========</w:t>
      </w:r>
    </w:p>
    <w:p>
      <w:pPr>
        <w:sectPr>
          <w:pgSz w:w="11900" w:h="16841" w:orient="portrait"/>
          <w:cols w:equalWidth="0" w:num="2">
            <w:col w:w="8482" w:space="300"/>
            <w:col w:w="2100"/>
          </w:cols>
          <w:pgMar w:left="238" w:top="665" w:right="779"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our revenues upon which the fees apply.</w:t>
      </w:r>
    </w:p>
    <w:p>
      <w:pPr>
        <w:spacing w:after="0" w:line="200" w:lineRule="exact"/>
        <w:rPr>
          <w:sz w:val="20"/>
          <w:szCs w:val="20"/>
          <w:color w:val="auto"/>
        </w:rPr>
      </w:pPr>
    </w:p>
    <w:p>
      <w:pPr>
        <w:spacing w:after="0" w:line="352"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39" w:right="1440" w:bottom="1440" w:gutter="0" w:footer="0" w:header="0"/>
        </w:sectPr>
      </w:pPr>
    </w:p>
    <w:bookmarkStart w:id="17" w:name="page18"/>
    <w:bookmarkEnd w:id="17"/>
    <w:p>
      <w:pPr>
        <w:ind w:left="17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QUARTER ENDED MARCH 31, 2004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w:t>
      </w:r>
    </w:p>
    <w:p>
      <w:pPr>
        <w:spacing w:after="0" w:line="188"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Total operating, selling, general and administrative expenses increased for the interim period from 2003 to 2004 primarily as a result of increases in the costs of cable programming, increases in labor and other volume related expenses associated with the growth in our high-speed Internet and digital cable services and an increase in management fees.</w:t>
      </w:r>
    </w:p>
    <w:p>
      <w:pPr>
        <w:spacing w:after="0" w:line="18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Income (Expense) Items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The change in interest expense for the interim period from 2003 to 2004 is due to our decreased amount of debt outstanding as a result of our debt reduction during 2003.</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Income (Expense) on Affiliate Notes, Net</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The change in interest income (expense) on affiliate notes, net for the interim period from 2003 to 2004 is due to an increase in our notes receivable from affiliate during 2003.</w:t>
      </w:r>
    </w:p>
    <w:p>
      <w:pPr>
        <w:spacing w:after="0" w:line="3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Loss, Net</w:t>
      </w:r>
    </w:p>
    <w:p>
      <w:pPr>
        <w:spacing w:after="0" w:line="186" w:lineRule="exact"/>
        <w:rPr>
          <w:sz w:val="20"/>
          <w:szCs w:val="20"/>
          <w:color w:val="auto"/>
        </w:rPr>
      </w:pPr>
    </w:p>
    <w:p>
      <w:pPr>
        <w:ind w:left="480"/>
        <w:spacing w:after="0"/>
        <w:tabs>
          <w:tab w:leader="none" w:pos="1600" w:val="left"/>
          <w:tab w:leader="none" w:pos="2260" w:val="left"/>
          <w:tab w:leader="none" w:pos="4260" w:val="left"/>
          <w:tab w:leader="none" w:pos="5120" w:val="left"/>
        </w:tabs>
        <w:rPr>
          <w:sz w:val="20"/>
          <w:szCs w:val="20"/>
          <w:color w:val="auto"/>
        </w:rPr>
      </w:pPr>
      <w:r>
        <w:rPr>
          <w:rFonts w:ascii="Courier New" w:cs="Courier New" w:eastAsia="Courier New" w:hAnsi="Courier New"/>
          <w:sz w:val="16"/>
          <w:szCs w:val="16"/>
          <w:color w:val="auto"/>
        </w:rPr>
        <w:t>Investment</w:t>
        <w:tab/>
        <w:t>loss,</w:t>
        <w:tab/>
        <w:t>net for the interim</w:t>
        <w:tab/>
        <w:t>periods</w:t>
      </w:r>
      <w:r>
        <w:rPr>
          <w:sz w:val="20"/>
          <w:szCs w:val="20"/>
          <w:color w:val="auto"/>
        </w:rPr>
        <w:tab/>
      </w:r>
      <w:r>
        <w:rPr>
          <w:rFonts w:ascii="Courier New" w:cs="Courier New" w:eastAsia="Courier New" w:hAnsi="Courier New"/>
          <w:sz w:val="15"/>
          <w:szCs w:val="15"/>
          <w:color w:val="auto"/>
        </w:rPr>
        <w:t>includes the following (in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millions):</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4"/>
        </w:trPr>
        <w:tc>
          <w:tcPr>
            <w:tcW w:w="6060" w:type="dxa"/>
            <w:vAlign w:val="bottom"/>
          </w:tcPr>
          <w:p>
            <w:pPr>
              <w:spacing w:after="0"/>
              <w:rPr>
                <w:sz w:val="24"/>
                <w:szCs w:val="24"/>
                <w:color w:val="auto"/>
              </w:rPr>
            </w:pP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060" w:type="dxa"/>
            <w:vAlign w:val="bottom"/>
          </w:tcPr>
          <w:p>
            <w:pPr>
              <w:spacing w:after="0"/>
              <w:rPr>
                <w:sz w:val="15"/>
                <w:szCs w:val="15"/>
                <w:color w:val="auto"/>
              </w:rPr>
            </w:pPr>
          </w:p>
        </w:tc>
        <w:tc>
          <w:tcPr>
            <w:tcW w:w="2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60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2004</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6060" w:type="dxa"/>
            <w:vAlign w:val="bottom"/>
          </w:tcPr>
          <w:p>
            <w:pPr>
              <w:spacing w:after="0"/>
              <w:rPr>
                <w:sz w:val="15"/>
                <w:szCs w:val="15"/>
                <w:color w:val="auto"/>
              </w:rPr>
            </w:pP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and dividend income (expense)........................</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Gains on sales and exchanges of investments, net..............</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Investment impairment losses..................................</w:t>
            </w:r>
          </w:p>
        </w:tc>
        <w:tc>
          <w:tcPr>
            <w:tcW w:w="1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trading securities..............</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related to trading securities............................</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 hedged items....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3"/>
        </w:trPr>
        <w:tc>
          <w:tcPr>
            <w:tcW w:w="6060" w:type="dxa"/>
            <w:vAlign w:val="bottom"/>
          </w:tcPr>
          <w:p>
            <w:pPr>
              <w:spacing w:after="0"/>
              <w:rPr>
                <w:sz w:val="15"/>
                <w:szCs w:val="15"/>
                <w:color w:val="auto"/>
              </w:rPr>
            </w:pP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Investment loss, net....................................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6060" w:type="dxa"/>
            <w:vAlign w:val="bottom"/>
          </w:tcPr>
          <w:p>
            <w:pPr>
              <w:spacing w:after="0"/>
              <w:rPr>
                <w:sz w:val="15"/>
                <w:szCs w:val="15"/>
                <w:color w:val="auto"/>
              </w:rPr>
            </w:pP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We have entered into derivative financial instruments that we account for at fair value and which economically hedge the market price fluctuations in the common stock of certain of our investments accounted for as trading securities. Investment loss, net includes the fair value adjustments related to our trading securities and derivative financial instruments. The change in the fair value of our investments accounted for as trading securities, with the exception in 2004 of the mark to market adjustment on approximately 116 million shares of our Liberty common shares discussed below, was substantially offset by the changes in the fair value of the related derivatives.</w:t>
      </w:r>
    </w:p>
    <w:p>
      <w:pPr>
        <w:spacing w:after="0" w:line="189"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We are exposed to changes in the fair value of approximately 116 million shares of Liberty common stock we hold and account for as a trading security as we have not entered into a corresponding derivative to hedge this market exposure. Accordingly, our investment income (loss) is affected by fluctuations in the fair value of the Liberty common stock. Investment loss, net for the first quarter of 2004 includes a loss of $110 million related to this financial instrument.</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Expense</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The change in income tax expense for the interim period from 2003 to 2004 is primarily the result of the effects of changes in our income before taxes and minority interest.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The change in minority interest for the interim period from 2003 to 2004 is attributable to the effects of changes in the net income or loss of our less than wholly owned consolidated subsidiaries.</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5" w:right="1440" w:bottom="0" w:gutter="0" w:footer="0" w:header="0"/>
        </w:sectPr>
      </w:pPr>
    </w:p>
    <w:bookmarkStart w:id="18" w:name="page19"/>
    <w:bookmarkEnd w:id="18"/>
    <w:p>
      <w:pPr>
        <w:ind w:left="17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QUARTER ENDED MARCH 31, 2004</w:t>
      </w:r>
    </w:p>
    <w:p>
      <w:pPr>
        <w:spacing w:after="0" w:line="369"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8" w:lineRule="exact"/>
        <w:rPr>
          <w:sz w:val="20"/>
          <w:szCs w:val="20"/>
          <w:color w:val="auto"/>
        </w:rPr>
      </w:pPr>
    </w:p>
    <w:p>
      <w:pPr>
        <w:jc w:val="both"/>
        <w:ind w:left="660" w:right="2599"/>
        <w:spacing w:after="0" w:line="239" w:lineRule="auto"/>
        <w:rPr>
          <w:sz w:val="20"/>
          <w:szCs w:val="20"/>
          <w:color w:val="auto"/>
        </w:rPr>
      </w:pPr>
      <w:r>
        <w:rPr>
          <w:rFonts w:ascii="Courier New" w:cs="Courier New" w:eastAsia="Courier New" w:hAnsi="Courier New"/>
          <w:sz w:val="16"/>
          <w:szCs w:val="16"/>
          <w:color w:val="auto"/>
        </w:rPr>
        <w:t>There have been no significant changes to the information required under this Item from what was disclosed in our 2003 Form 10-K.</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CONTROLS AND PROCEDURES</w:t>
      </w:r>
    </w:p>
    <w:p>
      <w:pPr>
        <w:spacing w:after="0" w:line="188" w:lineRule="exact"/>
        <w:rPr>
          <w:sz w:val="20"/>
          <w:szCs w:val="20"/>
          <w:color w:val="auto"/>
        </w:rPr>
      </w:pPr>
    </w:p>
    <w:p>
      <w:pPr>
        <w:jc w:val="both"/>
        <w:ind w:left="660" w:right="2599"/>
        <w:spacing w:after="0" w:line="260" w:lineRule="auto"/>
        <w:rPr>
          <w:sz w:val="20"/>
          <w:szCs w:val="20"/>
          <w:color w:val="auto"/>
        </w:rPr>
      </w:pPr>
      <w:r>
        <w:rPr>
          <w:rFonts w:ascii="Courier New" w:cs="Courier New" w:eastAsia="Courier New" w:hAnsi="Courier New"/>
          <w:sz w:val="15"/>
          <w:szCs w:val="15"/>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77" w:lineRule="exact"/>
        <w:rPr>
          <w:sz w:val="20"/>
          <w:szCs w:val="20"/>
          <w:color w:val="auto"/>
        </w:rPr>
      </w:pPr>
    </w:p>
    <w:p>
      <w:pPr>
        <w:jc w:val="both"/>
        <w:ind w:left="660" w:right="2599"/>
        <w:spacing w:after="0" w:line="242" w:lineRule="auto"/>
        <w:rPr>
          <w:sz w:val="20"/>
          <w:szCs w:val="20"/>
          <w:color w:val="auto"/>
        </w:rPr>
      </w:pPr>
      <w:r>
        <w:rPr>
          <w:rFonts w:ascii="Courier New" w:cs="Courier New" w:eastAsia="Courier New" w:hAnsi="Courier New"/>
          <w:sz w:val="16"/>
          <w:szCs w:val="16"/>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8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8" w:lineRule="exact"/>
        <w:rPr>
          <w:sz w:val="20"/>
          <w:szCs w:val="20"/>
          <w:color w:val="auto"/>
        </w:rPr>
      </w:pPr>
    </w:p>
    <w:p>
      <w:pPr>
        <w:jc w:val="both"/>
        <w:ind w:left="660" w:right="2599"/>
        <w:spacing w:after="0"/>
        <w:rPr>
          <w:sz w:val="20"/>
          <w:szCs w:val="20"/>
          <w:color w:val="auto"/>
        </w:rPr>
      </w:pPr>
      <w:r>
        <w:rPr>
          <w:rFonts w:ascii="Courier New" w:cs="Courier New" w:eastAsia="Courier New" w:hAnsi="Courier New"/>
          <w:sz w:val="16"/>
          <w:szCs w:val="16"/>
          <w:color w:val="auto"/>
        </w:rPr>
        <w:t>Refer to Note 7 to our condensed financial statements included in Item 1 of this Quarterly Report on Form 10-Q for a discussion of recent developments related to our legal proceedings.</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Exhibits required to be filed by Item 601 of Regulation S-K:</w:t>
      </w:r>
    </w:p>
    <w:p>
      <w:pPr>
        <w:spacing w:after="0" w:line="188" w:lineRule="exact"/>
        <w:rPr>
          <w:sz w:val="20"/>
          <w:szCs w:val="20"/>
          <w:color w:val="auto"/>
        </w:rPr>
      </w:pPr>
    </w:p>
    <w:p>
      <w:pPr>
        <w:ind w:left="1420" w:right="2679" w:hanging="468"/>
        <w:spacing w:after="0"/>
        <w:tabs>
          <w:tab w:leader="none" w:pos="14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Certifications of Chief Executive Officer and Co-Chief Financial Officers pursuant to Section 302 of the Sarbanes-Oxley Act of 2002.</w:t>
      </w:r>
    </w:p>
    <w:p>
      <w:pPr>
        <w:spacing w:after="0" w:line="189" w:lineRule="exact"/>
        <w:rPr>
          <w:rFonts w:ascii="Courier New" w:cs="Courier New" w:eastAsia="Courier New" w:hAnsi="Courier New"/>
          <w:sz w:val="16"/>
          <w:szCs w:val="16"/>
          <w:color w:val="auto"/>
        </w:rPr>
      </w:pPr>
    </w:p>
    <w:p>
      <w:pPr>
        <w:ind w:left="1420" w:right="2779" w:hanging="468"/>
        <w:spacing w:after="0"/>
        <w:tabs>
          <w:tab w:leader="none" w:pos="14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of Chief Executive Officer and Co-Chief Financial Officers pursuant to Section 906 of the Sarbanes-Oxley Act of 2002.</w:t>
      </w:r>
    </w:p>
    <w:p>
      <w:pPr>
        <w:spacing w:after="0" w:line="189" w:lineRule="exact"/>
        <w:rPr>
          <w:rFonts w:ascii="Courier New" w:cs="Courier New" w:eastAsia="Courier New" w:hAnsi="Courier New"/>
          <w:sz w:val="16"/>
          <w:szCs w:val="16"/>
          <w:color w:val="auto"/>
        </w:rPr>
      </w:pPr>
    </w:p>
    <w:p>
      <w:pPr>
        <w:ind w:left="860" w:right="7459" w:hanging="385"/>
        <w:spacing w:after="0" w:line="481"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5" w:right="1440" w:bottom="1440" w:gutter="0" w:footer="0" w:header="0"/>
        </w:sectPr>
      </w:pPr>
    </w:p>
    <w:bookmarkStart w:id="19" w:name="page20"/>
    <w:bookmarkEnd w:id="19"/>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COMCAST HOLDINGS CORPORATION</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 LAWRENCE J. SALVA</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Lawrence J. Salva</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Senior Vice President and Controller</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(Principal Accounting Officer)</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Date: May 14,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48"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left="6582"/>
        <w:spacing w:after="0"/>
        <w:rPr>
          <w:sz w:val="20"/>
          <w:szCs w:val="20"/>
          <w:color w:val="auto"/>
        </w:rPr>
      </w:pPr>
      <w:r>
        <w:rPr>
          <w:rFonts w:ascii="Courier New" w:cs="Courier New" w:eastAsia="Courier New" w:hAnsi="Courier New"/>
          <w:sz w:val="16"/>
          <w:szCs w:val="16"/>
          <w:color w:val="auto"/>
        </w:rPr>
        <w:t>Exhibit 31</w:t>
      </w:r>
    </w:p>
    <w:p>
      <w:pPr>
        <w:spacing w:after="0" w:line="186"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CERTIFICATIONS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 Brian L. Roberts, certify that:</w:t>
      </w:r>
    </w:p>
    <w:p>
      <w:pPr>
        <w:spacing w:after="0" w:line="188" w:lineRule="exact"/>
        <w:rPr>
          <w:sz w:val="20"/>
          <w:szCs w:val="20"/>
          <w:color w:val="auto"/>
        </w:rPr>
      </w:pPr>
    </w:p>
    <w:p>
      <w:pPr>
        <w:ind w:left="482" w:right="3059" w:hanging="482"/>
        <w:spacing w:after="0" w:line="239" w:lineRule="auto"/>
        <w:tabs>
          <w:tab w:leader="none" w:pos="48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9"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2" w:right="2599" w:hanging="482"/>
        <w:spacing w:after="0" w:line="265" w:lineRule="auto"/>
        <w:tabs>
          <w:tab w:leader="none" w:pos="4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Courier New" w:cs="Courier New" w:eastAsia="Courier New" w:hAnsi="Courier New"/>
          <w:sz w:val="15"/>
          <w:szCs w:val="15"/>
          <w:color w:val="auto"/>
        </w:rPr>
      </w:pPr>
    </w:p>
    <w:p>
      <w:pPr>
        <w:ind w:left="862" w:right="2779" w:hanging="385"/>
        <w:spacing w:after="0" w:line="242" w:lineRule="auto"/>
        <w:tabs>
          <w:tab w:leader="none" w:pos="86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88" w:lineRule="exact"/>
        <w:rPr>
          <w:rFonts w:ascii="Courier New" w:cs="Courier New" w:eastAsia="Courier New" w:hAnsi="Courier New"/>
          <w:sz w:val="16"/>
          <w:szCs w:val="16"/>
          <w:color w:val="auto"/>
        </w:rPr>
      </w:pPr>
    </w:p>
    <w:p>
      <w:pPr>
        <w:ind w:left="862" w:right="2599" w:hanging="385"/>
        <w:spacing w:after="0" w:line="241" w:lineRule="auto"/>
        <w:tabs>
          <w:tab w:leader="none" w:pos="86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2" w:right="2679" w:hanging="385"/>
        <w:spacing w:after="0" w:line="242" w:lineRule="auto"/>
        <w:tabs>
          <w:tab w:leader="none" w:pos="86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2" w:right="2779" w:hanging="385"/>
        <w:spacing w:after="0" w:line="241" w:lineRule="auto"/>
        <w:tabs>
          <w:tab w:leader="none" w:pos="86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2" w:right="2779" w:hanging="385"/>
        <w:spacing w:after="0"/>
        <w:tabs>
          <w:tab w:leader="none" w:pos="86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 May 14, 2004</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Brian L. Roberts</w:t>
      </w:r>
    </w:p>
    <w:p>
      <w:pPr>
        <w:spacing w:after="0" w:line="2" w:lineRule="exact"/>
        <w:rPr>
          <w:sz w:val="20"/>
          <w:szCs w:val="20"/>
          <w:color w:val="auto"/>
        </w:rPr>
      </w:pPr>
    </w:p>
    <w:p>
      <w:pPr>
        <w:ind w:left="182" w:hanging="182"/>
        <w:spacing w:after="0"/>
        <w:tabs>
          <w:tab w:leader="none" w:pos="1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801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 Lawrence S. Smith, certify that:</w:t>
      </w:r>
    </w:p>
    <w:p>
      <w:pPr>
        <w:spacing w:after="0" w:line="188" w:lineRule="exact"/>
        <w:rPr>
          <w:sz w:val="20"/>
          <w:szCs w:val="20"/>
          <w:color w:val="auto"/>
        </w:rPr>
      </w:pPr>
    </w:p>
    <w:p>
      <w:pPr>
        <w:ind w:left="482" w:right="3059" w:hanging="482"/>
        <w:spacing w:after="0" w:line="239"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9"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ectPr>
          <w:pgSz w:w="11900" w:h="16838" w:orient="portrait"/>
          <w:cols w:equalWidth="0" w:num="1">
            <w:col w:w="10221"/>
          </w:cols>
          <w:pgMar w:left="238" w:top="139" w:right="1440" w:bottom="0" w:gutter="0" w:footer="0" w:header="0"/>
        </w:sectPr>
      </w:pPr>
    </w:p>
    <w:bookmarkStart w:id="22" w:name="page23"/>
    <w:bookmarkEnd w:id="22"/>
    <w:p>
      <w:pPr>
        <w:ind w:left="482" w:right="2599" w:hanging="482"/>
        <w:spacing w:after="0" w:line="265" w:lineRule="auto"/>
        <w:tabs>
          <w:tab w:leader="none" w:pos="4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Courier New" w:cs="Courier New" w:eastAsia="Courier New" w:hAnsi="Courier New"/>
          <w:sz w:val="15"/>
          <w:szCs w:val="15"/>
          <w:color w:val="auto"/>
        </w:rPr>
      </w:pPr>
    </w:p>
    <w:p>
      <w:pPr>
        <w:ind w:left="862" w:right="2779" w:hanging="385"/>
        <w:spacing w:after="0" w:line="242" w:lineRule="auto"/>
        <w:tabs>
          <w:tab w:leader="none" w:pos="86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88" w:lineRule="exact"/>
        <w:rPr>
          <w:rFonts w:ascii="Courier New" w:cs="Courier New" w:eastAsia="Courier New" w:hAnsi="Courier New"/>
          <w:sz w:val="16"/>
          <w:szCs w:val="16"/>
          <w:color w:val="auto"/>
        </w:rPr>
      </w:pPr>
    </w:p>
    <w:p>
      <w:pPr>
        <w:ind w:left="862" w:right="2599" w:hanging="385"/>
        <w:spacing w:after="0" w:line="241" w:lineRule="auto"/>
        <w:tabs>
          <w:tab w:leader="none" w:pos="86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2" w:right="2679" w:hanging="385"/>
        <w:spacing w:after="0" w:line="242" w:lineRule="auto"/>
        <w:tabs>
          <w:tab w:leader="none" w:pos="86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2" w:right="2779" w:hanging="385"/>
        <w:spacing w:after="0" w:line="241" w:lineRule="auto"/>
        <w:tabs>
          <w:tab w:leader="none" w:pos="86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2" w:right="2779" w:hanging="385"/>
        <w:spacing w:after="0"/>
        <w:tabs>
          <w:tab w:leader="none" w:pos="86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 May 14, 2004</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Lawrence S. Smith</w:t>
      </w:r>
    </w:p>
    <w:p>
      <w:pPr>
        <w:spacing w:after="0" w:line="2" w:lineRule="exact"/>
        <w:rPr>
          <w:sz w:val="20"/>
          <w:szCs w:val="20"/>
          <w:color w:val="auto"/>
        </w:rPr>
      </w:pPr>
    </w:p>
    <w:p>
      <w:pPr>
        <w:ind w:left="182" w:hanging="182"/>
        <w:spacing w:after="0"/>
        <w:tabs>
          <w:tab w:leader="none" w:pos="1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77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Lawrence S. Smith Co-Chief Financial Officer</w:t>
      </w:r>
    </w:p>
    <w:p>
      <w:pPr>
        <w:sectPr>
          <w:pgSz w:w="11900" w:h="16838" w:orient="portrait"/>
          <w:cols w:equalWidth="0" w:num="1">
            <w:col w:w="10221"/>
          </w:cols>
          <w:pgMar w:left="238" w:top="142" w:right="1440" w:bottom="1440" w:gutter="0" w:footer="0" w:header="0"/>
        </w:sectPr>
      </w:pPr>
    </w:p>
    <w:bookmarkStart w:id="23" w:name="page24"/>
    <w:bookmarkEnd w:id="23"/>
    <w:p>
      <w:pPr>
        <w:ind w:left="2"/>
        <w:spacing w:after="0"/>
        <w:rPr>
          <w:sz w:val="20"/>
          <w:szCs w:val="20"/>
          <w:color w:val="auto"/>
        </w:rPr>
      </w:pPr>
      <w:r>
        <w:rPr>
          <w:rFonts w:ascii="Courier New" w:cs="Courier New" w:eastAsia="Courier New" w:hAnsi="Courier New"/>
          <w:sz w:val="16"/>
          <w:szCs w:val="16"/>
          <w:color w:val="auto"/>
        </w:rPr>
        <w:t>I, John R. Alchin, certify that:</w:t>
      </w:r>
    </w:p>
    <w:p>
      <w:pPr>
        <w:spacing w:after="0" w:line="188" w:lineRule="exact"/>
        <w:rPr>
          <w:sz w:val="20"/>
          <w:szCs w:val="20"/>
          <w:color w:val="auto"/>
        </w:rPr>
      </w:pPr>
    </w:p>
    <w:p>
      <w:pPr>
        <w:ind w:left="482" w:right="3059" w:hanging="482"/>
        <w:spacing w:after="0" w:line="239"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9"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2" w:right="2599" w:hanging="482"/>
        <w:spacing w:after="0" w:line="265" w:lineRule="auto"/>
        <w:tabs>
          <w:tab w:leader="none" w:pos="48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Courier New" w:cs="Courier New" w:eastAsia="Courier New" w:hAnsi="Courier New"/>
          <w:sz w:val="15"/>
          <w:szCs w:val="15"/>
          <w:color w:val="auto"/>
        </w:rPr>
      </w:pPr>
    </w:p>
    <w:p>
      <w:pPr>
        <w:ind w:left="862" w:right="2779" w:hanging="385"/>
        <w:spacing w:after="0" w:line="242"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88" w:lineRule="exact"/>
        <w:rPr>
          <w:rFonts w:ascii="Courier New" w:cs="Courier New" w:eastAsia="Courier New" w:hAnsi="Courier New"/>
          <w:sz w:val="16"/>
          <w:szCs w:val="16"/>
          <w:color w:val="auto"/>
        </w:rPr>
      </w:pPr>
    </w:p>
    <w:p>
      <w:pPr>
        <w:ind w:left="862" w:right="2599" w:hanging="385"/>
        <w:spacing w:after="0" w:line="241"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2" w:right="2679" w:hanging="385"/>
        <w:spacing w:after="0" w:line="242"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2" w:right="2779" w:hanging="385"/>
        <w:spacing w:after="0" w:line="241" w:lineRule="auto"/>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2" w:right="2779" w:hanging="385"/>
        <w:spacing w:after="0"/>
        <w:tabs>
          <w:tab w:leader="none" w:pos="86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 May 14, 2004</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John R. Alchin</w:t>
      </w:r>
    </w:p>
    <w:p>
      <w:pPr>
        <w:spacing w:after="0" w:line="2" w:lineRule="exact"/>
        <w:rPr>
          <w:sz w:val="20"/>
          <w:szCs w:val="20"/>
          <w:color w:val="auto"/>
        </w:rPr>
      </w:pPr>
    </w:p>
    <w:p>
      <w:pPr>
        <w:ind w:left="182" w:hanging="182"/>
        <w:spacing w:after="0"/>
        <w:tabs>
          <w:tab w:leader="none" w:pos="1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77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ectPr>
          <w:pgSz w:w="11900" w:h="16838" w:orient="portrait"/>
          <w:cols w:equalWidth="0" w:num="1">
            <w:col w:w="10221"/>
          </w:cols>
          <w:pgMar w:left="238" w:top="1031" w:right="1440" w:bottom="1440" w:gutter="0" w:footer="0" w:header="0"/>
        </w:sectPr>
      </w:pPr>
    </w:p>
    <w:bookmarkStart w:id="24" w:name="page25"/>
    <w:bookmarkEnd w:id="24"/>
    <w:p>
      <w:pPr>
        <w:ind w:left="6302"/>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Certification Pursuant to Section 906 of the Sarbanes-Oxley Act</w:t>
      </w:r>
    </w:p>
    <w:p>
      <w:pPr>
        <w:spacing w:after="0" w:line="186" w:lineRule="exact"/>
        <w:rPr>
          <w:sz w:val="20"/>
          <w:szCs w:val="20"/>
          <w:color w:val="auto"/>
        </w:rPr>
      </w:pPr>
    </w:p>
    <w:p>
      <w:pPr>
        <w:ind w:left="6382"/>
        <w:spacing w:after="0"/>
        <w:rPr>
          <w:sz w:val="20"/>
          <w:szCs w:val="20"/>
          <w:color w:val="auto"/>
        </w:rPr>
      </w:pPr>
      <w:r>
        <w:rPr>
          <w:rFonts w:ascii="Courier New" w:cs="Courier New" w:eastAsia="Courier New" w:hAnsi="Courier New"/>
          <w:sz w:val="16"/>
          <w:szCs w:val="16"/>
          <w:color w:val="auto"/>
        </w:rPr>
        <w:t>May 14, 2004</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450 Fifth Street, N.W.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The certification set forth below is being submitted in connection with the quarterly report on Form 10-Q of Comcast Holdings Corporation (the "Report") for the purpose of complying with Rule 13a-14(b) or Rule 15d-14(b) of the Securities Exchange Act of 1934 (the "Exchange Act") and Section 1350 of Chapter 63 of Title 18 of the United States Code.</w:t>
      </w:r>
    </w:p>
    <w:p>
      <w:pPr>
        <w:spacing w:after="0" w:line="190" w:lineRule="exact"/>
        <w:rPr>
          <w:sz w:val="20"/>
          <w:szCs w:val="20"/>
          <w:color w:val="auto"/>
        </w:rPr>
      </w:pPr>
    </w:p>
    <w:p>
      <w:pPr>
        <w:ind w:left="2" w:right="2679"/>
        <w:spacing w:after="0" w:line="265" w:lineRule="auto"/>
        <w:rPr>
          <w:sz w:val="20"/>
          <w:szCs w:val="20"/>
          <w:color w:val="auto"/>
        </w:rPr>
      </w:pPr>
      <w:r>
        <w:rPr>
          <w:rFonts w:ascii="Courier New" w:cs="Courier New" w:eastAsia="Courier New" w:hAnsi="Courier New"/>
          <w:sz w:val="15"/>
          <w:szCs w:val="15"/>
          <w:color w:val="auto"/>
        </w:rPr>
        <w:t>Brian L. Roberts, the Chief Executive Officer, Lawrence S. Smith, the Co-Chief Financial Officer and John R. Alchin, the Co-Chief Financial Officer of Comcast Holdings Corporation, each certifies that, to the best of his knowledge:</w:t>
      </w:r>
    </w:p>
    <w:p>
      <w:pPr>
        <w:spacing w:after="0" w:line="171" w:lineRule="exact"/>
        <w:rPr>
          <w:sz w:val="20"/>
          <w:szCs w:val="20"/>
          <w:color w:val="auto"/>
        </w:rPr>
      </w:pPr>
    </w:p>
    <w:p>
      <w:pPr>
        <w:ind w:left="862" w:right="2979" w:hanging="385"/>
        <w:spacing w:after="0" w:line="239" w:lineRule="auto"/>
        <w:tabs>
          <w:tab w:leader="none" w:pos="86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Exchange Act; and</w:t>
      </w:r>
    </w:p>
    <w:p>
      <w:pPr>
        <w:spacing w:after="0" w:line="189" w:lineRule="exact"/>
        <w:rPr>
          <w:rFonts w:ascii="Courier New" w:cs="Courier New" w:eastAsia="Courier New" w:hAnsi="Courier New"/>
          <w:sz w:val="16"/>
          <w:szCs w:val="16"/>
          <w:color w:val="auto"/>
        </w:rPr>
      </w:pPr>
    </w:p>
    <w:p>
      <w:pPr>
        <w:ind w:left="862" w:right="2599" w:hanging="385"/>
        <w:spacing w:after="0"/>
        <w:tabs>
          <w:tab w:leader="none" w:pos="86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35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Brian L. Roberts</w:t>
      </w:r>
    </w:p>
    <w:p>
      <w:pPr>
        <w:spacing w:after="0" w:line="2" w:lineRule="exact"/>
        <w:rPr>
          <w:sz w:val="20"/>
          <w:szCs w:val="20"/>
          <w:color w:val="auto"/>
        </w:rPr>
      </w:pPr>
    </w:p>
    <w:p>
      <w:pPr>
        <w:ind w:left="182" w:hanging="182"/>
        <w:spacing w:after="0"/>
        <w:tabs>
          <w:tab w:leader="none" w:pos="18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801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34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Lawrence S. Smith</w:t>
      </w:r>
    </w:p>
    <w:p>
      <w:pPr>
        <w:spacing w:after="0" w:line="2" w:lineRule="exact"/>
        <w:rPr>
          <w:sz w:val="20"/>
          <w:szCs w:val="20"/>
          <w:color w:val="auto"/>
        </w:rPr>
      </w:pPr>
    </w:p>
    <w:p>
      <w:pPr>
        <w:ind w:left="182" w:hanging="182"/>
        <w:spacing w:after="0"/>
        <w:tabs>
          <w:tab w:leader="none" w:pos="18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 w:right="773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Lawrence S. Smith Co-Chief Financial Officer</w:t>
      </w:r>
    </w:p>
    <w:p>
      <w:pPr>
        <w:spacing w:after="0" w:line="34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John R. Alchin</w:t>
      </w:r>
    </w:p>
    <w:p>
      <w:pPr>
        <w:spacing w:after="0" w:line="2" w:lineRule="exact"/>
        <w:rPr>
          <w:sz w:val="20"/>
          <w:szCs w:val="20"/>
          <w:color w:val="auto"/>
        </w:rPr>
      </w:pPr>
    </w:p>
    <w:p>
      <w:pPr>
        <w:ind w:left="182" w:hanging="182"/>
        <w:spacing w:after="0"/>
        <w:tabs>
          <w:tab w:leader="none" w:pos="18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77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sectPr>
      <w:pgSz w:w="11900" w:h="16838" w:orient="portrait"/>
      <w:cols w:equalWidth="0" w:num="1">
        <w:col w:w="10221"/>
      </w:cols>
      <w:pgMar w:left="238"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o"/>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lvl w:ilvl="1">
      <w:lvlJc w:val="left"/>
      <w:lvlText w:val="(%2)"/>
      <w:numFmt w:val="lowerRoman"/>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3"/>
      <w:numFmt w:val="bullet"/>
      <w:start w:val="1"/>
    </w:lvl>
  </w:abstractNum>
  <w:abstractNum w:abstractNumId="16">
    <w:nsid w:val="75A2A8D4"/>
    <w:multiLevelType w:val="hybridMultilevel"/>
    <w:lvl w:ilvl="0">
      <w:lvlJc w:val="left"/>
      <w:lvlText w:val="%1"/>
      <w:numFmt w:val="decimal"/>
      <w:start w:val="174"/>
    </w:lvl>
  </w:abstractNum>
  <w:abstractNum w:abstractNumId="17">
    <w:nsid w:val="8EDBDAB"/>
    <w:multiLevelType w:val="hybridMultilevel"/>
    <w:lvl w:ilvl="0">
      <w:lvlJc w:val="left"/>
      <w:lvlText w:val="%1"/>
      <w:numFmt w:val="decimal"/>
      <w:start w:val="110"/>
    </w:lvl>
  </w:abstractNum>
  <w:abstractNum w:abstractNumId="18">
    <w:nsid w:val="79838CB2"/>
    <w:multiLevelType w:val="hybridMultilevel"/>
    <w:lvl w:ilvl="0">
      <w:lvlJc w:val="left"/>
      <w:lvlText w:val="%1"/>
      <w:numFmt w:val="lowerLetter"/>
      <w:start w:val="1"/>
    </w:lvl>
    <w:lvl w:ilvl="1">
      <w:lvlJc w:val="left"/>
      <w:lvlText w:val="%2"/>
      <w:numFmt w:val="decimal"/>
      <w:start w:val="31"/>
    </w:lvl>
  </w:abstractNum>
  <w:abstractNum w:abstractNumId="19">
    <w:nsid w:val="4353D0CD"/>
    <w:multiLevelType w:val="hybridMultilevel"/>
    <w:lvl w:ilvl="0">
      <w:lvlJc w:val="left"/>
      <w:lvlText w:val="(%1)"/>
      <w:numFmt w:val="lowerLetter"/>
      <w:start w:val="2"/>
    </w:lvl>
    <w:lvl w:ilvl="1">
      <w:lvlJc w:val="left"/>
      <w:lvlText w:val="%2"/>
      <w:numFmt w:val="decimal"/>
      <w:start w:val="1"/>
    </w:lvl>
  </w:abstractNum>
  <w:abstractNum w:abstractNumId="20">
    <w:nsid w:val="B03E0C6"/>
    <w:multiLevelType w:val="hybridMultilevel"/>
    <w:lvl w:ilvl="0">
      <w:lvlJc w:val="left"/>
      <w:lvlText w:val="%1."/>
      <w:numFmt w:val="decimal"/>
      <w:start w:val="1"/>
    </w:lvl>
    <w:lvl w:ilvl="1">
      <w:lvlJc w:val="left"/>
      <w:lvlText w:val="%2)"/>
      <w:numFmt w:val="lowerLetter"/>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4"/>
    </w:lvl>
    <w:lvl w:ilvl="1">
      <w:lvlJc w:val="left"/>
      <w:lvlText w:val="%2)"/>
      <w:numFmt w:val="lowerLetter"/>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2019-12-12T23:07:14Z</dcterms:created>
  <dcterms:modified xsi:type="dcterms:W3CDTF">2019-12-12T23:07:14Z</dcterms:modified>
</cp:coreProperties>
</file>