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February 16, 2005</w:t>
      </w:r>
    </w:p>
    <w:p>
      <w:pPr>
        <w:spacing w:after="0" w:line="27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333-119161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UNDER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SECURITIES ACT OF 1933</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5" w:lineRule="exact"/>
        <w:rPr>
          <w:sz w:val="24"/>
          <w:szCs w:val="24"/>
          <w:color w:val="auto"/>
        </w:rPr>
      </w:pPr>
    </w:p>
    <w:tbl>
      <w:tblPr>
        <w:tblLayout w:type="fixed"/>
        <w:tblInd w:w="1540" w:type="dxa"/>
        <w:tblCellMar>
          <w:top w:w="0" w:type="dxa"/>
          <w:left w:w="0" w:type="dxa"/>
          <w:bottom w:w="0" w:type="dxa"/>
          <w:right w:w="0" w:type="dxa"/>
        </w:tblCellMar>
      </w:tblPr>
      <w:tr>
        <w:trPr>
          <w:trHeight w:val="230"/>
        </w:trPr>
        <w:tc>
          <w:tcPr>
            <w:tcW w:w="2560" w:type="dxa"/>
            <w:vAlign w:val="bottom"/>
          </w:tcPr>
          <w:p>
            <w:pPr>
              <w:jc w:val="center"/>
              <w:ind w:right="110"/>
              <w:spacing w:after="0"/>
              <w:rPr>
                <w:sz w:val="20"/>
                <w:szCs w:val="20"/>
                <w:color w:val="auto"/>
              </w:rPr>
            </w:pPr>
            <w:r>
              <w:rPr>
                <w:rFonts w:ascii="Arial" w:cs="Arial" w:eastAsia="Arial" w:hAnsi="Arial"/>
                <w:sz w:val="18"/>
                <w:szCs w:val="18"/>
                <w:color w:val="auto"/>
                <w:w w:val="89"/>
              </w:rPr>
              <w:t>Pennsylvania</w:t>
            </w:r>
          </w:p>
        </w:tc>
        <w:tc>
          <w:tcPr>
            <w:tcW w:w="5500" w:type="dxa"/>
            <w:vAlign w:val="bottom"/>
          </w:tcPr>
          <w:p>
            <w:pPr>
              <w:jc w:val="center"/>
              <w:ind w:left="3630"/>
              <w:spacing w:after="0"/>
              <w:rPr>
                <w:sz w:val="20"/>
                <w:szCs w:val="20"/>
                <w:color w:val="auto"/>
              </w:rPr>
            </w:pPr>
            <w:r>
              <w:rPr>
                <w:rFonts w:ascii="Arial" w:cs="Arial" w:eastAsia="Arial" w:hAnsi="Arial"/>
                <w:sz w:val="18"/>
                <w:szCs w:val="18"/>
                <w:color w:val="auto"/>
                <w:w w:val="89"/>
              </w:rPr>
              <w:t>27-0000798</w:t>
            </w:r>
          </w:p>
        </w:tc>
      </w:tr>
      <w:tr>
        <w:trPr>
          <w:trHeight w:val="229"/>
        </w:trPr>
        <w:tc>
          <w:tcPr>
            <w:tcW w:w="256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w:t>
            </w:r>
          </w:p>
        </w:tc>
        <w:tc>
          <w:tcPr>
            <w:tcW w:w="5500" w:type="dxa"/>
            <w:vAlign w:val="bottom"/>
          </w:tcPr>
          <w:p>
            <w:pPr>
              <w:jc w:val="center"/>
              <w:ind w:left="363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right="110"/>
              <w:spacing w:after="0"/>
              <w:rPr>
                <w:sz w:val="20"/>
                <w:szCs w:val="20"/>
                <w:color w:val="auto"/>
              </w:rPr>
            </w:pPr>
            <w:r>
              <w:rPr>
                <w:rFonts w:ascii="Arial" w:cs="Arial" w:eastAsia="Arial" w:hAnsi="Arial"/>
                <w:sz w:val="18"/>
                <w:szCs w:val="18"/>
                <w:color w:val="auto"/>
                <w:w w:val="92"/>
              </w:rPr>
              <w:t>of incorporation or organization)</w:t>
            </w:r>
          </w:p>
        </w:tc>
        <w:tc>
          <w:tcPr>
            <w:tcW w:w="5500" w:type="dxa"/>
            <w:vAlign w:val="bottom"/>
          </w:tcPr>
          <w:p>
            <w:pPr>
              <w:jc w:val="center"/>
              <w:ind w:left="3630"/>
              <w:spacing w:after="0"/>
              <w:rPr>
                <w:sz w:val="20"/>
                <w:szCs w:val="20"/>
                <w:color w:val="auto"/>
              </w:rPr>
            </w:pPr>
            <w:r>
              <w:rPr>
                <w:rFonts w:ascii="Arial" w:cs="Arial" w:eastAsia="Arial" w:hAnsi="Arial"/>
                <w:sz w:val="18"/>
                <w:szCs w:val="18"/>
                <w:color w:val="auto"/>
                <w:w w:val="95"/>
              </w:rPr>
              <w:t>Identification No.)</w:t>
            </w:r>
          </w:p>
        </w:tc>
      </w:tr>
      <w:tr>
        <w:trPr>
          <w:trHeight w:val="742"/>
        </w:trPr>
        <w:tc>
          <w:tcPr>
            <w:tcW w:w="2560" w:type="dxa"/>
            <w:vAlign w:val="bottom"/>
          </w:tcPr>
          <w:p>
            <w:pPr>
              <w:spacing w:after="0"/>
              <w:rPr>
                <w:sz w:val="24"/>
                <w:szCs w:val="24"/>
                <w:color w:val="auto"/>
              </w:rPr>
            </w:pPr>
          </w:p>
        </w:tc>
        <w:tc>
          <w:tcPr>
            <w:tcW w:w="5500" w:type="dxa"/>
            <w:vAlign w:val="bottom"/>
          </w:tcPr>
          <w:p>
            <w:pPr>
              <w:jc w:val="center"/>
              <w:ind w:right="2190"/>
              <w:spacing w:after="0"/>
              <w:rPr>
                <w:sz w:val="20"/>
                <w:szCs w:val="20"/>
                <w:color w:val="auto"/>
              </w:rPr>
            </w:pPr>
            <w:r>
              <w:rPr>
                <w:rFonts w:ascii="Arial" w:cs="Arial" w:eastAsia="Arial" w:hAnsi="Arial"/>
                <w:sz w:val="18"/>
                <w:szCs w:val="18"/>
                <w:color w:val="auto"/>
                <w:w w:val="90"/>
              </w:rPr>
              <w:t>1500 Market Street</w:t>
            </w:r>
          </w:p>
        </w:tc>
      </w:tr>
      <w:tr>
        <w:trPr>
          <w:trHeight w:val="216"/>
        </w:trPr>
        <w:tc>
          <w:tcPr>
            <w:tcW w:w="2560" w:type="dxa"/>
            <w:vAlign w:val="bottom"/>
          </w:tcPr>
          <w:p>
            <w:pPr>
              <w:spacing w:after="0"/>
              <w:rPr>
                <w:sz w:val="18"/>
                <w:szCs w:val="18"/>
                <w:color w:val="auto"/>
              </w:rPr>
            </w:pPr>
          </w:p>
        </w:tc>
        <w:tc>
          <w:tcPr>
            <w:tcW w:w="5500" w:type="dxa"/>
            <w:vAlign w:val="bottom"/>
          </w:tcPr>
          <w:p>
            <w:pPr>
              <w:jc w:val="center"/>
              <w:ind w:right="2190"/>
              <w:spacing w:after="0"/>
              <w:rPr>
                <w:sz w:val="20"/>
                <w:szCs w:val="20"/>
                <w:color w:val="auto"/>
              </w:rPr>
            </w:pPr>
            <w:r>
              <w:rPr>
                <w:rFonts w:ascii="Arial" w:cs="Arial" w:eastAsia="Arial" w:hAnsi="Arial"/>
                <w:sz w:val="18"/>
                <w:szCs w:val="18"/>
                <w:color w:val="auto"/>
                <w:w w:val="90"/>
              </w:rPr>
              <w:t>Philadelphia, Pennsylvania 19102-2148</w:t>
            </w:r>
          </w:p>
        </w:tc>
      </w:tr>
      <w:tr>
        <w:trPr>
          <w:trHeight w:val="216"/>
        </w:trPr>
        <w:tc>
          <w:tcPr>
            <w:tcW w:w="2560" w:type="dxa"/>
            <w:vAlign w:val="bottom"/>
          </w:tcPr>
          <w:p>
            <w:pPr>
              <w:spacing w:after="0"/>
              <w:rPr>
                <w:sz w:val="18"/>
                <w:szCs w:val="18"/>
                <w:color w:val="auto"/>
              </w:rPr>
            </w:pPr>
          </w:p>
        </w:tc>
        <w:tc>
          <w:tcPr>
            <w:tcW w:w="5500" w:type="dxa"/>
            <w:vAlign w:val="bottom"/>
          </w:tcPr>
          <w:p>
            <w:pPr>
              <w:jc w:val="center"/>
              <w:ind w:right="2170"/>
              <w:spacing w:after="0"/>
              <w:rPr>
                <w:sz w:val="20"/>
                <w:szCs w:val="20"/>
                <w:color w:val="auto"/>
              </w:rPr>
            </w:pPr>
            <w:r>
              <w:rPr>
                <w:rFonts w:ascii="Arial" w:cs="Arial" w:eastAsia="Arial" w:hAnsi="Arial"/>
                <w:sz w:val="18"/>
                <w:szCs w:val="18"/>
                <w:color w:val="auto"/>
                <w:w w:val="90"/>
              </w:rPr>
              <w:t>(215) 665-1700</w:t>
            </w:r>
          </w:p>
        </w:tc>
      </w:tr>
      <w:tr>
        <w:trPr>
          <w:trHeight w:val="216"/>
        </w:trPr>
        <w:tc>
          <w:tcPr>
            <w:tcW w:w="2560" w:type="dxa"/>
            <w:vAlign w:val="bottom"/>
          </w:tcPr>
          <w:p>
            <w:pPr>
              <w:spacing w:after="0"/>
              <w:rPr>
                <w:sz w:val="18"/>
                <w:szCs w:val="18"/>
                <w:color w:val="auto"/>
              </w:rPr>
            </w:pPr>
          </w:p>
        </w:tc>
        <w:tc>
          <w:tcPr>
            <w:tcW w:w="5500" w:type="dxa"/>
            <w:vAlign w:val="bottom"/>
          </w:tcPr>
          <w:p>
            <w:pPr>
              <w:jc w:val="center"/>
              <w:ind w:right="2170"/>
              <w:spacing w:after="0"/>
              <w:rPr>
                <w:sz w:val="20"/>
                <w:szCs w:val="20"/>
                <w:color w:val="auto"/>
              </w:rPr>
            </w:pPr>
            <w:r>
              <w:rPr>
                <w:rFonts w:ascii="Arial" w:cs="Arial" w:eastAsia="Arial" w:hAnsi="Arial"/>
                <w:sz w:val="18"/>
                <w:szCs w:val="18"/>
                <w:color w:val="auto"/>
                <w:w w:val="90"/>
              </w:rPr>
              <w:t>(Address, including zip code, and telephone</w:t>
            </w:r>
          </w:p>
        </w:tc>
      </w:tr>
      <w:tr>
        <w:trPr>
          <w:trHeight w:val="216"/>
        </w:trPr>
        <w:tc>
          <w:tcPr>
            <w:tcW w:w="80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number including area code, of registrant’s principal</w:t>
            </w:r>
          </w:p>
        </w:tc>
      </w:tr>
      <w:tr>
        <w:trPr>
          <w:trHeight w:val="230"/>
        </w:trPr>
        <w:tc>
          <w:tcPr>
            <w:tcW w:w="2560" w:type="dxa"/>
            <w:vAlign w:val="bottom"/>
          </w:tcPr>
          <w:p>
            <w:pPr>
              <w:spacing w:after="0"/>
              <w:rPr>
                <w:sz w:val="20"/>
                <w:szCs w:val="20"/>
                <w:color w:val="auto"/>
              </w:rPr>
            </w:pPr>
          </w:p>
        </w:tc>
        <w:tc>
          <w:tcPr>
            <w:tcW w:w="5500" w:type="dxa"/>
            <w:vAlign w:val="bottom"/>
          </w:tcPr>
          <w:p>
            <w:pPr>
              <w:jc w:val="center"/>
              <w:ind w:right="2190"/>
              <w:spacing w:after="0"/>
              <w:rPr>
                <w:sz w:val="20"/>
                <w:szCs w:val="20"/>
                <w:color w:val="auto"/>
              </w:rPr>
            </w:pPr>
            <w:r>
              <w:rPr>
                <w:rFonts w:ascii="Arial" w:cs="Arial" w:eastAsia="Arial" w:hAnsi="Arial"/>
                <w:sz w:val="18"/>
                <w:szCs w:val="18"/>
                <w:color w:val="auto"/>
                <w:w w:val="93"/>
              </w:rPr>
              <w:t>executive office)</w:t>
            </w:r>
          </w:p>
        </w:tc>
      </w:tr>
      <w:tr>
        <w:trPr>
          <w:trHeight w:val="472"/>
        </w:trPr>
        <w:tc>
          <w:tcPr>
            <w:tcW w:w="2560" w:type="dxa"/>
            <w:vAlign w:val="bottom"/>
          </w:tcPr>
          <w:p>
            <w:pPr>
              <w:spacing w:after="0"/>
              <w:rPr>
                <w:sz w:val="24"/>
                <w:szCs w:val="24"/>
                <w:color w:val="auto"/>
              </w:rPr>
            </w:pPr>
          </w:p>
        </w:tc>
        <w:tc>
          <w:tcPr>
            <w:tcW w:w="5500" w:type="dxa"/>
            <w:vAlign w:val="bottom"/>
          </w:tcPr>
          <w:p>
            <w:pPr>
              <w:jc w:val="center"/>
              <w:ind w:right="2190"/>
              <w:spacing w:after="0"/>
              <w:rPr>
                <w:sz w:val="20"/>
                <w:szCs w:val="20"/>
                <w:color w:val="auto"/>
              </w:rPr>
            </w:pPr>
            <w:r>
              <w:rPr>
                <w:rFonts w:ascii="Arial" w:cs="Arial" w:eastAsia="Arial" w:hAnsi="Arial"/>
                <w:sz w:val="18"/>
                <w:szCs w:val="18"/>
                <w:color w:val="auto"/>
                <w:w w:val="94"/>
              </w:rPr>
              <w:t>Arthur R. Block, Esq.</w:t>
            </w:r>
          </w:p>
        </w:tc>
      </w:tr>
      <w:tr>
        <w:trPr>
          <w:trHeight w:val="216"/>
        </w:trPr>
        <w:tc>
          <w:tcPr>
            <w:tcW w:w="2560" w:type="dxa"/>
            <w:vAlign w:val="bottom"/>
          </w:tcPr>
          <w:p>
            <w:pPr>
              <w:spacing w:after="0"/>
              <w:rPr>
                <w:sz w:val="18"/>
                <w:szCs w:val="18"/>
                <w:color w:val="auto"/>
              </w:rPr>
            </w:pPr>
          </w:p>
        </w:tc>
        <w:tc>
          <w:tcPr>
            <w:tcW w:w="5500" w:type="dxa"/>
            <w:vAlign w:val="bottom"/>
          </w:tcPr>
          <w:p>
            <w:pPr>
              <w:jc w:val="center"/>
              <w:ind w:right="2170"/>
              <w:spacing w:after="0"/>
              <w:rPr>
                <w:sz w:val="20"/>
                <w:szCs w:val="20"/>
                <w:color w:val="auto"/>
              </w:rPr>
            </w:pPr>
            <w:r>
              <w:rPr>
                <w:rFonts w:ascii="Arial" w:cs="Arial" w:eastAsia="Arial" w:hAnsi="Arial"/>
                <w:sz w:val="18"/>
                <w:szCs w:val="18"/>
                <w:color w:val="auto"/>
                <w:w w:val="90"/>
              </w:rPr>
              <w:t>Senior Vice President</w:t>
            </w:r>
          </w:p>
        </w:tc>
      </w:tr>
      <w:tr>
        <w:trPr>
          <w:trHeight w:val="216"/>
        </w:trPr>
        <w:tc>
          <w:tcPr>
            <w:tcW w:w="2560" w:type="dxa"/>
            <w:vAlign w:val="bottom"/>
          </w:tcPr>
          <w:p>
            <w:pPr>
              <w:spacing w:after="0"/>
              <w:rPr>
                <w:sz w:val="18"/>
                <w:szCs w:val="18"/>
                <w:color w:val="auto"/>
              </w:rPr>
            </w:pPr>
          </w:p>
        </w:tc>
        <w:tc>
          <w:tcPr>
            <w:tcW w:w="5500" w:type="dxa"/>
            <w:vAlign w:val="bottom"/>
          </w:tcPr>
          <w:p>
            <w:pPr>
              <w:jc w:val="center"/>
              <w:ind w:right="2190"/>
              <w:spacing w:after="0"/>
              <w:rPr>
                <w:sz w:val="20"/>
                <w:szCs w:val="20"/>
                <w:color w:val="auto"/>
              </w:rPr>
            </w:pPr>
            <w:r>
              <w:rPr>
                <w:rFonts w:ascii="Arial" w:cs="Arial" w:eastAsia="Arial" w:hAnsi="Arial"/>
                <w:sz w:val="18"/>
                <w:szCs w:val="18"/>
                <w:color w:val="auto"/>
                <w:w w:val="90"/>
              </w:rPr>
              <w:t>Comcast Corporation</w:t>
            </w:r>
          </w:p>
        </w:tc>
      </w:tr>
      <w:tr>
        <w:trPr>
          <w:trHeight w:val="216"/>
        </w:trPr>
        <w:tc>
          <w:tcPr>
            <w:tcW w:w="2560" w:type="dxa"/>
            <w:vAlign w:val="bottom"/>
          </w:tcPr>
          <w:p>
            <w:pPr>
              <w:spacing w:after="0"/>
              <w:rPr>
                <w:sz w:val="18"/>
                <w:szCs w:val="18"/>
                <w:color w:val="auto"/>
              </w:rPr>
            </w:pPr>
          </w:p>
        </w:tc>
        <w:tc>
          <w:tcPr>
            <w:tcW w:w="5500" w:type="dxa"/>
            <w:vAlign w:val="bottom"/>
          </w:tcPr>
          <w:p>
            <w:pPr>
              <w:jc w:val="center"/>
              <w:ind w:right="2190"/>
              <w:spacing w:after="0"/>
              <w:rPr>
                <w:sz w:val="20"/>
                <w:szCs w:val="20"/>
                <w:color w:val="auto"/>
              </w:rPr>
            </w:pPr>
            <w:r>
              <w:rPr>
                <w:rFonts w:ascii="Arial" w:cs="Arial" w:eastAsia="Arial" w:hAnsi="Arial"/>
                <w:sz w:val="18"/>
                <w:szCs w:val="18"/>
                <w:color w:val="auto"/>
                <w:w w:val="90"/>
              </w:rPr>
              <w:t>1500 Market Street</w:t>
            </w:r>
          </w:p>
        </w:tc>
      </w:tr>
      <w:tr>
        <w:trPr>
          <w:trHeight w:val="216"/>
        </w:trPr>
        <w:tc>
          <w:tcPr>
            <w:tcW w:w="2560" w:type="dxa"/>
            <w:vAlign w:val="bottom"/>
          </w:tcPr>
          <w:p>
            <w:pPr>
              <w:spacing w:after="0"/>
              <w:rPr>
                <w:sz w:val="18"/>
                <w:szCs w:val="18"/>
                <w:color w:val="auto"/>
              </w:rPr>
            </w:pPr>
          </w:p>
        </w:tc>
        <w:tc>
          <w:tcPr>
            <w:tcW w:w="5500" w:type="dxa"/>
            <w:vAlign w:val="bottom"/>
          </w:tcPr>
          <w:p>
            <w:pPr>
              <w:jc w:val="center"/>
              <w:ind w:right="2190"/>
              <w:spacing w:after="0"/>
              <w:rPr>
                <w:sz w:val="20"/>
                <w:szCs w:val="20"/>
                <w:color w:val="auto"/>
              </w:rPr>
            </w:pPr>
            <w:r>
              <w:rPr>
                <w:rFonts w:ascii="Arial" w:cs="Arial" w:eastAsia="Arial" w:hAnsi="Arial"/>
                <w:sz w:val="18"/>
                <w:szCs w:val="18"/>
                <w:color w:val="auto"/>
                <w:w w:val="90"/>
              </w:rPr>
              <w:t>Philadelphia, Pennsylvania 19102-2148</w:t>
            </w:r>
          </w:p>
        </w:tc>
      </w:tr>
      <w:tr>
        <w:trPr>
          <w:trHeight w:val="216"/>
        </w:trPr>
        <w:tc>
          <w:tcPr>
            <w:tcW w:w="2560" w:type="dxa"/>
            <w:vAlign w:val="bottom"/>
          </w:tcPr>
          <w:p>
            <w:pPr>
              <w:spacing w:after="0"/>
              <w:rPr>
                <w:sz w:val="18"/>
                <w:szCs w:val="18"/>
                <w:color w:val="auto"/>
              </w:rPr>
            </w:pPr>
          </w:p>
        </w:tc>
        <w:tc>
          <w:tcPr>
            <w:tcW w:w="5500" w:type="dxa"/>
            <w:vAlign w:val="bottom"/>
          </w:tcPr>
          <w:p>
            <w:pPr>
              <w:jc w:val="center"/>
              <w:ind w:right="2170"/>
              <w:spacing w:after="0"/>
              <w:rPr>
                <w:sz w:val="20"/>
                <w:szCs w:val="20"/>
                <w:color w:val="auto"/>
              </w:rPr>
            </w:pPr>
            <w:r>
              <w:rPr>
                <w:rFonts w:ascii="Arial" w:cs="Arial" w:eastAsia="Arial" w:hAnsi="Arial"/>
                <w:sz w:val="18"/>
                <w:szCs w:val="18"/>
                <w:color w:val="auto"/>
                <w:w w:val="90"/>
              </w:rPr>
              <w:t>(215) 665-1700</w:t>
            </w:r>
          </w:p>
        </w:tc>
      </w:tr>
      <w:tr>
        <w:trPr>
          <w:trHeight w:val="216"/>
        </w:trPr>
        <w:tc>
          <w:tcPr>
            <w:tcW w:w="806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(Name, address, including zip code and telephone number,</w:t>
            </w:r>
          </w:p>
        </w:tc>
      </w:tr>
      <w:tr>
        <w:trPr>
          <w:trHeight w:val="230"/>
        </w:trPr>
        <w:tc>
          <w:tcPr>
            <w:tcW w:w="2560" w:type="dxa"/>
            <w:vAlign w:val="bottom"/>
          </w:tcPr>
          <w:p>
            <w:pPr>
              <w:spacing w:after="0"/>
              <w:rPr>
                <w:sz w:val="20"/>
                <w:szCs w:val="20"/>
                <w:color w:val="auto"/>
              </w:rPr>
            </w:pPr>
          </w:p>
        </w:tc>
        <w:tc>
          <w:tcPr>
            <w:tcW w:w="5500" w:type="dxa"/>
            <w:vAlign w:val="bottom"/>
          </w:tcPr>
          <w:p>
            <w:pPr>
              <w:jc w:val="center"/>
              <w:ind w:right="2170"/>
              <w:spacing w:after="0"/>
              <w:rPr>
                <w:sz w:val="20"/>
                <w:szCs w:val="20"/>
                <w:color w:val="auto"/>
              </w:rPr>
            </w:pPr>
            <w:r>
              <w:rPr>
                <w:rFonts w:ascii="Arial" w:cs="Arial" w:eastAsia="Arial" w:hAnsi="Arial"/>
                <w:sz w:val="18"/>
                <w:szCs w:val="18"/>
                <w:color w:val="auto"/>
                <w:w w:val="91"/>
              </w:rPr>
              <w:t>including area code, of agent for service)</w:t>
            </w:r>
          </w:p>
        </w:tc>
      </w:tr>
      <w:tr>
        <w:trPr>
          <w:trHeight w:val="486"/>
        </w:trPr>
        <w:tc>
          <w:tcPr>
            <w:tcW w:w="2560" w:type="dxa"/>
            <w:vAlign w:val="bottom"/>
          </w:tcPr>
          <w:p>
            <w:pPr>
              <w:spacing w:after="0"/>
              <w:rPr>
                <w:sz w:val="24"/>
                <w:szCs w:val="24"/>
                <w:color w:val="auto"/>
              </w:rPr>
            </w:pPr>
          </w:p>
        </w:tc>
        <w:tc>
          <w:tcPr>
            <w:tcW w:w="5500" w:type="dxa"/>
            <w:vAlign w:val="bottom"/>
          </w:tcPr>
          <w:p>
            <w:pPr>
              <w:jc w:val="center"/>
              <w:ind w:right="2190"/>
              <w:spacing w:after="0"/>
              <w:rPr>
                <w:sz w:val="20"/>
                <w:szCs w:val="20"/>
                <w:color w:val="auto"/>
              </w:rPr>
            </w:pPr>
            <w:r>
              <w:rPr>
                <w:rFonts w:ascii="Arial" w:cs="Arial" w:eastAsia="Arial" w:hAnsi="Arial"/>
                <w:sz w:val="18"/>
                <w:szCs w:val="18"/>
                <w:color w:val="auto"/>
                <w:w w:val="91"/>
              </w:rPr>
              <w:t>Copies of all communications to:</w:t>
            </w:r>
          </w:p>
        </w:tc>
      </w:tr>
      <w:tr>
        <w:trPr>
          <w:trHeight w:val="472"/>
        </w:trPr>
        <w:tc>
          <w:tcPr>
            <w:tcW w:w="2560" w:type="dxa"/>
            <w:vAlign w:val="bottom"/>
          </w:tcPr>
          <w:p>
            <w:pPr>
              <w:jc w:val="center"/>
              <w:spacing w:after="0"/>
              <w:rPr>
                <w:sz w:val="20"/>
                <w:szCs w:val="20"/>
                <w:color w:val="auto"/>
              </w:rPr>
            </w:pPr>
            <w:r>
              <w:rPr>
                <w:rFonts w:ascii="Arial" w:cs="Arial" w:eastAsia="Arial" w:hAnsi="Arial"/>
                <w:sz w:val="18"/>
                <w:szCs w:val="18"/>
                <w:color w:val="auto"/>
                <w:w w:val="94"/>
              </w:rPr>
              <w:t>Robert A. Friedel</w:t>
            </w:r>
          </w:p>
        </w:tc>
        <w:tc>
          <w:tcPr>
            <w:tcW w:w="5500" w:type="dxa"/>
            <w:vAlign w:val="bottom"/>
          </w:tcPr>
          <w:p>
            <w:pPr>
              <w:jc w:val="center"/>
              <w:ind w:left="3330"/>
              <w:spacing w:after="0"/>
              <w:rPr>
                <w:sz w:val="20"/>
                <w:szCs w:val="20"/>
                <w:color w:val="auto"/>
              </w:rPr>
            </w:pPr>
            <w:r>
              <w:rPr>
                <w:rFonts w:ascii="Arial" w:cs="Arial" w:eastAsia="Arial" w:hAnsi="Arial"/>
                <w:sz w:val="18"/>
                <w:szCs w:val="18"/>
                <w:color w:val="auto"/>
                <w:w w:val="90"/>
              </w:rPr>
              <w:t>Richard D. Truesdell, Jr.</w:t>
            </w: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3"/>
              </w:rPr>
              <w:t>Pepper Hamilton LLP</w:t>
            </w:r>
          </w:p>
        </w:tc>
        <w:tc>
          <w:tcPr>
            <w:tcW w:w="5500" w:type="dxa"/>
            <w:vAlign w:val="bottom"/>
          </w:tcPr>
          <w:p>
            <w:pPr>
              <w:jc w:val="center"/>
              <w:ind w:left="3330"/>
              <w:spacing w:after="0"/>
              <w:rPr>
                <w:sz w:val="20"/>
                <w:szCs w:val="20"/>
                <w:color w:val="auto"/>
              </w:rPr>
            </w:pPr>
            <w:r>
              <w:rPr>
                <w:rFonts w:ascii="Arial" w:cs="Arial" w:eastAsia="Arial" w:hAnsi="Arial"/>
                <w:sz w:val="18"/>
                <w:szCs w:val="18"/>
                <w:color w:val="auto"/>
                <w:w w:val="94"/>
              </w:rPr>
              <w:t>Davis Polk &amp; Wardwell</w:t>
            </w: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89"/>
              </w:rPr>
              <w:t>3000 Two Logan Square</w:t>
            </w:r>
          </w:p>
        </w:tc>
        <w:tc>
          <w:tcPr>
            <w:tcW w:w="5500" w:type="dxa"/>
            <w:vAlign w:val="bottom"/>
          </w:tcPr>
          <w:p>
            <w:pPr>
              <w:jc w:val="center"/>
              <w:ind w:left="3330"/>
              <w:spacing w:after="0"/>
              <w:rPr>
                <w:sz w:val="20"/>
                <w:szCs w:val="20"/>
                <w:color w:val="auto"/>
              </w:rPr>
            </w:pPr>
            <w:r>
              <w:rPr>
                <w:rFonts w:ascii="Arial" w:cs="Arial" w:eastAsia="Arial" w:hAnsi="Arial"/>
                <w:sz w:val="18"/>
                <w:szCs w:val="18"/>
                <w:color w:val="auto"/>
                <w:w w:val="91"/>
              </w:rPr>
              <w:t>450 Lexington Avenue</w:t>
            </w: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0"/>
              </w:rPr>
              <w:t>Philadelphia, Pennsylvania 19103</w:t>
            </w:r>
          </w:p>
        </w:tc>
        <w:tc>
          <w:tcPr>
            <w:tcW w:w="5500" w:type="dxa"/>
            <w:vAlign w:val="bottom"/>
          </w:tcPr>
          <w:p>
            <w:pPr>
              <w:jc w:val="center"/>
              <w:ind w:left="3350"/>
              <w:spacing w:after="0"/>
              <w:rPr>
                <w:sz w:val="20"/>
                <w:szCs w:val="20"/>
                <w:color w:val="auto"/>
              </w:rPr>
            </w:pPr>
            <w:r>
              <w:rPr>
                <w:rFonts w:ascii="Arial" w:cs="Arial" w:eastAsia="Arial" w:hAnsi="Arial"/>
                <w:sz w:val="18"/>
                <w:szCs w:val="18"/>
                <w:color w:val="auto"/>
                <w:w w:val="93"/>
              </w:rPr>
              <w:t>New York, New York 10017</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0"/>
              </w:rPr>
              <w:t>(215) 981-4000</w:t>
            </w:r>
          </w:p>
        </w:tc>
        <w:tc>
          <w:tcPr>
            <w:tcW w:w="5500" w:type="dxa"/>
            <w:vAlign w:val="bottom"/>
          </w:tcPr>
          <w:p>
            <w:pPr>
              <w:jc w:val="center"/>
              <w:ind w:left="3330"/>
              <w:spacing w:after="0"/>
              <w:rPr>
                <w:sz w:val="20"/>
                <w:szCs w:val="20"/>
                <w:color w:val="auto"/>
              </w:rPr>
            </w:pPr>
            <w:r>
              <w:rPr>
                <w:rFonts w:ascii="Arial" w:cs="Arial" w:eastAsia="Arial" w:hAnsi="Arial"/>
                <w:sz w:val="18"/>
                <w:szCs w:val="18"/>
                <w:color w:val="auto"/>
                <w:w w:val="90"/>
              </w:rPr>
              <w:t>(212) 450-4000</w:t>
            </w:r>
          </w:p>
        </w:tc>
      </w:tr>
    </w:tbl>
    <w:p>
      <w:pPr>
        <w:spacing w:after="0" w:line="252" w:lineRule="exact"/>
        <w:rPr>
          <w:sz w:val="24"/>
          <w:szCs w:val="24"/>
          <w:color w:val="auto"/>
        </w:rPr>
      </w:pPr>
    </w:p>
    <w:p>
      <w:pPr>
        <w:spacing w:after="0"/>
        <w:tabs>
          <w:tab w:leader="none" w:pos="5340" w:val="left"/>
        </w:tabs>
        <w:rPr>
          <w:sz w:val="20"/>
          <w:szCs w:val="20"/>
          <w:color w:val="auto"/>
        </w:rPr>
      </w:pPr>
      <w:r>
        <w:rPr>
          <w:rFonts w:ascii="Arial" w:cs="Arial" w:eastAsia="Arial" w:hAnsi="Arial"/>
          <w:sz w:val="18"/>
          <w:szCs w:val="18"/>
          <w:b w:val="1"/>
          <w:bCs w:val="1"/>
          <w:color w:val="auto"/>
        </w:rPr>
        <w:t>Approximate date of commencement of proposed sale to the public:</w:t>
      </w:r>
      <w:r>
        <w:rPr>
          <w:sz w:val="20"/>
          <w:szCs w:val="20"/>
          <w:color w:val="auto"/>
        </w:rPr>
        <w:tab/>
      </w:r>
      <w:r>
        <w:rPr>
          <w:rFonts w:ascii="Arial" w:cs="Arial" w:eastAsia="Arial" w:hAnsi="Arial"/>
          <w:sz w:val="16"/>
          <w:szCs w:val="16"/>
          <w:color w:val="auto"/>
        </w:rPr>
        <w:t>Not applicable.</w:t>
      </w:r>
    </w:p>
    <w:p>
      <w:pPr>
        <w:spacing w:after="0" w:line="2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x</w:t>
      </w:r>
    </w:p>
    <w:p>
      <w:pPr>
        <w:spacing w:after="0" w:line="201"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37" w:lineRule="exact"/>
        <w:rPr>
          <w:sz w:val="20"/>
          <w:szCs w:val="20"/>
          <w:color w:val="auto"/>
        </w:rPr>
      </w:pPr>
    </w:p>
    <w:p>
      <w:pPr>
        <w:ind w:right="6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30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On September 21, 2004, Comcast Corporation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filed a Registration Statement on Form S-3 (Registration No. 333-119161) (as subsequently amended prior to the date hereof,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which registered 42,034,040 shares of the Registrant’s Class A Common Stock, par value $.01 (the “</w:t>
      </w:r>
      <w:r>
        <w:rPr>
          <w:rFonts w:ascii="Arial" w:cs="Arial" w:eastAsia="Arial" w:hAnsi="Arial"/>
          <w:sz w:val="16"/>
          <w:szCs w:val="16"/>
          <w:b w:val="1"/>
          <w:bCs w:val="1"/>
          <w:i w:val="1"/>
          <w:iCs w:val="1"/>
          <w:color w:val="auto"/>
        </w:rPr>
        <w:t>A Shares</w:t>
      </w:r>
      <w:r>
        <w:rPr>
          <w:rFonts w:ascii="Arial" w:cs="Arial" w:eastAsia="Arial" w:hAnsi="Arial"/>
          <w:sz w:val="16"/>
          <w:szCs w:val="16"/>
          <w:color w:val="auto"/>
        </w:rPr>
        <w:t>”) and 288,731 shares of the Registrant’s Class A Special Common Stock, par value $.01 (the “</w:t>
      </w:r>
      <w:r>
        <w:rPr>
          <w:rFonts w:ascii="Arial" w:cs="Arial" w:eastAsia="Arial" w:hAnsi="Arial"/>
          <w:sz w:val="16"/>
          <w:szCs w:val="16"/>
          <w:b w:val="1"/>
          <w:bCs w:val="1"/>
          <w:i w:val="1"/>
          <w:iCs w:val="1"/>
          <w:color w:val="auto"/>
        </w:rPr>
        <w:t>K Shares</w:t>
      </w:r>
      <w:r>
        <w:rPr>
          <w:rFonts w:ascii="Arial" w:cs="Arial" w:eastAsia="Arial" w:hAnsi="Arial"/>
          <w:sz w:val="16"/>
          <w:szCs w:val="16"/>
          <w:color w:val="auto"/>
        </w:rPr>
        <w:t>”), to be offered by J.P. Morgan Securities Inc. as part of the Stock Option Liquidity Program (the “</w:t>
      </w:r>
      <w:r>
        <w:rPr>
          <w:rFonts w:ascii="Arial" w:cs="Arial" w:eastAsia="Arial" w:hAnsi="Arial"/>
          <w:sz w:val="16"/>
          <w:szCs w:val="16"/>
          <w:b w:val="1"/>
          <w:bCs w:val="1"/>
          <w:i w:val="1"/>
          <w:iCs w:val="1"/>
          <w:color w:val="auto"/>
        </w:rPr>
        <w:t>Program</w:t>
      </w:r>
      <w:r>
        <w:rPr>
          <w:rFonts w:ascii="Arial" w:cs="Arial" w:eastAsia="Arial" w:hAnsi="Arial"/>
          <w:sz w:val="16"/>
          <w:szCs w:val="16"/>
          <w:color w:val="auto"/>
        </w:rPr>
        <w:t>”) established by the Registrant and JPMorgan Chase Bank.</w:t>
      </w:r>
    </w:p>
    <w:p>
      <w:pPr>
        <w:spacing w:after="0" w:line="208" w:lineRule="exact"/>
        <w:rPr>
          <w:sz w:val="20"/>
          <w:szCs w:val="20"/>
          <w:color w:val="auto"/>
        </w:rPr>
      </w:pPr>
    </w:p>
    <w:p>
      <w:pPr>
        <w:ind w:right="500" w:firstLine="1297"/>
        <w:spacing w:after="0" w:line="264" w:lineRule="auto"/>
        <w:rPr>
          <w:sz w:val="20"/>
          <w:szCs w:val="20"/>
          <w:color w:val="auto"/>
        </w:rPr>
      </w:pPr>
      <w:r>
        <w:rPr>
          <w:rFonts w:ascii="Arial" w:cs="Arial" w:eastAsia="Arial" w:hAnsi="Arial"/>
          <w:sz w:val="18"/>
          <w:szCs w:val="18"/>
          <w:color w:val="auto"/>
        </w:rPr>
        <w:t>J.P. Morgan Securities Inc. sold 11,028,706 A Shares and 33,000 K Shares as part of the Program. Following these sales, there are 31,005,334 A Shares and 255,731 K Shares remaining unsold under the Registration Statement. Accordingly, the Registrant is filing this Post-Effective Amendment No. 1 to deregister the offering of 31,005,334 A Shares and 255,731 K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1297"/>
        <w:spacing w:after="0" w:line="268" w:lineRule="auto"/>
        <w:rPr>
          <w:sz w:val="20"/>
          <w:szCs w:val="20"/>
          <w:color w:val="auto"/>
        </w:rPr>
      </w:pPr>
      <w:r>
        <w:rPr>
          <w:rFonts w:ascii="Arial" w:cs="Arial" w:eastAsia="Arial" w:hAnsi="Arial"/>
          <w:sz w:val="18"/>
          <w:szCs w:val="18"/>
          <w:color w:val="auto"/>
        </w:rPr>
        <w:t>Pursuant to the requirements of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in accordance with Rule 478(a)(4) under the Securities Act, Comcast Corporation certifies that it has reasonable grounds to believe that it meets all of the requirements for filing on Form S-3 and has duly caused this Post-Effective Amendment No. 1 to the Registration Statement to be signed on its behalf by the undersigned, thereunto duly authorized in Philadelphia, Pennsylvania, on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2005.</w:t>
      </w:r>
    </w:p>
    <w:p>
      <w:pPr>
        <w:spacing w:after="0" w:line="200" w:lineRule="exact"/>
        <w:rPr>
          <w:sz w:val="20"/>
          <w:szCs w:val="20"/>
          <w:color w:val="auto"/>
        </w:rPr>
      </w:pPr>
    </w:p>
    <w:p>
      <w:pPr>
        <w:spacing w:after="0" w:line="2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COMCAST CORPORATION</w:t>
      </w:r>
    </w:p>
    <w:p>
      <w:pPr>
        <w:spacing w:after="0" w:line="303" w:lineRule="exact"/>
        <w:rPr>
          <w:sz w:val="20"/>
          <w:szCs w:val="20"/>
          <w:color w:val="auto"/>
        </w:rPr>
      </w:pPr>
    </w:p>
    <w:tbl>
      <w:tblPr>
        <w:tblLayout w:type="fixed"/>
        <w:tblInd w:w="514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17"/>
                <w:szCs w:val="17"/>
                <w:color w:val="auto"/>
              </w:rPr>
            </w:pPr>
          </w:p>
        </w:tc>
        <w:tc>
          <w:tcPr>
            <w:tcW w:w="5280" w:type="dxa"/>
            <w:vAlign w:val="bottom"/>
            <w:tcBorders>
              <w:bottom w:val="single" w:sz="8" w:color="auto"/>
            </w:tcBorders>
          </w:tcPr>
          <w:p>
            <w:pPr>
              <w:jc w:val="right"/>
              <w:ind w:right="3810"/>
              <w:spacing w:after="0"/>
              <w:rPr>
                <w:sz w:val="20"/>
                <w:szCs w:val="20"/>
                <w:color w:val="auto"/>
              </w:rPr>
            </w:pPr>
            <w:r>
              <w:rPr>
                <w:rFonts w:ascii="Arial" w:cs="Arial" w:eastAsia="Arial" w:hAnsi="Arial"/>
                <w:sz w:val="18"/>
                <w:szCs w:val="18"/>
                <w:color w:val="auto"/>
                <w:w w:val="93"/>
              </w:rPr>
              <w:t>/s/ Arthur R. Block</w:t>
            </w:r>
          </w:p>
        </w:tc>
      </w:tr>
      <w:tr>
        <w:trPr>
          <w:trHeight w:val="236"/>
        </w:trPr>
        <w:tc>
          <w:tcPr>
            <w:tcW w:w="380" w:type="dxa"/>
            <w:vAlign w:val="bottom"/>
          </w:tcPr>
          <w:p>
            <w:pPr>
              <w:spacing w:after="0"/>
              <w:rPr>
                <w:sz w:val="20"/>
                <w:szCs w:val="20"/>
                <w:color w:val="auto"/>
              </w:rPr>
            </w:pPr>
          </w:p>
        </w:tc>
        <w:tc>
          <w:tcPr>
            <w:tcW w:w="5560" w:type="dxa"/>
            <w:vAlign w:val="bottom"/>
            <w:gridSpan w:val="2"/>
          </w:tcPr>
          <w:p>
            <w:pPr>
              <w:jc w:val="right"/>
              <w:ind w:right="4190"/>
              <w:spacing w:after="0"/>
              <w:rPr>
                <w:sz w:val="20"/>
                <w:szCs w:val="20"/>
                <w:color w:val="auto"/>
              </w:rPr>
            </w:pPr>
            <w:r>
              <w:rPr>
                <w:rFonts w:ascii="Arial" w:cs="Arial" w:eastAsia="Arial" w:hAnsi="Arial"/>
                <w:sz w:val="18"/>
                <w:szCs w:val="18"/>
                <w:color w:val="auto"/>
              </w:rPr>
              <w:t>Arthur R. Block</w:t>
            </w:r>
          </w:p>
        </w:tc>
      </w:tr>
      <w:tr>
        <w:trPr>
          <w:trHeight w:val="230"/>
        </w:trPr>
        <w:tc>
          <w:tcPr>
            <w:tcW w:w="380" w:type="dxa"/>
            <w:vAlign w:val="bottom"/>
          </w:tcPr>
          <w:p>
            <w:pPr>
              <w:spacing w:after="0"/>
              <w:rPr>
                <w:sz w:val="20"/>
                <w:szCs w:val="20"/>
                <w:color w:val="auto"/>
              </w:rPr>
            </w:pPr>
          </w:p>
        </w:tc>
        <w:tc>
          <w:tcPr>
            <w:tcW w:w="5560" w:type="dxa"/>
            <w:vAlign w:val="bottom"/>
            <w:gridSpan w:val="2"/>
          </w:tcPr>
          <w:p>
            <w:pPr>
              <w:jc w:val="right"/>
              <w:ind w:right="3810"/>
              <w:spacing w:after="0"/>
              <w:rPr>
                <w:sz w:val="20"/>
                <w:szCs w:val="20"/>
                <w:color w:val="auto"/>
              </w:rPr>
            </w:pPr>
            <w:r>
              <w:rPr>
                <w:rFonts w:ascii="Arial" w:cs="Arial" w:eastAsia="Arial" w:hAnsi="Arial"/>
                <w:sz w:val="18"/>
                <w:szCs w:val="18"/>
                <w:color w:val="auto"/>
                <w:w w:val="94"/>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80"/>
      </w:cols>
      <w:pgMar w:left="240" w:top="60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2019-12-15T07:01:38Z</dcterms:created>
  <dcterms:modified xsi:type="dcterms:W3CDTF">2019-12-15T07:01:38Z</dcterms:modified>
</cp:coreProperties>
</file>