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54" w:lineRule="exact"/>
        <w:rPr>
          <w:sz w:val="24"/>
          <w:szCs w:val="24"/>
          <w:color w:val="auto"/>
        </w:rPr>
      </w:pPr>
    </w:p>
    <w:p>
      <w:pPr>
        <w:ind w:right="60"/>
        <w:spacing w:after="0" w:line="244"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are not offering to sell or soliciting an offer to buy, nor shall there be any offer or sale of, the securities to which this preliminary prospectus supplement and the accompanying prospectus relate in any jurisdiction in which such an offer or sale is not permitted.</w:t>
      </w:r>
    </w:p>
    <w:p>
      <w:pPr>
        <w:spacing w:after="0" w:line="122"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333-158816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November 17, 2010</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April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109855</wp:posOffset>
            </wp:positionV>
            <wp:extent cx="139763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5360" w:hanging="964"/>
        <w:spacing w:after="0"/>
        <w:tabs>
          <w:tab w:leader="none" w:pos="53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 Notes due 2029</w:t>
      </w:r>
    </w:p>
    <w:p>
      <w:pPr>
        <w:spacing w:after="0" w:line="171" w:lineRule="exact"/>
        <w:rPr>
          <w:sz w:val="24"/>
          <w:szCs w:val="24"/>
          <w:color w:val="auto"/>
        </w:rPr>
      </w:pPr>
    </w:p>
    <w:p>
      <w:pPr>
        <w:ind w:left="220" w:right="180" w:firstLine="237"/>
        <w:spacing w:after="0" w:line="286" w:lineRule="auto"/>
        <w:rPr>
          <w:sz w:val="20"/>
          <w:szCs w:val="20"/>
          <w:color w:val="auto"/>
        </w:rPr>
      </w:pPr>
      <w:r>
        <w:rPr>
          <w:rFonts w:ascii="Arial" w:cs="Arial" w:eastAsia="Arial" w:hAnsi="Arial"/>
          <w:sz w:val="16"/>
          <w:szCs w:val="16"/>
          <w:color w:val="auto"/>
        </w:rPr>
        <w:t>The Notes due 2029 will bear interest at a rate of % per year and will mature on November , 2029. We will pay interest on the notes on November of each year, beginning November , 2011. We may redeem any of the notes at any time by paying the greater of the principal amount of such notes or a</w:t>
      </w:r>
    </w:p>
    <w:p>
      <w:pPr>
        <w:spacing w:after="0"/>
        <w:rPr>
          <w:sz w:val="20"/>
          <w:szCs w:val="20"/>
          <w:color w:val="auto"/>
        </w:rPr>
      </w:pPr>
      <w:r>
        <w:rPr>
          <w:rFonts w:ascii="Arial" w:cs="Arial" w:eastAsia="Arial" w:hAnsi="Arial"/>
          <w:sz w:val="18"/>
          <w:szCs w:val="18"/>
          <w:color w:val="auto"/>
        </w:rPr>
        <w:t>“make-whole” amount, plus, in each case, accrued and unpaid interest. See “Description of the Notes—Optional Redemption.”</w:t>
      </w:r>
    </w:p>
    <w:p>
      <w:pPr>
        <w:spacing w:after="0" w:line="165"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8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be issued in minimum denominations of £50,000 and in multiples of £1,000 in excess thereof.</w:t>
      </w:r>
    </w:p>
    <w:p>
      <w:pPr>
        <w:spacing w:after="0" w:line="171"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We intend to apply to list the notes on the New York Stock Exchange. We expect trading in the notes on the New York Stock Exchange to begin within 30 days after the original issue date. Currently there is no public market for the notes.</w:t>
      </w:r>
    </w:p>
    <w:p>
      <w:pPr>
        <w:spacing w:after="0" w:line="12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notes involves risks that are described in the “Risk Factors” section beginning on page S-5.</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52"/>
              <w:spacing w:after="0"/>
              <w:rPr>
                <w:sz w:val="20"/>
                <w:szCs w:val="20"/>
                <w:color w:val="auto"/>
              </w:rPr>
            </w:pPr>
            <w:r>
              <w:rPr>
                <w:rFonts w:ascii="Arial" w:cs="Arial" w:eastAsia="Arial" w:hAnsi="Arial"/>
                <w:sz w:val="14"/>
                <w:szCs w:val="14"/>
                <w:b w:val="1"/>
                <w:bCs w:val="1"/>
                <w:color w:val="auto"/>
                <w:w w:val="93"/>
              </w:rPr>
              <w:t>Underwriters’</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93"/>
              </w:rPr>
              <w:t>Proceeds to Us Before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52"/>
              <w:spacing w:after="0"/>
              <w:rPr>
                <w:sz w:val="20"/>
                <w:szCs w:val="20"/>
                <w:color w:val="auto"/>
              </w:rPr>
            </w:pPr>
            <w:r>
              <w:rPr>
                <w:rFonts w:ascii="Arial" w:cs="Arial" w:eastAsia="Arial" w:hAnsi="Arial"/>
                <w:sz w:val="14"/>
                <w:szCs w:val="14"/>
                <w:b w:val="1"/>
                <w:bCs w:val="1"/>
                <w:color w:val="auto"/>
                <w:w w:val="86"/>
              </w:rPr>
              <w:t>Discount</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01"/>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Per note due 2029</w:t>
            </w:r>
            <w:r>
              <w:rPr>
                <w:rFonts w:ascii="Arial" w:cs="Arial" w:eastAsia="Arial" w:hAnsi="Arial"/>
                <w:sz w:val="11"/>
                <w:szCs w:val="11"/>
                <w:color w:val="auto"/>
              </w:rPr>
              <w:t>(1)</w:t>
            </w:r>
          </w:p>
        </w:tc>
        <w:tc>
          <w:tcPr>
            <w:tcW w:w="32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60" w:type="dxa"/>
            <w:vAlign w:val="bottom"/>
          </w:tcPr>
          <w:p>
            <w:pPr>
              <w:jc w:val="right"/>
              <w:ind w:right="412"/>
              <w:spacing w:after="0" w:line="201" w:lineRule="exact"/>
              <w:rPr>
                <w:sz w:val="20"/>
                <w:szCs w:val="20"/>
                <w:color w:val="auto"/>
              </w:rPr>
            </w:pPr>
            <w:r>
              <w:rPr>
                <w:rFonts w:ascii="Arial" w:cs="Arial" w:eastAsia="Arial" w:hAnsi="Arial"/>
                <w:sz w:val="18"/>
                <w:szCs w:val="18"/>
                <w:color w:val="auto"/>
                <w:w w:val="87"/>
              </w:rPr>
              <w:t>%</w:t>
            </w:r>
          </w:p>
        </w:tc>
        <w:tc>
          <w:tcPr>
            <w:tcW w:w="1280" w:type="dxa"/>
            <w:vAlign w:val="bottom"/>
            <w:tcBorders>
              <w:top w:val="single" w:sz="8" w:color="auto"/>
            </w:tcBorders>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gridSpan w:val="2"/>
            <w:vMerge w:val="restart"/>
          </w:tcPr>
          <w:p>
            <w:pPr>
              <w:jc w:val="right"/>
              <w:ind w:right="113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43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920" w:type="dxa"/>
            <w:vAlign w:val="bottom"/>
            <w:gridSpan w:val="2"/>
          </w:tcPr>
          <w:p>
            <w:pPr>
              <w:spacing w:after="0"/>
              <w:rPr>
                <w:sz w:val="20"/>
                <w:szCs w:val="20"/>
                <w:color w:val="auto"/>
              </w:rPr>
            </w:pPr>
            <w:r>
              <w:rPr>
                <w:rFonts w:ascii="Arial" w:cs="Arial" w:eastAsia="Arial" w:hAnsi="Arial"/>
                <w:sz w:val="14"/>
                <w:szCs w:val="14"/>
                <w:color w:val="auto"/>
                <w:w w:val="95"/>
              </w:rPr>
              <w:t>(1)   Plus accrued interest, if any, from November</w:t>
            </w:r>
          </w:p>
        </w:tc>
        <w:tc>
          <w:tcPr>
            <w:tcW w:w="4300" w:type="dxa"/>
            <w:vAlign w:val="bottom"/>
            <w:gridSpan w:val="2"/>
          </w:tcPr>
          <w:p>
            <w:pPr>
              <w:ind w:left="160"/>
              <w:spacing w:after="0"/>
              <w:rPr>
                <w:sz w:val="20"/>
                <w:szCs w:val="20"/>
                <w:color w:val="auto"/>
              </w:rPr>
            </w:pPr>
            <w:r>
              <w:rPr>
                <w:rFonts w:ascii="Arial" w:cs="Arial" w:eastAsia="Arial" w:hAnsi="Arial"/>
                <w:sz w:val="14"/>
                <w:szCs w:val="14"/>
                <w:color w:val="auto"/>
              </w:rPr>
              <w:t>, 2010, if settlement occurs after that date.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4"/>
          <w:szCs w:val="24"/>
          <w:color w:val="auto"/>
        </w:rPr>
      </w:pPr>
    </w:p>
    <w:p>
      <w:pPr>
        <w:ind w:left="180" w:right="140" w:firstLine="281"/>
        <w:spacing w:after="0" w:line="268" w:lineRule="auto"/>
        <w:rPr>
          <w:sz w:val="20"/>
          <w:szCs w:val="20"/>
          <w:color w:val="auto"/>
        </w:rPr>
      </w:pPr>
      <w:r>
        <w:rPr>
          <w:rFonts w:ascii="Arial" w:cs="Arial" w:eastAsia="Arial" w:hAnsi="Arial"/>
          <w:sz w:val="18"/>
          <w:szCs w:val="18"/>
          <w:color w:val="auto"/>
        </w:rPr>
        <w:t>The notes will be ready for delivery only through the facilities of Clearstream or Euroclear, as the case may be, in book-entry form on or about November , 2010.</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4"/>
          <w:szCs w:val="24"/>
          <w:color w:val="auto"/>
        </w:rPr>
      </w:pPr>
    </w:p>
    <w:p>
      <w:pPr>
        <w:spacing w:after="0"/>
        <w:tabs>
          <w:tab w:leader="none" w:pos="2620" w:val="left"/>
          <w:tab w:leader="none" w:pos="4800" w:val="left"/>
          <w:tab w:leader="none" w:pos="8800" w:val="left"/>
        </w:tabs>
        <w:rPr>
          <w:sz w:val="20"/>
          <w:szCs w:val="20"/>
          <w:color w:val="auto"/>
        </w:rPr>
      </w:pPr>
      <w:r>
        <w:rPr>
          <w:rFonts w:ascii="Arial" w:cs="Arial" w:eastAsia="Arial" w:hAnsi="Arial"/>
          <w:sz w:val="22"/>
          <w:szCs w:val="22"/>
          <w:b w:val="1"/>
          <w:bCs w:val="1"/>
          <w:color w:val="auto"/>
        </w:rPr>
        <w:t>Barclays Capital</w:t>
      </w:r>
      <w:r>
        <w:rPr>
          <w:sz w:val="20"/>
          <w:szCs w:val="20"/>
          <w:color w:val="auto"/>
        </w:rPr>
        <w:tab/>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b w:val="1"/>
          <w:bCs w:val="1"/>
          <w:color w:val="auto"/>
        </w:rPr>
        <w:t>Goldman Sachs International</w:t>
      </w:r>
      <w:r>
        <w:rPr>
          <w:sz w:val="20"/>
          <w:szCs w:val="20"/>
          <w:color w:val="auto"/>
        </w:rPr>
        <w:tab/>
      </w:r>
      <w:r>
        <w:rPr>
          <w:rFonts w:ascii="Arial" w:cs="Arial" w:eastAsia="Arial" w:hAnsi="Arial"/>
          <w:sz w:val="19"/>
          <w:szCs w:val="19"/>
          <w:b w:val="1"/>
          <w:bCs w:val="1"/>
          <w:color w:val="auto"/>
        </w:rPr>
        <w:t>The Royal Bank of Scotland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342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w w:val="92"/>
              </w:rPr>
              <w:t>The date of this prospectus supplement is November</w:t>
            </w:r>
          </w:p>
        </w:tc>
        <w:tc>
          <w:tcPr>
            <w:tcW w:w="680" w:type="dxa"/>
            <w:vAlign w:val="bottom"/>
          </w:tcPr>
          <w:p>
            <w:pPr>
              <w:jc w:val="right"/>
              <w:spacing w:after="0"/>
              <w:rPr>
                <w:sz w:val="20"/>
                <w:szCs w:val="20"/>
                <w:color w:val="auto"/>
              </w:rPr>
            </w:pPr>
            <w:r>
              <w:rPr>
                <w:rFonts w:ascii="Arial" w:cs="Arial" w:eastAsia="Arial" w:hAnsi="Arial"/>
                <w:sz w:val="18"/>
                <w:szCs w:val="18"/>
                <w:color w:val="auto"/>
              </w:rPr>
              <w:t>, 2010.</w:t>
            </w: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3"/>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3"/>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3"/>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380" w:type="dxa"/>
            <w:vAlign w:val="bottom"/>
            <w:tcBorders>
              <w:bottom w:val="single" w:sz="8" w:color="0000EE"/>
            </w:tcBorders>
            <w:gridSpan w:val="13"/>
            <w:vMerge w:val="continue"/>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10040" w:type="dxa"/>
            <w:vAlign w:val="bottom"/>
            <w:gridSpan w:val="1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Currency Conversion</w:t>
              </w:r>
            </w:hyperlink>
          </w:p>
        </w:tc>
        <w:tc>
          <w:tcPr>
            <w:tcW w:w="942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the Notes</w:t>
              </w:r>
            </w:hyperlink>
          </w:p>
        </w:tc>
        <w:tc>
          <w:tcPr>
            <w:tcW w:w="846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Material U.S. Federal Income Tax Consequences</w:t>
              </w:r>
            </w:hyperlink>
          </w:p>
        </w:tc>
        <w:tc>
          <w:tcPr>
            <w:tcW w:w="748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Underwriting</w:t>
              </w:r>
            </w:hyperlink>
          </w:p>
        </w:tc>
        <w:tc>
          <w:tcPr>
            <w:tcW w:w="998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3"/>
          </w:tcPr>
          <w:p>
            <w:pPr>
              <w:ind w:left="7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The Companies</w:t>
              </w:r>
            </w:hyperlink>
          </w:p>
        </w:tc>
        <w:tc>
          <w:tcPr>
            <w:tcW w:w="98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Caution Concerning Forward-Looking Statements</w:t>
              </w:r>
            </w:hyperlink>
          </w:p>
        </w:tc>
        <w:tc>
          <w:tcPr>
            <w:tcW w:w="74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Dividend Policy</w:t>
              </w:r>
            </w:hyperlink>
          </w:p>
        </w:tc>
        <w:tc>
          <w:tcPr>
            <w:tcW w:w="978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Global Securities</w:t>
              </w:r>
            </w:hyperlink>
          </w:p>
        </w:tc>
        <w:tc>
          <w:tcPr>
            <w:tcW w:w="72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95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0"/>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Incorporation of Certain Documents by Reference</w:t>
              </w:r>
            </w:hyperlink>
          </w:p>
        </w:tc>
        <w:tc>
          <w:tcPr>
            <w:tcW w:w="74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supplement and the accompanying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herein or therein is accurate only as of their respective dates. Our business, financial condition, results of operations and prospects may have changed since those dates.</w:t>
      </w:r>
    </w:p>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notes are offered globally for sale in those jurisdictions in Europe, the United States, Asia and elsewhere where it is lawful to make such offers. See “Underwriting.”</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notes in certain jurisdictions may be restricted by law. Persons into whose possession this prospectus supplement and the accompanying prospectus come should inform themselves about and observe these restrictions. This prospectus supplement and the accompanying prospectus do not constitute, and may not be used in connection with an offer or solicitation by anyone in any jurisdiction in which such offer or solicitation is not authorized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which the person making such offer or solicitation is not qualified to do so or to any person to whom it is unlawful to make such offer or solicitation. See “Underwriting—Selling Restrictions.”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References in this prospectus supplement to “$,” “dollars” and “U.S. dollars” are to the currency of the United States of America; references to “£,” “pounds Sterling,” and “Sterling” are to the currency of the United Kingdom.</w:t>
      </w:r>
    </w:p>
    <w:p>
      <w:pPr>
        <w:spacing w:after="0" w:line="1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IN CONNECTION WITH THE ISSUE OF THE NOTES, THE UNDERWRITERS (IN THIS CAPACITY, THE “STABILIZING MANAGERS”) (OR ANY PERSON ACTING FOR THEM) MAY OVER-ALLOT NOTES OR EFFECT TRANSACTIONS WITH A VIEW TO SUPPORTING THE MARKET PRICE OF THE NOTES AT A LEVEL HIGHER THAN THAT WHICH MIGHT OTHERWISE PREVAIL. HOWEVER, THERE IS NO ASSURANCE THAT THE STABILIZING MANAGERS (OR PERSONS ACTING ON BEHALF OF THE STABILIZING MANAGERS)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ISSUE OF THE NOTES AND 60 DAYS AFTER THE DATE OF THE ALLOTMENT OF THE NOTES.</w:t>
      </w:r>
    </w:p>
    <w:p>
      <w:pPr>
        <w:spacing w:after="0" w:line="138"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ANY STABILIZATION ACTION COMMENCED WILL BE CARRIED OUT IN ACCORDANCE WITH APPLICABLE LAWS AND REGULATIONS.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47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64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420" w:firstLine="443"/>
        <w:spacing w:after="0" w:line="305" w:lineRule="auto"/>
        <w:rPr>
          <w:sz w:val="20"/>
          <w:szCs w:val="20"/>
          <w:color w:val="auto"/>
        </w:rPr>
      </w:pPr>
      <w:r>
        <w:rPr>
          <w:rFonts w:ascii="Arial" w:cs="Arial" w:eastAsia="Arial" w:hAnsi="Arial"/>
          <w:sz w:val="15"/>
          <w:szCs w:val="15"/>
          <w:color w:val="auto"/>
        </w:rPr>
        <w:t>We are a leading provider of video, high-speed Internet and phone services, offering a variety of entertainment, information and communications services to residential and commercial customers. As of September 30, 2010, our cable systems served approximately 22.9 million video customers,</w:t>
      </w:r>
    </w:p>
    <w:p>
      <w:pPr>
        <w:ind w:left="200" w:right="20"/>
        <w:spacing w:after="0" w:line="288" w:lineRule="auto"/>
        <w:rPr>
          <w:sz w:val="20"/>
          <w:szCs w:val="20"/>
          <w:color w:val="auto"/>
        </w:rPr>
      </w:pPr>
      <w:r>
        <w:rPr>
          <w:rFonts w:ascii="Arial" w:cs="Arial" w:eastAsia="Arial" w:hAnsi="Arial"/>
          <w:sz w:val="16"/>
          <w:szCs w:val="16"/>
          <w:color w:val="auto"/>
        </w:rPr>
        <w:t>16.7 million high-speed Internet customers and 8.4 million phone customers and passed over 51 million homes and businesses in 39 states and the District of Columbia. We report the results of these operations as our Cable segment, which generates approximately 94% of our consolidated revenue. Our Cable segment also includes the operations of our regional sports networks. Our Cable segment generates revenue primarily through subscriptions to our video, high-speed Internet and phone services. Other Cable segment revenue sources include the sale of advertising and the operation of our regional sports networks. Our Programming segment consists primarily of our consolidated national programming networks, E!, Golf Channel, VERSUS, G4 and Style. Revenue from our Programming segment is generated primarily from monthly per subscriber license fees paid by multichannel video providers, the sale of advertising and the licensing of our programming internationally.</w:t>
      </w:r>
    </w:p>
    <w:p>
      <w:pPr>
        <w:spacing w:after="0" w:line="12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Our other business interests include Comcast Interactive Media and Comcast Spectacor. Comcast Interactive Media develops and operates our Internet businesses, including Comcast.net, Fancast, Fandango, Plaxo and DailyCandy. Comcast Spectacor owns two professional sports teams, the Philadelphia 76ers and the Philadelphia Flyers, and a large, multipurpose arena in Philadelphia, the Wells Fargo Center, and provides facilities management services, including food services for sporting events, concerts and other events. Comcast Interactive Media, Comcast Spectacor and all other consolidated businesses not included in our Cable or Programming segments are included in “Corporate and Other” activities.</w:t>
      </w:r>
    </w:p>
    <w:p>
      <w:pPr>
        <w:spacing w:after="0" w:line="11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sold $4.0 billion aggregate principal amount of senior notes in April 2010 and $5.1 billion of senior notes in October 2010 in connection with the transaction. We will contribute our national programming networks, our regional sports networks and certain of our Internet businesses, as well as other assets used primarily in those businesses. We will also make a cash payment to GE of $7.1 billion, less certain adjustments primarily based on the free cash flow generated by NBC Universal between December 4, 2009 and the closing. The transaction is subject to various regulatory approvals and is expected to close by the end of 2010.</w:t>
      </w:r>
    </w:p>
    <w:p>
      <w:pPr>
        <w:spacing w:after="0" w:line="118" w:lineRule="exact"/>
        <w:rPr>
          <w:sz w:val="20"/>
          <w:szCs w:val="20"/>
          <w:color w:val="auto"/>
        </w:rPr>
      </w:pPr>
    </w:p>
    <w:p>
      <w:pPr>
        <w:ind w:left="200" w:right="24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website is www.comcast.com. The information on our website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Holdings,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04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15049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LLC, Comcast MO Group, Inc. and Comcast MO of Delaware, LLC. In this prospectus supplement, we refer to these guarantors as the cable guarantors and to these guarantees as the cable guarantees.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0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82"/>
        </w:trPr>
        <w:tc>
          <w:tcPr>
            <w:tcW w:w="3040" w:type="dxa"/>
            <w:vAlign w:val="bottom"/>
            <w:tcBorders>
              <w:top w:val="single" w:sz="8" w:color="auto"/>
              <w:left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jc w:val="center"/>
              <w:ind w:right="712"/>
              <w:spacing w:after="0"/>
              <w:rPr>
                <w:sz w:val="20"/>
                <w:szCs w:val="20"/>
                <w:color w:val="auto"/>
              </w:rPr>
            </w:pPr>
            <w:r>
              <w:rPr>
                <w:rFonts w:ascii="Arial" w:cs="Arial" w:eastAsia="Arial" w:hAnsi="Arial"/>
                <w:sz w:val="18"/>
                <w:szCs w:val="18"/>
                <w:b w:val="1"/>
                <w:bCs w:val="1"/>
                <w:color w:val="auto"/>
                <w:w w:val="91"/>
              </w:rPr>
              <w:t>The Offering</w:t>
            </w:r>
          </w:p>
        </w:tc>
        <w:tc>
          <w:tcPr>
            <w:tcW w:w="780" w:type="dxa"/>
            <w:vAlign w:val="bottom"/>
            <w:tcBorders>
              <w:top w:val="single" w:sz="8" w:color="auto"/>
            </w:tcBorders>
          </w:tcPr>
          <w:p>
            <w:pPr>
              <w:spacing w:after="0"/>
              <w:rPr>
                <w:sz w:val="24"/>
                <w:szCs w:val="24"/>
                <w:color w:val="auto"/>
              </w:rPr>
            </w:pPr>
          </w:p>
        </w:tc>
        <w:tc>
          <w:tcPr>
            <w:tcW w:w="3460" w:type="dxa"/>
            <w:vAlign w:val="bottom"/>
            <w:tcBorders>
              <w:top w:val="single" w:sz="8" w:color="auto"/>
              <w:right w:val="single" w:sz="8" w:color="auto"/>
            </w:tcBorders>
          </w:tcPr>
          <w:p>
            <w:pPr>
              <w:spacing w:after="0"/>
              <w:rPr>
                <w:sz w:val="24"/>
                <w:szCs w:val="24"/>
                <w:color w:val="auto"/>
              </w:rPr>
            </w:pPr>
          </w:p>
        </w:tc>
      </w:tr>
      <w:tr>
        <w:trPr>
          <w:trHeight w:val="419"/>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4180" w:type="dxa"/>
            <w:vAlign w:val="bottom"/>
            <w:gridSpan w:val="2"/>
          </w:tcPr>
          <w:p>
            <w:pPr>
              <w:ind w:left="1360"/>
              <w:spacing w:after="0"/>
              <w:rPr>
                <w:sz w:val="20"/>
                <w:szCs w:val="20"/>
                <w:color w:val="auto"/>
              </w:rPr>
            </w:pPr>
            <w:r>
              <w:rPr>
                <w:rFonts w:ascii="Arial" w:cs="Arial" w:eastAsia="Arial" w:hAnsi="Arial"/>
                <w:sz w:val="18"/>
                <w:szCs w:val="18"/>
                <w:color w:val="auto"/>
              </w:rPr>
              <w:t>Comcast Corporation.</w:t>
            </w:r>
          </w:p>
        </w:tc>
        <w:tc>
          <w:tcPr>
            <w:tcW w:w="78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r>
      <w:tr>
        <w:trPr>
          <w:trHeight w:val="31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2000" w:type="dxa"/>
            <w:vAlign w:val="bottom"/>
          </w:tcPr>
          <w:p>
            <w:pPr>
              <w:ind w:left="1360"/>
              <w:spacing w:after="0"/>
              <w:rPr>
                <w:sz w:val="20"/>
                <w:szCs w:val="20"/>
                <w:color w:val="auto"/>
              </w:rPr>
            </w:pPr>
            <w:r>
              <w:rPr>
                <w:rFonts w:ascii="Arial" w:cs="Arial" w:eastAsia="Arial" w:hAnsi="Arial"/>
                <w:sz w:val="18"/>
                <w:szCs w:val="18"/>
                <w:color w:val="auto"/>
              </w:rPr>
              <w:t>£</w:t>
            </w:r>
          </w:p>
        </w:tc>
        <w:tc>
          <w:tcPr>
            <w:tcW w:w="2180" w:type="dxa"/>
            <w:vAlign w:val="bottom"/>
          </w:tcPr>
          <w:p>
            <w:pPr>
              <w:ind w:left="20"/>
              <w:spacing w:after="0"/>
              <w:rPr>
                <w:sz w:val="20"/>
                <w:szCs w:val="20"/>
                <w:color w:val="auto"/>
              </w:rPr>
            </w:pPr>
            <w:r>
              <w:rPr>
                <w:rFonts w:ascii="Arial" w:cs="Arial" w:eastAsia="Arial" w:hAnsi="Arial"/>
                <w:sz w:val="18"/>
                <w:szCs w:val="18"/>
                <w:color w:val="auto"/>
                <w:w w:val="89"/>
              </w:rPr>
              <w:t>aggregate principal amount of</w:t>
            </w:r>
          </w:p>
        </w:tc>
        <w:tc>
          <w:tcPr>
            <w:tcW w:w="424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 Notes due 2029.</w:t>
            </w:r>
          </w:p>
        </w:tc>
      </w:tr>
      <w:tr>
        <w:trPr>
          <w:trHeight w:val="392"/>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4960" w:type="dxa"/>
            <w:vAlign w:val="bottom"/>
            <w:gridSpan w:val="3"/>
          </w:tcPr>
          <w:p>
            <w:pPr>
              <w:ind w:left="1360"/>
              <w:spacing w:after="0"/>
              <w:rPr>
                <w:sz w:val="20"/>
                <w:szCs w:val="20"/>
                <w:color w:val="auto"/>
              </w:rPr>
            </w:pPr>
            <w:r>
              <w:rPr>
                <w:rFonts w:ascii="Arial" w:cs="Arial" w:eastAsia="Arial" w:hAnsi="Arial"/>
                <w:sz w:val="18"/>
                <w:szCs w:val="18"/>
                <w:color w:val="auto"/>
              </w:rPr>
              <w:t>The notes will mature on November   , 2029.</w:t>
            </w:r>
          </w:p>
        </w:tc>
        <w:tc>
          <w:tcPr>
            <w:tcW w:w="3460" w:type="dxa"/>
            <w:vAlign w:val="bottom"/>
            <w:tcBorders>
              <w:right w:val="single" w:sz="8" w:color="auto"/>
            </w:tcBorders>
          </w:tcPr>
          <w:p>
            <w:pPr>
              <w:spacing w:after="0"/>
              <w:rPr>
                <w:sz w:val="24"/>
                <w:szCs w:val="24"/>
                <w:color w:val="auto"/>
              </w:rPr>
            </w:pPr>
          </w:p>
        </w:tc>
      </w:tr>
      <w:tr>
        <w:trPr>
          <w:trHeight w:val="304"/>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4960" w:type="dxa"/>
            <w:vAlign w:val="bottom"/>
            <w:gridSpan w:val="3"/>
          </w:tcPr>
          <w:p>
            <w:pPr>
              <w:ind w:left="1360"/>
              <w:spacing w:after="0"/>
              <w:rPr>
                <w:sz w:val="20"/>
                <w:szCs w:val="20"/>
                <w:color w:val="auto"/>
              </w:rPr>
            </w:pPr>
            <w:r>
              <w:rPr>
                <w:rFonts w:ascii="Arial" w:cs="Arial" w:eastAsia="Arial" w:hAnsi="Arial"/>
                <w:sz w:val="18"/>
                <w:szCs w:val="18"/>
                <w:color w:val="auto"/>
                <w:w w:val="99"/>
              </w:rPr>
              <w:t>Interest on the notes will accrue at the rate of</w:t>
            </w:r>
          </w:p>
        </w:tc>
        <w:tc>
          <w:tcPr>
            <w:tcW w:w="3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per year, payable annually in cash in</w:t>
            </w:r>
          </w:p>
        </w:tc>
      </w:tr>
      <w:tr>
        <w:trPr>
          <w:trHeight w:val="216"/>
        </w:trPr>
        <w:tc>
          <w:tcPr>
            <w:tcW w:w="3040" w:type="dxa"/>
            <w:vAlign w:val="bottom"/>
            <w:tcBorders>
              <w:left w:val="single" w:sz="8" w:color="auto"/>
            </w:tcBorders>
          </w:tcPr>
          <w:p>
            <w:pPr>
              <w:spacing w:after="0"/>
              <w:rPr>
                <w:sz w:val="18"/>
                <w:szCs w:val="18"/>
                <w:color w:val="auto"/>
              </w:rPr>
            </w:pPr>
          </w:p>
        </w:tc>
        <w:tc>
          <w:tcPr>
            <w:tcW w:w="4960" w:type="dxa"/>
            <w:vAlign w:val="bottom"/>
            <w:gridSpan w:val="3"/>
          </w:tcPr>
          <w:p>
            <w:pPr>
              <w:ind w:left="1360"/>
              <w:spacing w:after="0"/>
              <w:rPr>
                <w:sz w:val="20"/>
                <w:szCs w:val="20"/>
                <w:color w:val="auto"/>
              </w:rPr>
            </w:pPr>
            <w:r>
              <w:rPr>
                <w:rFonts w:ascii="Arial" w:cs="Arial" w:eastAsia="Arial" w:hAnsi="Arial"/>
                <w:sz w:val="18"/>
                <w:szCs w:val="18"/>
                <w:color w:val="auto"/>
                <w:w w:val="92"/>
              </w:rPr>
              <w:t>arrears on November   , beginning on November</w:t>
            </w: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2011. Interest on the notes will be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6"/>
              </w:rPr>
              <w:t>computed on the basis of the actual number of days in the period for which interest is being</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1"/>
              </w:rPr>
              <w:t>calculated and the actual number of days from and including the date from which interest begins</w:t>
            </w:r>
          </w:p>
        </w:tc>
      </w:tr>
      <w:tr>
        <w:trPr>
          <w:trHeight w:val="216"/>
        </w:trPr>
        <w:tc>
          <w:tcPr>
            <w:tcW w:w="3040" w:type="dxa"/>
            <w:vAlign w:val="bottom"/>
            <w:tcBorders>
              <w:left w:val="single" w:sz="8" w:color="auto"/>
            </w:tcBorders>
          </w:tcPr>
          <w:p>
            <w:pPr>
              <w:spacing w:after="0"/>
              <w:rPr>
                <w:sz w:val="18"/>
                <w:szCs w:val="18"/>
                <w:color w:val="auto"/>
              </w:rPr>
            </w:pPr>
          </w:p>
        </w:tc>
        <w:tc>
          <w:tcPr>
            <w:tcW w:w="4180" w:type="dxa"/>
            <w:vAlign w:val="bottom"/>
            <w:gridSpan w:val="2"/>
          </w:tcPr>
          <w:p>
            <w:pPr>
              <w:ind w:left="1360"/>
              <w:spacing w:after="0"/>
              <w:rPr>
                <w:sz w:val="20"/>
                <w:szCs w:val="20"/>
                <w:color w:val="auto"/>
              </w:rPr>
            </w:pPr>
            <w:r>
              <w:rPr>
                <w:rFonts w:ascii="Arial" w:cs="Arial" w:eastAsia="Arial" w:hAnsi="Arial"/>
                <w:sz w:val="18"/>
                <w:szCs w:val="18"/>
                <w:color w:val="auto"/>
                <w:w w:val="93"/>
              </w:rPr>
              <w:t>to accrue for the period (or November</w:t>
            </w:r>
          </w:p>
        </w:tc>
        <w:tc>
          <w:tcPr>
            <w:tcW w:w="4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 2010 if no interest has been paid on the notes), to but</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0"/>
              </w:rPr>
              <w:t>excluding the next scheduled interest payment date. If the scheduled interest payment date is not</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0"/>
              </w:rPr>
              <w:t>a business day, then interest will be paid on the first business day following the scheduled interest</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3"/>
              </w:rPr>
              <w:t>payment date. Interest periods are unadjusted. The day count convention is ACTUAL/ACTUAL</w:t>
            </w:r>
          </w:p>
        </w:tc>
      </w:tr>
      <w:tr>
        <w:trPr>
          <w:trHeight w:val="222"/>
        </w:trPr>
        <w:tc>
          <w:tcPr>
            <w:tcW w:w="3040" w:type="dxa"/>
            <w:vAlign w:val="bottom"/>
            <w:tcBorders>
              <w:left w:val="single" w:sz="8" w:color="auto"/>
            </w:tcBorders>
          </w:tcPr>
          <w:p>
            <w:pPr>
              <w:spacing w:after="0"/>
              <w:rPr>
                <w:sz w:val="19"/>
                <w:szCs w:val="19"/>
                <w:color w:val="auto"/>
              </w:rPr>
            </w:pPr>
          </w:p>
        </w:tc>
        <w:tc>
          <w:tcPr>
            <w:tcW w:w="2000" w:type="dxa"/>
            <w:vAlign w:val="bottom"/>
          </w:tcPr>
          <w:p>
            <w:pPr>
              <w:ind w:left="1360"/>
              <w:spacing w:after="0"/>
              <w:rPr>
                <w:sz w:val="20"/>
                <w:szCs w:val="20"/>
                <w:color w:val="auto"/>
              </w:rPr>
            </w:pPr>
            <w:r>
              <w:rPr>
                <w:rFonts w:ascii="Arial" w:cs="Arial" w:eastAsia="Arial" w:hAnsi="Arial"/>
                <w:sz w:val="18"/>
                <w:szCs w:val="18"/>
                <w:color w:val="auto"/>
                <w:w w:val="99"/>
              </w:rPr>
              <w:t>(ICMA).</w:t>
            </w: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Currency of Payment</w:t>
            </w: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1"/>
              </w:rPr>
              <w:t>All payments of interest and principal, including any payments made upon any redemption of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4"/>
              </w:rPr>
              <w:t>notes, will be made in Sterling, or, if the United Kingdom adopts euro as its lawful currency, in</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2"/>
              </w:rPr>
              <w:t>euro. If Sterling or, in the event the notes are redenominated into euro, euro is unavailable to us</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4"/>
              </w:rPr>
              <w:t>due to the imposition of exchange controls or other circumstances beyond our control, then all</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3"/>
              </w:rPr>
              <w:t>payments in respect of the notes will be made in U.S. dollars until Sterling or euro, as the case</w:t>
            </w:r>
          </w:p>
        </w:tc>
      </w:tr>
      <w:tr>
        <w:trPr>
          <w:trHeight w:val="222"/>
        </w:trPr>
        <w:tc>
          <w:tcPr>
            <w:tcW w:w="3040" w:type="dxa"/>
            <w:vAlign w:val="bottom"/>
            <w:tcBorders>
              <w:left w:val="single" w:sz="8" w:color="auto"/>
            </w:tcBorders>
          </w:tcPr>
          <w:p>
            <w:pPr>
              <w:spacing w:after="0"/>
              <w:rPr>
                <w:sz w:val="19"/>
                <w:szCs w:val="19"/>
                <w:color w:val="auto"/>
              </w:rPr>
            </w:pPr>
          </w:p>
        </w:tc>
        <w:tc>
          <w:tcPr>
            <w:tcW w:w="4960" w:type="dxa"/>
            <w:vAlign w:val="bottom"/>
            <w:gridSpan w:val="3"/>
          </w:tcPr>
          <w:p>
            <w:pPr>
              <w:ind w:left="1360"/>
              <w:spacing w:after="0"/>
              <w:rPr>
                <w:sz w:val="20"/>
                <w:szCs w:val="20"/>
                <w:color w:val="auto"/>
              </w:rPr>
            </w:pPr>
            <w:r>
              <w:rPr>
                <w:rFonts w:ascii="Arial" w:cs="Arial" w:eastAsia="Arial" w:hAnsi="Arial"/>
                <w:sz w:val="18"/>
                <w:szCs w:val="18"/>
                <w:color w:val="auto"/>
              </w:rPr>
              <w:t>may be, is again available to us or so used.</w:t>
            </w:r>
          </w:p>
        </w:tc>
        <w:tc>
          <w:tcPr>
            <w:tcW w:w="3460" w:type="dxa"/>
            <w:vAlign w:val="bottom"/>
            <w:tcBorders>
              <w:right w:val="single" w:sz="8" w:color="auto"/>
            </w:tcBorders>
          </w:tcPr>
          <w:p>
            <w:pPr>
              <w:spacing w:after="0"/>
              <w:rPr>
                <w:sz w:val="19"/>
                <w:szCs w:val="19"/>
                <w:color w:val="auto"/>
              </w:rPr>
            </w:pP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Denomination</w:t>
            </w: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7"/>
              </w:rPr>
              <w:t>We will issue the notes in minimum denominations of £50,000 and in multiples of £1,000 in</w:t>
            </w:r>
          </w:p>
        </w:tc>
      </w:tr>
      <w:tr>
        <w:trPr>
          <w:trHeight w:val="222"/>
        </w:trPr>
        <w:tc>
          <w:tcPr>
            <w:tcW w:w="3040" w:type="dxa"/>
            <w:vAlign w:val="bottom"/>
            <w:tcBorders>
              <w:left w:val="single" w:sz="8" w:color="auto"/>
            </w:tcBorders>
          </w:tcPr>
          <w:p>
            <w:pPr>
              <w:spacing w:after="0"/>
              <w:rPr>
                <w:sz w:val="19"/>
                <w:szCs w:val="19"/>
                <w:color w:val="auto"/>
              </w:rPr>
            </w:pPr>
          </w:p>
        </w:tc>
        <w:tc>
          <w:tcPr>
            <w:tcW w:w="4180" w:type="dxa"/>
            <w:vAlign w:val="bottom"/>
            <w:gridSpan w:val="2"/>
          </w:tcPr>
          <w:p>
            <w:pPr>
              <w:ind w:left="1360"/>
              <w:spacing w:after="0"/>
              <w:rPr>
                <w:sz w:val="20"/>
                <w:szCs w:val="20"/>
                <w:color w:val="auto"/>
              </w:rPr>
            </w:pPr>
            <w:r>
              <w:rPr>
                <w:rFonts w:ascii="Arial" w:cs="Arial" w:eastAsia="Arial" w:hAnsi="Arial"/>
                <w:sz w:val="18"/>
                <w:szCs w:val="18"/>
                <w:color w:val="auto"/>
              </w:rPr>
              <w:t>excess thereof.</w:t>
            </w:r>
          </w:p>
        </w:tc>
        <w:tc>
          <w:tcPr>
            <w:tcW w:w="780" w:type="dxa"/>
            <w:vAlign w:val="bottom"/>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40" w:type="dxa"/>
            <w:vAlign w:val="bottom"/>
            <w:tcBorders>
              <w:left w:val="single" w:sz="8" w:color="auto"/>
            </w:tcBorders>
          </w:tcPr>
          <w:p>
            <w:pPr>
              <w:spacing w:after="0"/>
              <w:rPr>
                <w:sz w:val="19"/>
                <w:szCs w:val="19"/>
                <w:color w:val="auto"/>
              </w:rPr>
            </w:pPr>
          </w:p>
        </w:tc>
        <w:tc>
          <w:tcPr>
            <w:tcW w:w="4180" w:type="dxa"/>
            <w:vAlign w:val="bottom"/>
            <w:gridSpan w:val="2"/>
          </w:tcPr>
          <w:p>
            <w:pPr>
              <w:ind w:left="1360"/>
              <w:spacing w:after="0"/>
              <w:rPr>
                <w:sz w:val="20"/>
                <w:szCs w:val="20"/>
                <w:color w:val="auto"/>
              </w:rPr>
            </w:pPr>
            <w:r>
              <w:rPr>
                <w:rFonts w:ascii="Arial" w:cs="Arial" w:eastAsia="Arial" w:hAnsi="Arial"/>
                <w:sz w:val="18"/>
                <w:szCs w:val="18"/>
                <w:color w:val="auto"/>
              </w:rPr>
              <w:t>indebtedness.</w:t>
            </w:r>
          </w:p>
        </w:tc>
        <w:tc>
          <w:tcPr>
            <w:tcW w:w="780" w:type="dxa"/>
            <w:vAlign w:val="bottom"/>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Guarantors</w:t>
            </w: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5"/>
              </w:rPr>
              <w:t>Comcast Cable Communications, LLC, Comcast Cable Holdings, LLC, Comcast MO Group,</w:t>
            </w:r>
          </w:p>
        </w:tc>
      </w:tr>
      <w:tr>
        <w:trPr>
          <w:trHeight w:val="222"/>
        </w:trPr>
        <w:tc>
          <w:tcPr>
            <w:tcW w:w="3040" w:type="dxa"/>
            <w:vAlign w:val="bottom"/>
            <w:tcBorders>
              <w:left w:val="single" w:sz="8" w:color="auto"/>
            </w:tcBorders>
          </w:tcPr>
          <w:p>
            <w:pPr>
              <w:spacing w:after="0"/>
              <w:rPr>
                <w:sz w:val="19"/>
                <w:szCs w:val="19"/>
                <w:color w:val="auto"/>
              </w:rPr>
            </w:pPr>
          </w:p>
        </w:tc>
        <w:tc>
          <w:tcPr>
            <w:tcW w:w="4960" w:type="dxa"/>
            <w:vAlign w:val="bottom"/>
            <w:gridSpan w:val="3"/>
          </w:tcPr>
          <w:p>
            <w:pPr>
              <w:ind w:left="1360"/>
              <w:spacing w:after="0"/>
              <w:rPr>
                <w:sz w:val="20"/>
                <w:szCs w:val="20"/>
                <w:color w:val="auto"/>
              </w:rPr>
            </w:pPr>
            <w:r>
              <w:rPr>
                <w:rFonts w:ascii="Arial" w:cs="Arial" w:eastAsia="Arial" w:hAnsi="Arial"/>
                <w:sz w:val="18"/>
                <w:szCs w:val="18"/>
                <w:color w:val="auto"/>
              </w:rPr>
              <w:t>Inc. and Comcast MO of Delaware, LLC.</w:t>
            </w:r>
          </w:p>
        </w:tc>
        <w:tc>
          <w:tcPr>
            <w:tcW w:w="3460" w:type="dxa"/>
            <w:vAlign w:val="bottom"/>
            <w:tcBorders>
              <w:right w:val="single" w:sz="8" w:color="auto"/>
            </w:tcBorders>
          </w:tcPr>
          <w:p>
            <w:pPr>
              <w:spacing w:after="0"/>
              <w:rPr>
                <w:sz w:val="19"/>
                <w:szCs w:val="19"/>
                <w:color w:val="auto"/>
              </w:rPr>
            </w:pP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Guarantees</w:t>
            </w: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 of</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w w:val="96"/>
              </w:rPr>
              <w:t>principal, premium, if any, and interest. The cable guarantees will rank equally with all other</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4"/>
          </w:tcPr>
          <w:p>
            <w:pPr>
              <w:ind w:left="136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147"/>
        </w:trPr>
        <w:tc>
          <w:tcPr>
            <w:tcW w:w="3040" w:type="dxa"/>
            <w:vAlign w:val="bottom"/>
            <w:tcBorders>
              <w:left w:val="single" w:sz="8" w:color="auto"/>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spacing w:after="0"/>
              <w:rPr>
                <w:sz w:val="12"/>
                <w:szCs w:val="12"/>
                <w:color w:val="auto"/>
              </w:rPr>
            </w:pPr>
          </w:p>
        </w:tc>
      </w:tr>
      <w:tr>
        <w:trPr>
          <w:trHeight w:val="359"/>
        </w:trPr>
        <w:tc>
          <w:tcPr>
            <w:tcW w:w="3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center"/>
              <w:ind w:right="732"/>
              <w:spacing w:after="0"/>
              <w:rPr>
                <w:sz w:val="20"/>
                <w:szCs w:val="20"/>
                <w:color w:val="auto"/>
              </w:rPr>
            </w:pPr>
            <w:r>
              <w:rPr>
                <w:rFonts w:ascii="Arial" w:cs="Arial" w:eastAsia="Arial" w:hAnsi="Arial"/>
                <w:sz w:val="18"/>
                <w:szCs w:val="18"/>
                <w:color w:val="auto"/>
                <w:w w:val="85"/>
              </w:rPr>
              <w:t>S-3</w:t>
            </w:r>
          </w:p>
        </w:tc>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20"/>
        </w:trPr>
        <w:tc>
          <w:tcPr>
            <w:tcW w:w="33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140" w:type="dxa"/>
            <w:vAlign w:val="bottom"/>
            <w:tcBorders>
              <w:top w:val="single" w:sz="8" w:color="auto"/>
              <w:right w:val="single" w:sz="8" w:color="auto"/>
            </w:tcBorders>
            <w:gridSpan w:val="2"/>
          </w:tcPr>
          <w:p>
            <w:pPr>
              <w:ind w:left="108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 of:</w:t>
            </w:r>
          </w:p>
        </w:tc>
      </w:tr>
      <w:tr>
        <w:trPr>
          <w:trHeight w:val="311"/>
        </w:trPr>
        <w:tc>
          <w:tcPr>
            <w:tcW w:w="3320" w:type="dxa"/>
            <w:vAlign w:val="bottom"/>
            <w:tcBorders>
              <w:left w:val="single" w:sz="8" w:color="auto"/>
            </w:tcBorders>
          </w:tcPr>
          <w:p>
            <w:pPr>
              <w:spacing w:after="0"/>
              <w:rPr>
                <w:sz w:val="24"/>
                <w:szCs w:val="24"/>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100% of the principal amount of the notes being redeemed; and</w:t>
            </w:r>
          </w:p>
        </w:tc>
      </w:tr>
      <w:tr>
        <w:trPr>
          <w:trHeight w:val="291"/>
        </w:trPr>
        <w:tc>
          <w:tcPr>
            <w:tcW w:w="3320" w:type="dxa"/>
            <w:vAlign w:val="bottom"/>
            <w:tcBorders>
              <w:left w:val="single" w:sz="8" w:color="auto"/>
            </w:tcBorders>
          </w:tcPr>
          <w:p>
            <w:pPr>
              <w:spacing w:after="0"/>
              <w:rPr>
                <w:sz w:val="24"/>
                <w:szCs w:val="24"/>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the Make-Whole Amount, as defined in “Description of the Notes—Optional Redemption”</w:t>
            </w:r>
          </w:p>
        </w:tc>
      </w:tr>
      <w:tr>
        <w:trPr>
          <w:trHeight w:val="216"/>
        </w:trPr>
        <w:tc>
          <w:tcPr>
            <w:tcW w:w="332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89"/>
              </w:rPr>
              <w:t>in this prospectus supplement for the notes being redeemed; plus accrued and unpaid interest</w:t>
            </w:r>
          </w:p>
        </w:tc>
      </w:tr>
      <w:tr>
        <w:trPr>
          <w:trHeight w:val="222"/>
        </w:trPr>
        <w:tc>
          <w:tcPr>
            <w:tcW w:w="332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the redemption date.</w:t>
            </w:r>
          </w:p>
        </w:tc>
      </w:tr>
      <w:tr>
        <w:trPr>
          <w:trHeight w:val="291"/>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Additional Amounts</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2"/>
              </w:rPr>
              <w:t>We will, subject to certain exceptions and limitations set forth herein, pay additional amounts on</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89"/>
              </w:rPr>
              <w:t>the notes as are necessary in order that the net payment by us or a paying agent of the principal of</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6"/>
              </w:rPr>
              <w:t>and interest on the notes to a holder who is not a United States person, after withholding or</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0"/>
              </w:rPr>
              <w:t>deduction for any present or future tax, assessment or other governmental charge imposed by the</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1"/>
              </w:rPr>
              <w:t>United States or a taxing authority in the United States will not be less than the amount provided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3"/>
              </w:rPr>
              <w:t>in the notes to be then due and payable. See “Description of the Notes—Payment of Additional</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Amounts.”</w:t>
            </w:r>
          </w:p>
        </w:tc>
      </w:tr>
      <w:tr>
        <w:trPr>
          <w:trHeight w:val="291"/>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for Tax Reasons</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4"/>
              </w:rPr>
              <w:t>We may offer to redeem all but not part of the notes in the event of certain changes in the tax</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4"/>
              </w:rPr>
              <w:t>laws of the United States (or any taxing authority in the United States). This redemption would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1"/>
              </w:rPr>
              <w:t>be at 100% of the principal amount, together with interest accrued but unpaid on the notes to the</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9"/>
              </w:rPr>
              <w:t>date fixed for redemption. See “Description of the Notes—Redemption for Tax Reasons.”</w:t>
            </w:r>
          </w:p>
        </w:tc>
      </w:tr>
      <w:tr>
        <w:trPr>
          <w:trHeight w:val="291"/>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1"/>
              </w:rPr>
              <w:t>We intend to use the proceeds from this offering, after deducting fees and expenses, for working</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3"/>
              </w:rPr>
              <w:t>capital and general corporate purposes, which may include funding a portion of our payment to</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GE due upon closing of the NBC Universal Transaction.</w:t>
            </w:r>
          </w:p>
        </w:tc>
      </w:tr>
      <w:tr>
        <w:trPr>
          <w:trHeight w:val="297"/>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We intend to apply to list the notes on the New York Stock Exchange.</w:t>
            </w:r>
          </w:p>
        </w:tc>
      </w:tr>
      <w:tr>
        <w:trPr>
          <w:trHeight w:val="304"/>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with, or on behalf of, a common depositary on behalf of Euroclear and Clearstream and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0"/>
              </w:rPr>
              <w:t>registered in the name of the common depositary or its nominee. Beneficial interests in any of the</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8"/>
              </w:rPr>
              <w:t>notes will be shown on, and transfers will be effected only through, records maintained by</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6"/>
              </w:rPr>
              <w:t>Euroclear and Clearstream and their participants, and these beneficial interests may not be</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2"/>
              </w:rPr>
              <w:t>exchanged for certificated notes, except in limited circumstances. See “Description of the Notes</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—Book-Entry System” in this prospectus supplement.</w:t>
            </w:r>
          </w:p>
        </w:tc>
      </w:tr>
      <w:tr>
        <w:trPr>
          <w:trHeight w:val="419"/>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The notes will be governed by the laws of the State of New York.</w:t>
            </w:r>
          </w:p>
        </w:tc>
      </w:tr>
      <w:tr>
        <w:trPr>
          <w:trHeight w:val="174"/>
        </w:trPr>
        <w:tc>
          <w:tcPr>
            <w:tcW w:w="3320" w:type="dxa"/>
            <w:vAlign w:val="bottom"/>
            <w:tcBorders>
              <w:left w:val="single" w:sz="8" w:color="auto"/>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60" w:type="dxa"/>
            <w:vAlign w:val="bottom"/>
            <w:tcBorders>
              <w:bottom w:val="single" w:sz="8" w:color="auto"/>
              <w:right w:val="single" w:sz="8" w:color="auto"/>
            </w:tcBorders>
          </w:tcPr>
          <w:p>
            <w:pPr>
              <w:spacing w:after="0"/>
              <w:rPr>
                <w:sz w:val="15"/>
                <w:szCs w:val="15"/>
                <w:color w:val="auto"/>
              </w:rPr>
            </w:pPr>
          </w:p>
        </w:tc>
      </w:tr>
      <w:tr>
        <w:trPr>
          <w:trHeight w:val="359"/>
        </w:trPr>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60" w:type="dxa"/>
            <w:vAlign w:val="bottom"/>
          </w:tcPr>
          <w:p>
            <w:pPr>
              <w:ind w:left="10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An investment in the notes may involve risks. Prior to deciding to purchase any notes, prospective investors should consider carefully all of the information set forth in this prospectus supplement, the accompanying prospectus and the documents incorporated by reference into the accompanying prospectus. In particular, you should carefully consider the risk factors described below, as well as the risk factors relating to our business set forth in “Part I. Item 1A. Risk Factors” in our Annual Report on Form 10-K for the fiscal year ended December 31, 2009, which is incorporated by reference into the accompanying prospectus.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investment in the notes by a purchaser whose home currency is not Sterling entails significant risks.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An investment in the notes by a purchaser whose home currency is not Sterling entails significant risks. These risks include the possibility of significant changes in rates of exchange between the holder’s home currency and Sterling and the possibility of the imposition or subsequent modification of foreign exchange controls. These risks generally depend on factors over which we have no control, such as economic and political events and the supply of and demand for the relevant currencies. In the past, rates of exchange between Sterling and certain currencies have been highly volatile, and each holder should be aware that volatility may occur in the future. Fluctuations in any particular exchange rate that have occurred in the past, however, are not necessarily indicative of fluctuations in the rate that may occur during the term of the notes. Depreciation of Sterling against the holder’s home currency would result in a decrease in the effective yield of the notes below its coupon rate and, in certain circumstances, could result in a loss to the holder.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permit us to make payments in U.S. dollars if we are unable to obtain Sterling.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Sterling or, in the event the notes are redenominated in euro, euro is unavailable to us due to the imposition of exchange controls or other circumstances beyond our control, then all payments in respect of the notes will be made in U.S. dollars until Sterling or euro, as the case may be, is again available to us. The amount payable on any date in Sterling or, in the event the notes are redenominated in euro, euro will be converted into U.S. dollars on the basis of the then most recently available market exchange rate for Sterling or euro, as the case may be. Any payment in respect of the notes so made in U.S. dollars will not constitute an event of default under the indenture.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a lawsuit for payment on the notes, an investor may bear currency exchange risk.</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notes will be governed by New York law. Under New York law, a New York state court rendering a judgment on the notes would be required to render the judgment in Sterling or, in the event the notes are redenominated in euro, euro. However, the judgment would be converted into U.S. dollars at the exchange rate prevailing on the date of entry of the judgment. Consequently, in a lawsuit for payment on the notes, investors would bear currency exchange risk until a New York state court judgment is entered, which could be a long time.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Sterling into U.S. dollars would depend upon various factors, including which court renders the judgment.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for the notes may be limited.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a new issue of securities for which no established trading market exists. If an active trading market does not develop for the notes, investors may not be able to resell them. Although we intend to apply for listing of the notes for trading on the New York Stock Exchange, no assurance can be given that a trading market for the notes will develop. The underwriters for this offering have advised us that they intend to make a market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notes prior to the date the notes begin trading on the New York Stock Exchange. However, the underwriters are not obligated to do so and may discontinue market making at any time. Therefore, no assurance can be given as to the liquidity of, or trading markets for, the notes. The lack of a trading market could adversely affect investors’ ability to sell the notes and the price at which investors may be able to sell the notes. The liquidity of the trading market, if any, and future trading prices of the notes will depend on many factors, including, among other things, the number of holders of the notes, our operating results, financial performance and prospects, prevailing interest rates, the market for similar securities and the overall securities market, and may be adversely affected by unfavorable changes in these factors.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CONVERSION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and interest payments in respect of the notes will be payable in Sterling or, if the United Kingdom adopts euro as its lawful currency, in euro. If Sterling or, in the event the notes are redenominated into euro, euro is unavailable to us due to the imposition of exchange controls or other circumstances beyond our control, then all payments in respect of the notes will be made in U.S. dollars until Sterling or euro, as the case may be, is again available to us. The amount payable on any date in Sterling or, in the event the notes are redenominated into euro, euro will be converted into U.S. dollars on the basis of the most recently available market exchange rate for Sterling or euro, as the case may be. Any payment in respect of the notes so made in U.S. dollars will not constitute an event of default under the indenture.</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Investors will be subject to foreign exchange risks as to payments of principal and interest that may have important economic and tax consequences to them. See “Risk Factors.”</w:t>
      </w:r>
    </w:p>
    <w:p>
      <w:pPr>
        <w:spacing w:after="0" w:line="132" w:lineRule="exact"/>
        <w:rPr>
          <w:sz w:val="20"/>
          <w:szCs w:val="20"/>
          <w:color w:val="auto"/>
        </w:rPr>
      </w:pPr>
    </w:p>
    <w:p>
      <w:pPr>
        <w:ind w:left="460"/>
        <w:spacing w:after="0"/>
        <w:tabs>
          <w:tab w:leader="none" w:pos="1840" w:val="left"/>
          <w:tab w:leader="none" w:pos="5840" w:val="left"/>
        </w:tabs>
        <w:rPr>
          <w:sz w:val="20"/>
          <w:szCs w:val="20"/>
          <w:color w:val="auto"/>
        </w:rPr>
      </w:pPr>
      <w:r>
        <w:rPr>
          <w:rFonts w:ascii="Arial" w:cs="Arial" w:eastAsia="Arial" w:hAnsi="Arial"/>
          <w:sz w:val="18"/>
          <w:szCs w:val="18"/>
          <w:color w:val="auto"/>
        </w:rPr>
        <w:t>As of November</w:t>
        <w:tab/>
        <w:t>, 2010, the Sterling/U.S.$ rate of exchange was £</w:t>
      </w:r>
      <w:r>
        <w:rPr>
          <w:sz w:val="20"/>
          <w:szCs w:val="20"/>
          <w:color w:val="auto"/>
        </w:rPr>
        <w:tab/>
      </w:r>
      <w:r>
        <w:rPr>
          <w:rFonts w:ascii="Arial" w:cs="Arial" w:eastAsia="Arial" w:hAnsi="Arial"/>
          <w:sz w:val="16"/>
          <w:szCs w:val="16"/>
          <w:color w:val="auto"/>
        </w:rPr>
        <w:t>/ U.S.$1.00.</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intend to use the proceeds from this offering, after deducting fees and expenses, for working capital and general corporate purposes, which may include funding a portion of our payment to GE due upon closing of the NBC Universal Transaction.</w:t>
      </w:r>
    </w:p>
    <w:p>
      <w:pPr>
        <w:spacing w:after="0" w:line="288" w:lineRule="exact"/>
        <w:rPr>
          <w:sz w:val="20"/>
          <w:szCs w:val="20"/>
          <w:color w:val="auto"/>
        </w:rPr>
      </w:pPr>
    </w:p>
    <w:p>
      <w:pPr>
        <w:ind w:left="460" w:right="3900" w:firstLine="3441"/>
        <w:spacing w:after="0" w:line="520"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50"/>
        </w:trPr>
        <w:tc>
          <w:tcPr>
            <w:tcW w:w="19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Nine Months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880" w:type="dxa"/>
            <w:vAlign w:val="bottom"/>
            <w:gridSpan w:val="2"/>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6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0"/>
              </w:rPr>
              <w:t>3.63x</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3.10x</w:t>
            </w:r>
          </w:p>
        </w:tc>
        <w:tc>
          <w:tcPr>
            <w:tcW w:w="2440" w:type="dxa"/>
            <w:vAlign w:val="bottom"/>
            <w:gridSpan w:val="3"/>
          </w:tcPr>
          <w:p>
            <w:pPr>
              <w:jc w:val="center"/>
              <w:ind w:left="1092"/>
              <w:spacing w:after="0"/>
              <w:rPr>
                <w:sz w:val="20"/>
                <w:szCs w:val="20"/>
                <w:color w:val="auto"/>
              </w:rPr>
            </w:pPr>
            <w:r>
              <w:rPr>
                <w:rFonts w:ascii="Arial" w:cs="Arial" w:eastAsia="Arial" w:hAnsi="Arial"/>
                <w:sz w:val="18"/>
                <w:szCs w:val="18"/>
                <w:color w:val="auto"/>
                <w:w w:val="86"/>
              </w:rPr>
              <w:t>2.59x</w:t>
            </w:r>
          </w:p>
        </w:tc>
        <w:tc>
          <w:tcPr>
            <w:tcW w:w="2380" w:type="dxa"/>
            <w:vAlign w:val="bottom"/>
            <w:gridSpan w:val="3"/>
          </w:tcPr>
          <w:p>
            <w:pPr>
              <w:jc w:val="center"/>
              <w:ind w:left="42"/>
              <w:spacing w:after="0"/>
              <w:rPr>
                <w:sz w:val="20"/>
                <w:szCs w:val="20"/>
                <w:color w:val="auto"/>
              </w:rPr>
            </w:pPr>
            <w:r>
              <w:rPr>
                <w:rFonts w:ascii="Arial" w:cs="Arial" w:eastAsia="Arial" w:hAnsi="Arial"/>
                <w:sz w:val="18"/>
                <w:szCs w:val="18"/>
                <w:color w:val="auto"/>
                <w:w w:val="86"/>
              </w:rPr>
              <w:t>2.85x</w:t>
            </w: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2.72x</w:t>
            </w:r>
            <w:r>
              <w:rPr>
                <w:rFonts w:ascii="Arial" w:cs="Arial" w:eastAsia="Arial" w:hAnsi="Arial"/>
                <w:sz w:val="11"/>
                <w:szCs w:val="11"/>
                <w:color w:val="auto"/>
              </w:rPr>
              <w:t>(1)</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1.92x</w:t>
            </w: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right="60" w:hanging="332"/>
        <w:spacing w:after="0" w:line="23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w:t>
      </w:r>
    </w:p>
    <w:p>
      <w:pPr>
        <w:spacing w:after="0" w:line="14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is the amount of pretax earnings that is required to pay the dividends on outstanding preference securities. Interest associated with our uncertain tax positions is a component of income tax expense.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left="460"/>
        <w:spacing w:after="0"/>
        <w:tabs>
          <w:tab w:leader="none" w:pos="2240" w:val="left"/>
          <w:tab w:leader="none" w:pos="520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aggregate principal amount of our</w:t>
      </w:r>
      <w:r>
        <w:rPr>
          <w:sz w:val="20"/>
          <w:szCs w:val="20"/>
          <w:color w:val="auto"/>
        </w:rPr>
        <w:tab/>
      </w:r>
      <w:r>
        <w:rPr>
          <w:rFonts w:ascii="Arial" w:cs="Arial" w:eastAsia="Arial" w:hAnsi="Arial"/>
          <w:sz w:val="15"/>
          <w:szCs w:val="15"/>
          <w:color w:val="auto"/>
        </w:rPr>
        <w:t>% Notes due 2029. The notes will be issued under an indenture, dated as of January 7,</w:t>
      </w:r>
    </w:p>
    <w:p>
      <w:pPr>
        <w:spacing w:after="0" w:line="1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2003 and supplemented as of March 25, 2003 and August 31, 2009,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cable guarantees described below;</w:t>
      </w:r>
    </w:p>
    <w:p>
      <w:pPr>
        <w:spacing w:after="0" w:line="113" w:lineRule="exact"/>
        <w:rPr>
          <w:sz w:val="20"/>
          <w:szCs w:val="20"/>
          <w:color w:val="auto"/>
        </w:rPr>
      </w:pPr>
    </w:p>
    <w:p>
      <w:pPr>
        <w:ind w:left="900" w:right="40" w:hanging="319"/>
        <w:spacing w:after="0" w:line="268" w:lineRule="auto"/>
        <w:tabs>
          <w:tab w:leader="none" w:pos="880" w:val="left"/>
        </w:tabs>
        <w:rPr>
          <w:sz w:val="20"/>
          <w:szCs w:val="20"/>
          <w:color w:val="auto"/>
        </w:rPr>
      </w:pPr>
      <w:r>
        <w:rPr>
          <w:rFonts w:ascii="Arial" w:cs="Arial" w:eastAsia="Arial" w:hAnsi="Arial"/>
          <w:sz w:val="18"/>
          <w:szCs w:val="18"/>
          <w:color w:val="auto"/>
        </w:rPr>
        <w:t>•</w:t>
        <w:tab/>
        <w:t>will be issued in an initial aggregate principal amount of £ , maturing on November , 2029, with interest payable annually on November , beginning November , 2011, to holders of record on the preceding November ; and</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minimum denominations of £50,000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Sterling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Initial holders will be required to pay for the notes in Sterling, and principal and interest payments in respect of the notes will be payable in Sterling. If, on or after the date of this prospectus supplement, the United Kingdom adopts euro, in lieu of Sterling, as its lawful currency, the notes will be redenominated in euro on a date determined by us, with a principal amount for each note equal to the principal amount of that note in Sterling, converted into euro at the rate established by the applicable law; provided that, if we determine after consultation with the paying agent that the then current market practice in respect of redenomination into euro of internationally offered securities is different from the provisions specified above, such provisions will be deemed to be amended so as to comply with such market practice and we will promptly notify the trustee and the paying agent of such deemed amendment. We will give 30 days’ notice of the redenomination date to the paying agent, the trustee, Euroclear and Clearstream.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Sterling or, in the event the notes are redenominated in euro, euro is unavailable to us due to the imposition of exchange controls or other circumstances beyond our control (other than due to the circumstances described in the preceding paragraph), then all payments in respect of the notes will be made in U.S. dollars until Sterling or euro, as the case may be, is again available to us. The amount payable on any date in Sterling or, in the event the notes are redenominated in euro, euro will be converted to U.S. dollars on the basis of the then most recently available market exchange rate for Sterling or euro, as the case may be. Any payment in respect of the notes so made in U.S. dollars will not constitute an event of default under the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Day</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“business day” means any day other than a Saturday or Sunday or a day on which banking institutions in The City of New York or the City of London are authorized or required by law or executive order to close.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on the notes will be computed on the basis of the actual number of days in the period for which interest is being calculated and the actual number of days from and including the date from which interest begins to accrue for the period (or November , 2010 if no interest has been paid on the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obligations under the notes and the indenture, including the payment of principal, premium, if any, and interest, will be fully and unconditionally guaranteed by each of the cable guarantors as described in the accompanying prospectus. On August 31, 2009, Comcast Cable Communications Holdings, Inc., formerly a cable guarantor, merged with and into Comcast Cable Communications, LLC, with Comcast Cable Communications, LLC continuing as the surviving entity and a cable guarantor.</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basis points (the “Make-Whole Amount”) plus, in each case, accrued and unpaid interest thereon to the date of redemption.</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“Comparable Government Bond Rate” means the price, expressed as a percentage (rounded to three decimal places, 0.0005 being rounded upwards), at which the gross redemption yield (as calculated by the trustee) on the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“Comparable Government Bond” means, in relation to any Comparable Government Bond Rate calculation, at the discretion of an independent investment bank selected by us, a United Kingdom government bond whose maturity is closest to the maturity of the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are also subject to redemption prior to maturity if certain events occur involving United States taxation. If any of these special tax events do occur, the notes will be redeemed at a redemption price of 100% of their principal amount plus accrued and unpaid interest to the date fixed for redemption. See “—Redemption for Tax Reasons.”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a paying agent of the principal of and interest on the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62" w:lineRule="exact"/>
        <w:rPr>
          <w:sz w:val="20"/>
          <w:szCs w:val="20"/>
          <w:color w:val="auto"/>
        </w:rPr>
      </w:pPr>
    </w:p>
    <w:p>
      <w:pPr>
        <w:ind w:left="900" w:right="4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59"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5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59" w:lineRule="exact"/>
        <w:rPr>
          <w:rFonts w:ascii="Arial" w:cs="Arial" w:eastAsia="Arial" w:hAnsi="Arial"/>
          <w:sz w:val="18"/>
          <w:szCs w:val="18"/>
          <w:color w:val="auto"/>
        </w:rPr>
      </w:pPr>
    </w:p>
    <w:p>
      <w:pPr>
        <w:ind w:left="1480" w:right="100" w:hanging="567"/>
        <w:spacing w:after="0" w:line="332"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4" w:lineRule="exact"/>
        <w:rPr>
          <w:rFonts w:ascii="Arial" w:cs="Arial" w:eastAsia="Arial" w:hAnsi="Arial"/>
          <w:sz w:val="16"/>
          <w:szCs w:val="16"/>
          <w:color w:val="auto"/>
        </w:rPr>
      </w:pPr>
    </w:p>
    <w:p>
      <w:pPr>
        <w:ind w:left="1480" w:right="18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or having been a “10-percent shareholder” of Comcast as defined in section 871(h)(3) of the United States Internal Revenue Code of 1986, as amended (the “Code”) or any successor provision; or</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the ordinary course of its trade or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62"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is imposed otherwise than by withholding by us or a paying agent from the payment;</w:t>
      </w:r>
    </w:p>
    <w:p>
      <w:pPr>
        <w:spacing w:after="0" w:line="113" w:lineRule="exact"/>
        <w:rPr>
          <w:rFonts w:ascii="Arial" w:cs="Arial" w:eastAsia="Arial" w:hAnsi="Arial"/>
          <w:sz w:val="16"/>
          <w:szCs w:val="16"/>
          <w:color w:val="auto"/>
        </w:rPr>
      </w:pPr>
    </w:p>
    <w:p>
      <w:pPr>
        <w:jc w:val="both"/>
        <w:ind w:left="900" w:right="480" w:hanging="446"/>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ind w:left="900" w:right="1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50" w:lineRule="exact"/>
        <w:rPr>
          <w:rFonts w:ascii="Arial" w:cs="Arial" w:eastAsia="Arial" w:hAnsi="Arial"/>
          <w:sz w:val="18"/>
          <w:szCs w:val="18"/>
          <w:color w:val="auto"/>
        </w:rPr>
      </w:pPr>
    </w:p>
    <w:p>
      <w:pPr>
        <w:jc w:val="both"/>
        <w:ind w:left="900" w:right="38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(7), (8), and (9).</w:t>
      </w:r>
    </w:p>
    <w:p>
      <w:pPr>
        <w:spacing w:after="0" w:line="17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“—Payments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30 nor more than 60 days prior notice, at a redemption price equal to 100% of their principal amount, together with interest accrued but unpaid on those notes to the date fixed for redemption.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and Defeasance</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Reference to “money or U.S. Government Obligations” in the discharge and defeasance sections of the indenture shall, with respect to the notes, refer to the lawful currency in which the notes are payable at the time of deposit with the trustee or government obligations of the United Kingdom (or the U.S. government if such currency is the U.S. dollar) payable in such currency.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have obtained the information in this section concerning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Luxembourg (“Clearstream”) and Euroclear Bank SA/NV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notes will initially be represented by one or more fully registered global notes. Each such global note will be deposited with, or on behalf of, a common depositary, and registered in the name of the nominee of the common depositary for the accounts of Clearstream and Euroclear.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Sterling.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securities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policies of Clearstream and Euroclear will govern payments, transfers, exchange and other matters relating to the investor’s interest in securities held by them. We have no responsibility for any aspect of the records kept by Clearstream or Euroclear or any of their direct or indirect participants. We also do not supervise these systems in any way.</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Clearstream has advised that it is incorporated under the laws of Luxembourg and licensed as a bank and professional depositary. Clearstream holds securities for its participating organizations and facilitates the clearance and settlement of securities transactions among its participants through electronic book-entry changes in accounts of its participants, thereby eliminating the need for physical movement of certificates. Clearstream provides to its participants, among other things, services for safekeeping, administration, clearance and settlement of internationally traded securities and securities lending and borrowing. Clearstream interfaces with domestic markets in several countries. Clearstream has established an electronic bridge with the Euroclear operator to facilitate the settlement of trades between Clearstream and Euroclear. As a registered bank in Luxembourg, Clearstream is subject to regulation by the Luxembourg Commission for the Supervision of the Financial Sector. Clearstream customers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will be credited to cash accounts of Clearstream participants in accordance with its rules and procedures.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Euroclear advises that it was created in 1968 to hold securities for its participants of and to clear and settle transactions between Euroclear participants through simultaneous electronic book-entry delivery against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 /N.V.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Euroclear,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records of or relationship with persons holding through Euroclear participants.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the Terms and Conditions.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4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£50,000 principal amount and multiples of £1,000 in excess thereof if:</w:t>
      </w:r>
    </w:p>
    <w:p>
      <w:pPr>
        <w:spacing w:after="0" w:line="51" w:lineRule="exact"/>
        <w:rPr>
          <w:sz w:val="20"/>
          <w:szCs w:val="20"/>
          <w:color w:val="auto"/>
        </w:rPr>
      </w:pPr>
    </w:p>
    <w:p>
      <w:pPr>
        <w:ind w:left="900" w:right="3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common depositary provides notification that it is unwilling, unable or no longer qualified to continue as depositary for the global notes and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paying agent for the notes will initially be The Bank of New York Mellon, London Branch.</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both of the following conditions:</w:t>
      </w:r>
    </w:p>
    <w:p>
      <w:pPr>
        <w:spacing w:after="0" w:line="51" w:lineRule="exact"/>
        <w:rPr>
          <w:sz w:val="20"/>
          <w:szCs w:val="20"/>
          <w:color w:val="auto"/>
        </w:rPr>
      </w:pPr>
    </w:p>
    <w:p>
      <w:pPr>
        <w:jc w:val="both"/>
        <w:ind w:left="900" w:right="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for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foreign currency rules applicable to the notes are complex and their application may depend on a holder’s particular U.S. federal income tax situation. For example, various elections are available under these rules, and whether a holder should make any of these elections may depend on the holder’s particular federal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income tax situation. U.S. Holders are therefore urged to consult their own tax advisors regarding the application of the foreign currency rules to their ownership and disposition of the notes.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Interest paid on a note will be taxable to a U.S. Holder as ordinary interest income at the time it accrues or is received in accordance with the holder’s method of accounting for federal income tax purposes.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U.S. Holder who uses the cash method of accounting and who receives a payment of interest (or who receives proceeds from a sale, exchange or other disposition attributable to accrued interest) in Sterling with respect to a note will be required to include in income the U.S. dollar value of the Sterling payment (determined based on the U.S. dollar/Sterling spot rate on the date the payment is received) regardless of whether the payment is in fact converted to U.S. dollars at that time, and this U.S. dollar value will be the U.S. Holder’s tax basis in the Sterling.</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 U.S. Holder who uses the accrual method of accounting will be required to include in income the U.S. dollar value of the amount of interest income that has accrued and is otherwise required to be taken into account with respect to a note during an accrual period. The U.S. dollar value of the accrued income will be determined by translating the income at the average rate of exchange for the accrual period or, with respect to an accrual period that spans two taxable years, at the average rate for the partial period within the relevant taxable year. The U.S. Holder will recognize ordinary income or loss (which will not be treated as interest income or expense) with respect to accrued interest income on the date the interest payment or proceeds from the sale, exchange or other disposition attributable to accrued interest is actually received. The amount of ordinary income or loss recognized will equal the difference between the U.S. dollar value of the Sterling payment received (determined based on the U.S. dollar/Sterling spot rate on the date the payment is received) in respect of the accrual period (or, where a holder receives U.S. dollars, the amount of the payment in respect of the accrual period) and the U.S. dollar value of interest income that has accrued during the accrual period (as determined above). A U.S. Holder may elect to translate interest income for an interest accrual period into U.S. dollars at the spot rate ending on the last day of such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or Retirement of the Notes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will be the U.S. dollar value of such amount and will not include any amount attributable to accrued interest, which is treated as interest on the notes, as described above. A U.S. Holder who uses the cash method of accounting will determine the U.S. dollar value of the amount realized in Sterling based on the U.S. dollar/Sterling spot rate on the settlement date of the sale, exchange or retirement. A U.S. Holder who uses the accrual method of accounting may elect the same treatment for all purchases and sales of foreign currency obligations (which cannot be changed without the consent of the IRS). Absent such an election, a U.S. Holder who uses the accrual method of accounting will determine the U.S. dollar value of the amount realized based on the U.S. dollar/Sterling spot rate on the trade date of the sale, exchange or retirement. A U.S. Holder’s tax basis in a note will generally be the U.S. dollar value of the Sterling amount paid for such note determined on the date of the purchase. Any gain or loss realized on the sale, exchange or retirement of a note (except to the extent of gain or loss attributable to changes in the U.S. dollar/Sterling exchange rate) will generally be capital gain or loss, and will be long-term capital gain or loss if at the time of sale, exchange or retirement the note has been held for more than one year. Long-term capital gains recognized by non-corporate U.S. Holders will generally be subject to reduced tax rates. The deductibility of capital losses 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subject to limitations. A U.S. Holder who purchases a note with previously owned Sterling will recognize ordinary income or loss in an amount equal to the difference, if any, between such U.S. holder’s tax basis in the Sterling and the U.S. dollar fair market value of the note on the date of purchase.</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Gain or loss realized upon the sale, exchange or retirement of a note that is attributable to fluctuations in the U.S. dollar/Sterling exchange rate will be ordinary income or loss which will not be treated as interest income or expense. Gain or loss attributable to fluctuations in the U.S. dollar/Sterling exchange rate will equal the difference between (i) the U.S. dollar value of the U.S. Holder’s purchase price in Sterling of the note, determined on the date a principal payment is received from the Company or on the trade date (or the settlement date, in the case of a cash method taxpayer or an accrual method taxpayer that has made the election described above) for the sale of the note, and (ii) the U.S. dollar value of the Holder’s purchase price in Sterling of the note, determined on the date the U.S. Holder acquired the note. The foreign currency gain or loss will be recognized only to the extent of the total gain or loss realized by a U.S. Holder on the sale, exchange or retirement of the note. Any gain or loss realized in excess of the foreign currency gain or loss will be capital gain or loss.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U.S. Holder recognizes a loss upon a sale or other disposition of a note and such loss is above certain thresholds, then the holder may be required to file a disclosure statement with the IRS. U.S. Holders should consult their tax advisors regarding this reporting obligation.</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U.S. Holder will have a tax basis in any Sterling received on the sale, exchange or retirement of a note equal to the U.S. dollar value of Sterling, determined at the time of receipt.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Dispositions of Sterling</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Any gain or loss realized by a U.S. Holder on a sale or other disposition of Sterling (including its exchange for U.S. dollars or its use to purchase notes) will be ordinary income or loss.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Information returns will be filed with the IRS in connection with payments on the notes and the proceeds from a sale or other disposition of the notes. A U.S. Holder will be subject to backup withholding on these payments if the U.S. Holder fails to provide its taxpayer identification number to the paying agent and comply with certain certification procedures or otherwise establish an exemption from backup withholding.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for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“Non-U.S. Holder” does not include a beneficial owner of a note who is a non-resident alien individual present in the United States for 183 days or more in the taxable year of disposition. Such an individual is urged to consult his or her tax advisor regarding the U.S. federal income tax consequences of the sale, exchange or other disposition of a note.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a Note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IRS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IRS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Redemption or Other Disposition of a Note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Information returns will be filed with the IRS in connection with interest payments on the notes. Unless the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61"/>
        </w:trPr>
        <w:tc>
          <w:tcPr>
            <w:tcW w:w="102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Deutsche Bank AG, London Branch</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International</w:t>
            </w: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Royal Bank of Scotland plc</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November , 2010,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T+4,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 supplement. No dealers will participate in the offering of the notes. After the initial public offering, the public offering prices may be changed.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$425,000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intend to apply to list the notes on the New York Stock Exchange. We expect trading in the Notes on the New York Stock Exchange to begin within 30 days after the original issue date. Currently there is no public market for the Notes. We have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issue of the notes, the underwriters (in this capacity, the “stabilizing managers”) (or any person acting for them) may over-allot notes or effect transactions with a view to supporting the market price of the notes at a level higher than that which might otherwise prevail. However, there is no assurance that the stabilizing managers (or persons acting on behalf of the stabilizing managers)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issue of the notes and 60 days after the date of the allotment of the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stabilization action commenced will be carried out in accordance with applicable laws and regulations.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 and therefore, the underwriters and/or their respective affiliates may indirectly receive a portion of the net proceeds from this offering.</w:t>
      </w:r>
    </w:p>
    <w:p>
      <w:pPr>
        <w:spacing w:after="0" w:line="218" w:lineRule="exact"/>
        <w:rPr>
          <w:sz w:val="20"/>
          <w:szCs w:val="20"/>
          <w:color w:val="auto"/>
        </w:rPr>
      </w:pPr>
    </w:p>
    <w:p>
      <w:pPr>
        <w:jc w:val="right"/>
        <w:ind w:right="9960"/>
        <w:spacing w:after="0"/>
        <w:rPr>
          <w:sz w:val="20"/>
          <w:szCs w:val="20"/>
          <w:color w:val="auto"/>
        </w:rPr>
      </w:pPr>
      <w:r>
        <w:rPr>
          <w:rFonts w:ascii="Arial" w:cs="Arial" w:eastAsia="Arial" w:hAnsi="Arial"/>
          <w:sz w:val="15"/>
          <w:szCs w:val="15"/>
          <w:b w:val="1"/>
          <w:bCs w:val="1"/>
          <w:color w:val="auto"/>
        </w:rPr>
        <w:t>Selling Restrictions</w:t>
      </w:r>
    </w:p>
    <w:p>
      <w:pPr>
        <w:spacing w:after="0" w:line="131" w:lineRule="exact"/>
        <w:rPr>
          <w:sz w:val="20"/>
          <w:szCs w:val="20"/>
          <w:color w:val="auto"/>
        </w:rPr>
      </w:pPr>
    </w:p>
    <w:p>
      <w:pPr>
        <w:jc w:val="right"/>
        <w:ind w:right="9960"/>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which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are the subject of the offering contemplated by this prospectus supplement to the public in that Relevant Member State other than:</w:t>
      </w:r>
    </w:p>
    <w:p>
      <w:pPr>
        <w:spacing w:after="0" w:line="90" w:lineRule="exact"/>
        <w:rPr>
          <w:sz w:val="20"/>
          <w:szCs w:val="20"/>
          <w:color w:val="auto"/>
        </w:rPr>
      </w:pPr>
    </w:p>
    <w:p>
      <w:pPr>
        <w:ind w:left="460" w:firstLine="443"/>
        <w:spacing w:after="0" w:line="268" w:lineRule="auto"/>
        <w:tabs>
          <w:tab w:leader="none" w:pos="1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460" w:right="240" w:firstLine="443"/>
        <w:spacing w:after="0" w:line="332" w:lineRule="auto"/>
        <w:tabs>
          <w:tab w:leader="none" w:pos="115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left="460" w:right="280"/>
        <w:spacing w:after="0" w:line="417" w:lineRule="auto"/>
        <w:rPr>
          <w:sz w:val="20"/>
          <w:szCs w:val="20"/>
          <w:color w:val="auto"/>
        </w:rPr>
      </w:pPr>
      <w:r>
        <w:rPr>
          <w:rFonts w:ascii="Arial" w:cs="Arial" w:eastAsia="Arial" w:hAnsi="Arial"/>
          <w:sz w:val="15"/>
          <w:szCs w:val="15"/>
          <w:color w:val="auto"/>
        </w:rPr>
        <w:t>provided that no such offer of notes shall require the Issuer or any underwriter to publish a prospectus pursuant to Article 3 of the Prospectus Directive. For the purposes of this provision, the expression “an offer of notes to the public” in relation to any notes in any Relevant Member State means the</w:t>
      </w:r>
    </w:p>
    <w:p>
      <w:pPr>
        <w:spacing w:after="0" w:line="1" w:lineRule="exact"/>
        <w:rPr>
          <w:sz w:val="20"/>
          <w:szCs w:val="20"/>
          <w:color w:val="auto"/>
        </w:rPr>
      </w:pPr>
    </w:p>
    <w:p>
      <w:pPr>
        <w:jc w:val="both"/>
        <w:ind w:right="120"/>
        <w:spacing w:after="0" w:line="331" w:lineRule="auto"/>
        <w:rPr>
          <w:sz w:val="20"/>
          <w:szCs w:val="20"/>
          <w:color w:val="auto"/>
        </w:rPr>
      </w:pPr>
      <w:r>
        <w:rPr>
          <w:rFonts w:ascii="Arial" w:cs="Arial" w:eastAsia="Arial" w:hAnsi="Arial"/>
          <w:sz w:val="15"/>
          <w:szCs w:val="15"/>
          <w:color w:val="auto"/>
        </w:rPr>
        <w:t>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FIEL available thereunder and in compliance with the other relevant laws and regulations of Japan.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by reference from the Company’s 2009 Annual Report on Form 10-K, and the effectiveness of Comcast Corporation’s internal control over financial reporting have been audited by Deloitte &amp; 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referring to the retrospective change in method of accounting for noncontrolling interests, effective January 1, 2009, and the change in method of accounting for split-dollar life insurance agreements on January 1, 2008 and express an unqualified opinion on the effectiveness of internal control over financial reporting). Such consolidated financial statements and consolidated financial statement schedule have been so incorporated in reliance upon the reports of such firm given upon their authority as experts in accounting and auditing.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118110</wp:posOffset>
            </wp:positionV>
            <wp:extent cx="1397635"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5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Unsecured senior debt securities</w:t>
            </w:r>
          </w:p>
        </w:tc>
        <w:tc>
          <w:tcPr>
            <w:tcW w:w="1680" w:type="dxa"/>
            <w:vAlign w:val="bottom"/>
          </w:tcPr>
          <w:p>
            <w:pPr>
              <w:ind w:left="15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Unsecured subordinated debt securities</w:t>
            </w:r>
          </w:p>
        </w:tc>
        <w:tc>
          <w:tcPr>
            <w:tcW w:w="1680" w:type="dxa"/>
            <w:vAlign w:val="bottom"/>
          </w:tcPr>
          <w:p>
            <w:pPr>
              <w:ind w:left="15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Depositary shares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Warrants</w:t>
            </w:r>
          </w:p>
        </w:tc>
        <w:tc>
          <w:tcPr>
            <w:tcW w:w="3940" w:type="dxa"/>
            <w:vAlign w:val="bottom"/>
            <w:gridSpan w:val="2"/>
          </w:tcPr>
          <w:p>
            <w:pPr>
              <w:ind w:left="1560"/>
              <w:spacing w:after="0"/>
              <w:rPr>
                <w:sz w:val="20"/>
                <w:szCs w:val="20"/>
                <w:color w:val="auto"/>
              </w:rPr>
            </w:pPr>
            <w:r>
              <w:rPr>
                <w:rFonts w:ascii="Arial" w:cs="Arial" w:eastAsia="Arial" w:hAnsi="Arial"/>
                <w:sz w:val="18"/>
                <w:szCs w:val="18"/>
                <w:color w:val="auto"/>
              </w:rPr>
              <w:t>•  Class A common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Purchase contracts</w:t>
            </w:r>
          </w:p>
        </w:tc>
        <w:tc>
          <w:tcPr>
            <w:tcW w:w="3940" w:type="dxa"/>
            <w:vAlign w:val="bottom"/>
            <w:gridSpan w:val="2"/>
          </w:tcPr>
          <w:p>
            <w:pPr>
              <w:ind w:left="1560"/>
              <w:spacing w:after="0"/>
              <w:rPr>
                <w:sz w:val="20"/>
                <w:szCs w:val="20"/>
                <w:color w:val="auto"/>
              </w:rPr>
            </w:pPr>
            <w:r>
              <w:rPr>
                <w:rFonts w:ascii="Arial" w:cs="Arial" w:eastAsia="Arial" w:hAnsi="Arial"/>
                <w:sz w:val="18"/>
                <w:szCs w:val="18"/>
                <w:color w:val="auto"/>
                <w:w w:val="89"/>
              </w:rPr>
              <w:t>•  Class A Special common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Units</w:t>
            </w:r>
          </w:p>
        </w:tc>
        <w:tc>
          <w:tcPr>
            <w:tcW w:w="16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6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April 24, 2009, the reported last sale prices on the Nasdaq Global Select Market for our Class A common stock and our Class A Special common stock were $13.89 and $12.99,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Maturity</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w w:val="89"/>
              </w:rPr>
              <w:t>•  Conversion or exchange rights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Sinking fund terms</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Listing on a securities exchange</w:t>
            </w:r>
          </w:p>
        </w:tc>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Amount payable at maturity</w:t>
            </w: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13 of our annual report on Form 10-K for the year ended December 31, 2008,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April 27, 2009</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The Companies</w:t>
              </w:r>
            </w:hyperlink>
          </w:p>
        </w:tc>
        <w:tc>
          <w:tcPr>
            <w:tcW w:w="9920" w:type="dxa"/>
            <w:vAlign w:val="bottom"/>
            <w:gridSpan w:val="10"/>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20" w:type="dxa"/>
            <w:vAlign w:val="bottom"/>
            <w:gridSpan w:val="10"/>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Caution Concerning Forward-Looking Statements</w:t>
              </w:r>
            </w:hyperlink>
          </w:p>
        </w:tc>
        <w:tc>
          <w:tcPr>
            <w:tcW w:w="75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Dividend Policy</w:t>
              </w:r>
            </w:hyperlink>
          </w:p>
        </w:tc>
        <w:tc>
          <w:tcPr>
            <w:tcW w:w="98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Cable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Global Securities</w:t>
              </w:r>
            </w:hyperlink>
          </w:p>
        </w:tc>
        <w:tc>
          <w:tcPr>
            <w:tcW w:w="73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Description of Capital Stock</w:t>
              </w:r>
            </w:hyperlink>
          </w:p>
        </w:tc>
        <w:tc>
          <w:tcPr>
            <w:tcW w:w="90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96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100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Incorporation of Certain Documents by Reference</w:t>
              </w:r>
            </w:hyperlink>
          </w:p>
        </w:tc>
        <w:tc>
          <w:tcPr>
            <w:tcW w:w="75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or “we,” “us,” “our” or comparable terms and to Comcast Holdings Corporation as “Comcast Holdings.” We refer to Comcast Cable Communications, LLC as “Comcast Cable,” Comcast Cable Communications Holdings, Inc. as “Comcast Cable Communications Holdings,”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are the nation’s leading provider of cable services, offering a variety of entertainment, information and communications services to residential and commercial customers. As of December 31, 2008, our cable systems served approximately 24.2 million video customers, 14.9 million high-speed Internet customers and 6.5 million phone customers and passed over 50.6 million homes in 39 states and the District of Columbia. We report the results of these operations as our Cable segment, which generates approximately 95% of our consolidated revenue. Our Cable segment also includes the operations of our regional sports networks. Our other reportable segment, Programming, consists primarily of our national programming networks, including E!, Golf Channel, VERSUS, G4 and Style. We were incorporated under the laws of Pennsylvania in December 2001. Through our predecessors, we have developed, managed and operated cable systems since 1963.</w:t>
      </w:r>
    </w:p>
    <w:p>
      <w:pPr>
        <w:spacing w:after="0" w:line="14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focused on entertainment, information and communication, including Comcast.net, Fancast, thePlatform, Fandango, Plaxo and DailyCandy. Comcast Spectacor owns two professional sports teams and two large, multipurpose arenas, and manages other facilities for sporting events, concerts and other events.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 owned subsidiary of ours.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 site at http://www.comcast.com where general information about us is available. We are not incorporating the contents of the Web 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3120" w:firstLine="2664"/>
        <w:spacing w:after="0" w:line="394"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2008 incorporated herein by reference. Actual events or our actual results may differ materially from any of our forward-looking statements. We undertake no obligation to update any forward-looking statements.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$0.27 per share. Our Board of Directors retains the right to change our dividend policy at any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500" w:type="dxa"/>
            <w:vAlign w:val="bottom"/>
            <w:tcBorders>
              <w:top w:val="single" w:sz="8" w:color="auto"/>
            </w:tcBorders>
          </w:tcPr>
          <w:p>
            <w:pPr>
              <w:jc w:val="right"/>
              <w:ind w:right="1037"/>
              <w:spacing w:after="0" w:line="156"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499"/>
              <w:spacing w:after="0" w:line="156" w:lineRule="exact"/>
              <w:rPr>
                <w:sz w:val="20"/>
                <w:szCs w:val="20"/>
                <w:color w:val="auto"/>
              </w:rPr>
            </w:pPr>
            <w:r>
              <w:rPr>
                <w:rFonts w:ascii="Arial" w:cs="Arial" w:eastAsia="Arial" w:hAnsi="Arial"/>
                <w:sz w:val="14"/>
                <w:szCs w:val="14"/>
                <w:b w:val="1"/>
                <w:bCs w:val="1"/>
                <w:color w:val="auto"/>
                <w:w w:val="83"/>
              </w:rPr>
              <w:t>2006</w:t>
            </w:r>
          </w:p>
        </w:tc>
        <w:tc>
          <w:tcPr>
            <w:tcW w:w="22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9"/>
              </w:rPr>
              <w:t>2005</w:t>
            </w:r>
          </w:p>
        </w:tc>
        <w:tc>
          <w:tcPr>
            <w:tcW w:w="21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3"/>
              </w:rPr>
              <w:t>2004</w:t>
            </w:r>
          </w:p>
        </w:tc>
      </w:tr>
      <w:tr>
        <w:trPr>
          <w:trHeight w:val="201"/>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3"/>
              </w:rPr>
              <w:t>Ratio of earnings to fixed charges:</w:t>
            </w:r>
          </w:p>
        </w:tc>
        <w:tc>
          <w:tcPr>
            <w:tcW w:w="1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2.85x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r>
        <w:trPr>
          <w:trHeight w:val="318"/>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w w:val="90"/>
              </w:rPr>
              <w:t>Ratio of earnings to combined fixed charges and preferred dividends: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2.84x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9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and the ratio of earnings to combined fixed charges and preferred dividends to reflect the impact of discontinued operations. Prior to this adjustment, the ratio of earnings to fixed charges for the years ended December 31, 2005 and 2004 was 2.01x and 1.97x, respectively, and the ratio of earnings to combined fixed charges and preferred dividends for the years ended December 31, 2005 and 2004 was 2.01x and 1.97x, respectively.</w:t>
      </w:r>
    </w:p>
    <w:p>
      <w:pPr>
        <w:spacing w:after="0" w:line="12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w:t>
      </w:r>
    </w:p>
    <w:p>
      <w:pPr>
        <w:spacing w:after="0" w:line="2" w:lineRule="exact"/>
        <w:rPr>
          <w:sz w:val="20"/>
          <w:szCs w:val="20"/>
          <w:color w:val="auto"/>
        </w:rPr>
      </w:pPr>
    </w:p>
    <w:p>
      <w:pPr>
        <w:ind w:right="100" w:firstLine="8"/>
        <w:spacing w:after="0" w:line="302"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w:t>
      </w:r>
    </w:p>
    <w:p>
      <w:pPr>
        <w:spacing w:after="0" w:line="38"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pretax income from continuing operations before adjustment for noncontrolling interests in consolidated subsidiaries or income or loss from equity investees,</w:t>
      </w:r>
    </w:p>
    <w:p>
      <w:pPr>
        <w:spacing w:after="0" w:line="32" w:lineRule="exact"/>
        <w:rPr>
          <w:rFonts w:ascii="Arial" w:cs="Arial" w:eastAsia="Arial" w:hAnsi="Arial"/>
          <w:sz w:val="16"/>
          <w:szCs w:val="16"/>
          <w:color w:val="auto"/>
        </w:rPr>
      </w:pPr>
    </w:p>
    <w:p>
      <w:pPr>
        <w:ind w:firstLine="8"/>
        <w:spacing w:after="0" w:line="28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2" w:lineRule="exact"/>
        <w:rPr>
          <w:rFonts w:ascii="Arial" w:cs="Arial" w:eastAsia="Arial" w:hAnsi="Arial"/>
          <w:sz w:val="16"/>
          <w:szCs w:val="16"/>
          <w:color w:val="auto"/>
        </w:rPr>
      </w:pPr>
    </w:p>
    <w:p>
      <w:pPr>
        <w:ind w:right="200" w:firstLine="8"/>
        <w:spacing w:after="0" w:line="254"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right="8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Mellon, formerly known as The Bank of New York, as trustee; and</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6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32" w:lineRule="exact"/>
        <w:rPr>
          <w:sz w:val="20"/>
          <w:szCs w:val="20"/>
          <w:color w:val="auto"/>
        </w:rPr>
      </w:pPr>
    </w:p>
    <w:p>
      <w:pPr>
        <w:ind w:left="1480" w:right="120" w:hanging="446"/>
        <w:spacing w:after="0" w:line="259"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920" w:right="40" w:hanging="318"/>
        <w:spacing w:after="0" w:line="268" w:lineRule="auto"/>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1920" w:right="320" w:hanging="318"/>
        <w:spacing w:after="0" w:line="259" w:lineRule="auto"/>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$0.27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As of December 31, 2008,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voting power of our capital stock. As of December 31, 2008,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 The Class B common stock is convertible on a share-for-share basis into Class A common stock or Class A Special common stock. As of February 28, 2009, if Mr. Roberts were to convert the Class B common stock he beneficially owns into Class A common stock, Mr. Roberts would beneficially own 12,798,458 shares of Class A common stock, which is less than 1% of the Class A common stock that would be outstanding after the conversion.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8"/>
          <w:szCs w:val="18"/>
          <w:i w:val="1"/>
          <w:iCs w:val="1"/>
          <w:color w:val="auto"/>
        </w:rPr>
        <w:t>i.e.</w:t>
      </w:r>
      <w:r>
        <w:rPr>
          <w:rFonts w:ascii="Arial" w:cs="Arial" w:eastAsia="Arial" w:hAnsi="Arial"/>
          <w:sz w:val="18"/>
          <w:szCs w:val="18"/>
          <w:color w:val="auto"/>
        </w:rPr>
        <w:t>,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4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“Flip In” Feature. </w:t>
      </w:r>
      <w:r>
        <w:rPr>
          <w:rFonts w:ascii="Arial" w:cs="Arial" w:eastAsia="Arial" w:hAnsi="Arial"/>
          <w:sz w:val="18"/>
          <w:szCs w:val="18"/>
          <w:color w:val="auto"/>
        </w:rPr>
        <w:t>If any person becomes an Acquiring Person, each holder of a Right, except for the Acquiring Person or certain affiliated persons,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Right, except for the person that has become an Acquiring Person or certain affiliated persons, could exercise his or her Right by paying to us $125 in order to receive shares of our Class A common stock having a value equal to $250.</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3"/>
          <w:szCs w:val="13"/>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concerning the adoption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effective January 1, 2007, of Statement of Financial Accounting Standards (“SFAS”) No. 159, </w:t>
      </w:r>
      <w:r>
        <w:rPr>
          <w:rFonts w:ascii="Arial" w:cs="Arial" w:eastAsia="Arial" w:hAnsi="Arial"/>
          <w:sz w:val="16"/>
          <w:szCs w:val="16"/>
          <w:i w:val="1"/>
          <w:iCs w:val="1"/>
          <w:color w:val="auto"/>
        </w:rPr>
        <w:t>The Fair Value Option for Financial Assets and Financial Liabilities including an amendment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115, </w:t>
      </w:r>
      <w:r>
        <w:rPr>
          <w:rFonts w:ascii="Arial" w:cs="Arial" w:eastAsia="Arial" w:hAnsi="Arial"/>
          <w:sz w:val="16"/>
          <w:szCs w:val="16"/>
          <w:color w:val="auto"/>
        </w:rPr>
        <w:t>effective January 1, 2008, and of EITF Issue No 06-10,</w:t>
      </w:r>
      <w:r>
        <w:rPr>
          <w:rFonts w:ascii="Arial" w:cs="Arial" w:eastAsia="Arial" w:hAnsi="Arial"/>
          <w:sz w:val="16"/>
          <w:szCs w:val="16"/>
          <w:i w:val="1"/>
          <w:iCs w:val="1"/>
          <w:color w:val="auto"/>
        </w:rPr>
        <w:t xml:space="preserve"> Accounting for Collateral Assignment Spilt-Dollar Life Insurance Arrangements, </w:t>
      </w:r>
      <w:r>
        <w:rPr>
          <w:rFonts w:ascii="Arial" w:cs="Arial" w:eastAsia="Arial" w:hAnsi="Arial"/>
          <w:sz w:val="16"/>
          <w:szCs w:val="16"/>
          <w:color w:val="auto"/>
        </w:rPr>
        <w:t>effective January 1, 2008 and express an unqualified opinion on the effectiveness of internal control over financial reporting). Such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consolidated financial statement schedule have been so incorporated in reliance upon the reports of such firm given upon their authority as experts in accounting and auditing.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 filed on February 20, 2009.</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2009 annual meeting of stockholders incorporated by reference in the Annual Report on Form 10-K for the year ended December 31,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on February 13, 2009.</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831850</wp:posOffset>
            </wp:positionV>
            <wp:extent cx="1397635" cy="360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60" w:hanging="838"/>
        <w:spacing w:after="0"/>
        <w:tabs>
          <w:tab w:leader="none" w:pos="54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537845</wp:posOffset>
            </wp:positionV>
            <wp:extent cx="22383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66040</wp:posOffset>
            </wp:positionV>
            <wp:extent cx="22383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55" w:lineRule="exact"/>
        <w:rPr>
          <w:sz w:val="20"/>
          <w:szCs w:val="20"/>
          <w:color w:val="auto"/>
        </w:rPr>
      </w:pPr>
    </w:p>
    <w:p>
      <w:pPr>
        <w:spacing w:after="0"/>
        <w:tabs>
          <w:tab w:leader="none" w:pos="2620" w:val="left"/>
          <w:tab w:leader="none" w:pos="4800" w:val="left"/>
          <w:tab w:leader="none" w:pos="8800" w:val="left"/>
        </w:tabs>
        <w:rPr>
          <w:sz w:val="20"/>
          <w:szCs w:val="20"/>
          <w:color w:val="auto"/>
        </w:rPr>
      </w:pPr>
      <w:r>
        <w:rPr>
          <w:rFonts w:ascii="Arial" w:cs="Arial" w:eastAsia="Arial" w:hAnsi="Arial"/>
          <w:sz w:val="22"/>
          <w:szCs w:val="22"/>
          <w:b w:val="1"/>
          <w:bCs w:val="1"/>
          <w:color w:val="auto"/>
        </w:rPr>
        <w:t>Barclays Capital</w:t>
      </w:r>
      <w:r>
        <w:rPr>
          <w:sz w:val="20"/>
          <w:szCs w:val="20"/>
          <w:color w:val="auto"/>
        </w:rPr>
        <w:tab/>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b w:val="1"/>
          <w:bCs w:val="1"/>
          <w:color w:val="auto"/>
        </w:rPr>
        <w:t>Goldman Sachs International</w:t>
      </w:r>
      <w:r>
        <w:rPr>
          <w:sz w:val="20"/>
          <w:szCs w:val="20"/>
          <w:color w:val="auto"/>
        </w:rPr>
        <w:tab/>
      </w:r>
      <w:r>
        <w:rPr>
          <w:rFonts w:ascii="Arial" w:cs="Arial" w:eastAsia="Arial" w:hAnsi="Arial"/>
          <w:sz w:val="19"/>
          <w:szCs w:val="19"/>
          <w:b w:val="1"/>
          <w:bCs w:val="1"/>
          <w:color w:val="auto"/>
        </w:rPr>
        <w:t>The Royal Bank of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294005</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5020"/>
        <w:spacing w:after="0"/>
        <w:tabs>
          <w:tab w:leader="none" w:pos="200" w:val="left"/>
        </w:tabs>
        <w:rPr>
          <w:sz w:val="20"/>
          <w:szCs w:val="20"/>
          <w:color w:val="auto"/>
        </w:rPr>
      </w:pPr>
      <w:r>
        <w:rPr>
          <w:rFonts w:ascii="Arial" w:cs="Arial" w:eastAsia="Arial" w:hAnsi="Arial"/>
          <w:sz w:val="18"/>
          <w:szCs w:val="18"/>
          <w:color w:val="auto"/>
        </w:rPr>
        <w:t>November</w:t>
        <w:tab/>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lvl w:ilvl="1">
      <w:lvlJc w:val="left"/>
      <w:lvlText w:val="(%2)"/>
      <w:numFmt w:val="lowerLetter"/>
      <w:start w:val="1"/>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1"/>
    </w:lvl>
  </w:abstractNum>
  <w:abstractNum w:abstractNumId="14">
    <w:nsid w:val="6CEAF087"/>
    <w:multiLevelType w:val="hybridMultilevel"/>
    <w:lvl w:ilvl="0">
      <w:lvlJc w:val="left"/>
      <w:lvlText w:val="(%1)"/>
      <w:numFmt w:val="lowerRoman"/>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lowerRoman"/>
      <w:start w:val="10"/>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23"/>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lvl w:ilvl="1">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lvl w:ilvl="1">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lvl w:ilvl="1">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2019-12-10T21:56:55Z</dcterms:created>
  <dcterms:modified xsi:type="dcterms:W3CDTF">2019-12-10T21:56:55Z</dcterms:modified>
</cp:coreProperties>
</file>