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4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202565</wp:posOffset>
            </wp:positionV>
            <wp:extent cx="6967220" cy="131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2,999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11,304.522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2,865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14,169.522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2,865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2,999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-2417445</wp:posOffset>
            </wp:positionV>
            <wp:extent cx="7033260" cy="2459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5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on settlement of phantom stock. The reporting person received cash for the fractional shares.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$0.00.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convert on a one-to-one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were automatically converted to shares of Class A common stock on the transaction date pursuant to a previously deferred stock award.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400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2021-01-06T15:09:47Z</dcterms:created>
  <dcterms:modified xsi:type="dcterms:W3CDTF">2021-01-06T15:09:47Z</dcterms:modified>
</cp:coreProperties>
</file>