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148590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343"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auto"/>
        </w:rPr>
        <w:t>CURRENT REPORT</w:t>
      </w:r>
    </w:p>
    <w:p>
      <w:pPr>
        <w:spacing w:after="0" w:line="36"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auto"/>
        </w:rPr>
        <w:t>Pursuant to Section 13 OR 15(d) of</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auto"/>
        </w:rPr>
        <w:t>The Securities Exchange Act of 1934</w:t>
      </w:r>
    </w:p>
    <w:p>
      <w:pPr>
        <w:spacing w:after="0" w:line="200" w:lineRule="exact"/>
        <w:rPr>
          <w:sz w:val="24"/>
          <w:szCs w:val="24"/>
          <w:color w:val="auto"/>
        </w:rPr>
      </w:pPr>
    </w:p>
    <w:p>
      <w:pPr>
        <w:spacing w:after="0" w:line="22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Date of report (Date of earliest event reported): July 31, 2013</w:t>
      </w:r>
    </w:p>
    <w:p>
      <w:pPr>
        <w:spacing w:after="0" w:line="153"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auto"/>
        </w:rPr>
        <w:t>Comcast Corporation</w:t>
      </w:r>
    </w:p>
    <w:p>
      <w:pPr>
        <w:spacing w:after="0" w:line="17"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(Exact Name of Registrant</w:t>
      </w:r>
    </w:p>
    <w:p>
      <w:pPr>
        <w:ind w:left="4940"/>
        <w:spacing w:after="0"/>
        <w:rPr>
          <w:sz w:val="20"/>
          <w:szCs w:val="20"/>
          <w:color w:val="auto"/>
        </w:rPr>
      </w:pPr>
      <w:r>
        <w:rPr>
          <w:rFonts w:ascii="Arial" w:cs="Arial" w:eastAsia="Arial" w:hAnsi="Arial"/>
          <w:sz w:val="14"/>
          <w:szCs w:val="14"/>
          <w:color w:val="auto"/>
        </w:rPr>
        <w:t>as Specified in its Charter)</w:t>
      </w:r>
    </w:p>
    <w:p>
      <w:pPr>
        <w:spacing w:after="0" w:line="13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(State or Other Jurisdiction of Incorporation)</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7120" w:type="dxa"/>
            <w:vAlign w:val="bottom"/>
            <w:gridSpan w:val="3"/>
          </w:tcPr>
          <w:p>
            <w:pPr>
              <w:jc w:val="center"/>
              <w:ind w:right="2421"/>
              <w:spacing w:after="0"/>
              <w:rPr>
                <w:sz w:val="20"/>
                <w:szCs w:val="20"/>
                <w:color w:val="auto"/>
              </w:rPr>
            </w:pPr>
            <w:r>
              <w:rPr>
                <w:rFonts w:ascii="Arial" w:cs="Arial" w:eastAsia="Arial" w:hAnsi="Arial"/>
                <w:sz w:val="18"/>
                <w:szCs w:val="18"/>
                <w:b w:val="1"/>
                <w:bCs w:val="1"/>
                <w:color w:val="auto"/>
                <w:w w:val="90"/>
              </w:rPr>
              <w:t>001-32871</w:t>
            </w:r>
          </w:p>
        </w:tc>
        <w:tc>
          <w:tcPr>
            <w:tcW w:w="3840" w:type="dxa"/>
            <w:vAlign w:val="bottom"/>
          </w:tcPr>
          <w:p>
            <w:pPr>
              <w:jc w:val="center"/>
              <w:ind w:right="1739"/>
              <w:spacing w:after="0"/>
              <w:rPr>
                <w:sz w:val="20"/>
                <w:szCs w:val="20"/>
                <w:color w:val="auto"/>
              </w:rPr>
            </w:pPr>
            <w:r>
              <w:rPr>
                <w:rFonts w:ascii="Arial" w:cs="Arial" w:eastAsia="Arial" w:hAnsi="Arial"/>
                <w:sz w:val="18"/>
                <w:szCs w:val="18"/>
                <w:b w:val="1"/>
                <w:bCs w:val="1"/>
                <w:color w:val="auto"/>
                <w:w w:val="89"/>
              </w:rPr>
              <w:t>27-0000798</w:t>
            </w:r>
          </w:p>
        </w:tc>
        <w:tc>
          <w:tcPr>
            <w:tcW w:w="0" w:type="dxa"/>
            <w:vAlign w:val="bottom"/>
          </w:tcPr>
          <w:p>
            <w:pPr>
              <w:spacing w:after="0"/>
              <w:rPr>
                <w:sz w:val="1"/>
                <w:szCs w:val="1"/>
                <w:color w:val="auto"/>
              </w:rPr>
            </w:pPr>
          </w:p>
        </w:tc>
      </w:tr>
      <w:tr>
        <w:trPr>
          <w:trHeight w:val="182"/>
        </w:trPr>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780" w:type="dxa"/>
            <w:vAlign w:val="bottom"/>
          </w:tcPr>
          <w:p>
            <w:pPr>
              <w:jc w:val="center"/>
              <w:ind w:right="3781"/>
              <w:spacing w:after="0"/>
              <w:rPr>
                <w:sz w:val="20"/>
                <w:szCs w:val="20"/>
                <w:color w:val="auto"/>
              </w:rPr>
            </w:pPr>
            <w:r>
              <w:rPr>
                <w:rFonts w:ascii="Arial" w:cs="Arial" w:eastAsia="Arial" w:hAnsi="Arial"/>
                <w:sz w:val="14"/>
                <w:szCs w:val="14"/>
                <w:color w:val="auto"/>
                <w:w w:val="96"/>
              </w:rPr>
              <w:t>(Commission File Number)</w:t>
            </w:r>
          </w:p>
        </w:tc>
        <w:tc>
          <w:tcPr>
            <w:tcW w:w="3840" w:type="dxa"/>
            <w:vAlign w:val="bottom"/>
          </w:tcPr>
          <w:p>
            <w:pPr>
              <w:jc w:val="center"/>
              <w:ind w:right="1739"/>
              <w:spacing w:after="0"/>
              <w:rPr>
                <w:sz w:val="20"/>
                <w:szCs w:val="20"/>
                <w:color w:val="auto"/>
              </w:rPr>
            </w:pPr>
            <w:r>
              <w:rPr>
                <w:rFonts w:ascii="Arial" w:cs="Arial" w:eastAsia="Arial" w:hAnsi="Arial"/>
                <w:sz w:val="14"/>
                <w:szCs w:val="14"/>
                <w:color w:val="auto"/>
                <w:w w:val="97"/>
              </w:rPr>
              <w:t>(IRS Employer Identification No.)</w:t>
            </w:r>
          </w:p>
        </w:tc>
        <w:tc>
          <w:tcPr>
            <w:tcW w:w="0" w:type="dxa"/>
            <w:vAlign w:val="bottom"/>
          </w:tcPr>
          <w:p>
            <w:pPr>
              <w:spacing w:after="0"/>
              <w:rPr>
                <w:sz w:val="1"/>
                <w:szCs w:val="1"/>
                <w:color w:val="auto"/>
              </w:rPr>
            </w:pPr>
          </w:p>
        </w:tc>
      </w:tr>
      <w:tr>
        <w:trPr>
          <w:trHeight w:val="426"/>
        </w:trPr>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80" w:type="dxa"/>
            <w:vAlign w:val="bottom"/>
          </w:tcPr>
          <w:p>
            <w:pPr>
              <w:jc w:val="center"/>
              <w:ind w:right="3781"/>
              <w:spacing w:after="0"/>
              <w:rPr>
                <w:sz w:val="20"/>
                <w:szCs w:val="20"/>
                <w:color w:val="auto"/>
              </w:rPr>
            </w:pPr>
            <w:r>
              <w:rPr>
                <w:rFonts w:ascii="Arial" w:cs="Arial" w:eastAsia="Arial" w:hAnsi="Arial"/>
                <w:sz w:val="18"/>
                <w:szCs w:val="18"/>
                <w:b w:val="1"/>
                <w:bCs w:val="1"/>
                <w:color w:val="auto"/>
                <w:w w:val="89"/>
              </w:rPr>
              <w:t>One Comcast Center</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80" w:type="dxa"/>
            <w:vAlign w:val="bottom"/>
          </w:tcPr>
          <w:p>
            <w:pPr>
              <w:jc w:val="center"/>
              <w:ind w:right="3781"/>
              <w:spacing w:after="0"/>
              <w:rPr>
                <w:sz w:val="20"/>
                <w:szCs w:val="20"/>
                <w:color w:val="auto"/>
              </w:rPr>
            </w:pPr>
            <w:r>
              <w:rPr>
                <w:rFonts w:ascii="Arial" w:cs="Arial" w:eastAsia="Arial" w:hAnsi="Arial"/>
                <w:sz w:val="18"/>
                <w:szCs w:val="18"/>
                <w:b w:val="1"/>
                <w:bCs w:val="1"/>
                <w:color w:val="auto"/>
                <w:w w:val="90"/>
              </w:rPr>
              <w:t>Philadelphia, PA</w:t>
            </w:r>
          </w:p>
        </w:tc>
        <w:tc>
          <w:tcPr>
            <w:tcW w:w="3840" w:type="dxa"/>
            <w:vAlign w:val="bottom"/>
          </w:tcPr>
          <w:p>
            <w:pPr>
              <w:jc w:val="center"/>
              <w:ind w:right="1739"/>
              <w:spacing w:after="0"/>
              <w:rPr>
                <w:sz w:val="20"/>
                <w:szCs w:val="20"/>
                <w:color w:val="auto"/>
              </w:rPr>
            </w:pPr>
            <w:r>
              <w:rPr>
                <w:rFonts w:ascii="Arial" w:cs="Arial" w:eastAsia="Arial" w:hAnsi="Arial"/>
                <w:sz w:val="18"/>
                <w:szCs w:val="18"/>
                <w:b w:val="1"/>
                <w:bCs w:val="1"/>
                <w:color w:val="auto"/>
                <w:w w:val="89"/>
              </w:rPr>
              <w:t>19103-2838</w:t>
            </w:r>
          </w:p>
        </w:tc>
        <w:tc>
          <w:tcPr>
            <w:tcW w:w="0" w:type="dxa"/>
            <w:vAlign w:val="bottom"/>
          </w:tcPr>
          <w:p>
            <w:pPr>
              <w:spacing w:after="0"/>
              <w:rPr>
                <w:sz w:val="1"/>
                <w:szCs w:val="1"/>
                <w:color w:val="auto"/>
              </w:rPr>
            </w:pPr>
          </w:p>
        </w:tc>
      </w:tr>
      <w:tr>
        <w:trPr>
          <w:trHeight w:val="182"/>
        </w:trPr>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20" w:type="dxa"/>
            <w:vAlign w:val="bottom"/>
            <w:gridSpan w:val="2"/>
          </w:tcPr>
          <w:p>
            <w:pPr>
              <w:jc w:val="center"/>
              <w:ind w:right="3521"/>
              <w:spacing w:after="0"/>
              <w:rPr>
                <w:sz w:val="20"/>
                <w:szCs w:val="20"/>
                <w:color w:val="auto"/>
              </w:rPr>
            </w:pPr>
            <w:r>
              <w:rPr>
                <w:rFonts w:ascii="Arial" w:cs="Arial" w:eastAsia="Arial" w:hAnsi="Arial"/>
                <w:sz w:val="14"/>
                <w:szCs w:val="14"/>
                <w:color w:val="auto"/>
                <w:w w:val="95"/>
              </w:rPr>
              <w:t>(Address of Principal Executive Offices)</w:t>
            </w:r>
          </w:p>
        </w:tc>
        <w:tc>
          <w:tcPr>
            <w:tcW w:w="3840" w:type="dxa"/>
            <w:vAlign w:val="bottom"/>
          </w:tcPr>
          <w:p>
            <w:pPr>
              <w:jc w:val="center"/>
              <w:ind w:right="1739"/>
              <w:spacing w:after="0"/>
              <w:rPr>
                <w:sz w:val="20"/>
                <w:szCs w:val="20"/>
                <w:color w:val="auto"/>
              </w:rPr>
            </w:pPr>
            <w:r>
              <w:rPr>
                <w:rFonts w:ascii="Arial" w:cs="Arial" w:eastAsia="Arial" w:hAnsi="Arial"/>
                <w:sz w:val="14"/>
                <w:szCs w:val="14"/>
                <w:color w:val="auto"/>
                <w:w w:val="93"/>
              </w:rPr>
              <w:t>(Zip Code)</w:t>
            </w:r>
          </w:p>
        </w:tc>
        <w:tc>
          <w:tcPr>
            <w:tcW w:w="0" w:type="dxa"/>
            <w:vAlign w:val="bottom"/>
          </w:tcPr>
          <w:p>
            <w:pPr>
              <w:spacing w:after="0"/>
              <w:rPr>
                <w:sz w:val="1"/>
                <w:szCs w:val="1"/>
                <w:color w:val="auto"/>
              </w:rPr>
            </w:pPr>
          </w:p>
        </w:tc>
      </w:tr>
      <w:tr>
        <w:trPr>
          <w:trHeight w:val="431"/>
        </w:trPr>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20" w:type="dxa"/>
            <w:vAlign w:val="bottom"/>
            <w:gridSpan w:val="2"/>
          </w:tcPr>
          <w:p>
            <w:pPr>
              <w:jc w:val="center"/>
              <w:ind w:right="1779"/>
              <w:spacing w:after="0"/>
              <w:rPr>
                <w:sz w:val="20"/>
                <w:szCs w:val="20"/>
                <w:color w:val="auto"/>
              </w:rPr>
            </w:pPr>
            <w:r>
              <w:rPr>
                <w:rFonts w:ascii="Arial" w:cs="Arial" w:eastAsia="Arial" w:hAnsi="Arial"/>
                <w:sz w:val="14"/>
                <w:szCs w:val="14"/>
                <w:color w:val="auto"/>
                <w:w w:val="92"/>
              </w:rPr>
              <w:t xml:space="preserve">Registrant’s telephone number, including area code: </w:t>
            </w:r>
            <w:r>
              <w:rPr>
                <w:rFonts w:ascii="Arial" w:cs="Arial" w:eastAsia="Arial" w:hAnsi="Arial"/>
                <w:sz w:val="18"/>
                <w:szCs w:val="18"/>
                <w:b w:val="1"/>
                <w:bCs w:val="1"/>
                <w:color w:val="auto"/>
                <w:w w:val="92"/>
              </w:rPr>
              <w:t>(215) 286-1700</w:t>
            </w:r>
          </w:p>
        </w:tc>
        <w:tc>
          <w:tcPr>
            <w:tcW w:w="0" w:type="dxa"/>
            <w:vAlign w:val="bottom"/>
          </w:tcPr>
          <w:p>
            <w:pPr>
              <w:spacing w:after="0"/>
              <w:rPr>
                <w:sz w:val="1"/>
                <w:szCs w:val="1"/>
                <w:color w:val="auto"/>
              </w:rPr>
            </w:pPr>
          </w:p>
        </w:tc>
      </w:tr>
      <w:tr>
        <w:trPr>
          <w:trHeight w:val="393"/>
        </w:trPr>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80" w:type="dxa"/>
            <w:vAlign w:val="bottom"/>
          </w:tcPr>
          <w:p>
            <w:pPr>
              <w:jc w:val="center"/>
              <w:ind w:left="1901"/>
              <w:spacing w:after="0"/>
              <w:rPr>
                <w:sz w:val="20"/>
                <w:szCs w:val="20"/>
                <w:color w:val="auto"/>
              </w:rPr>
            </w:pPr>
            <w:r>
              <w:rPr>
                <w:rFonts w:ascii="Arial" w:cs="Arial" w:eastAsia="Arial" w:hAnsi="Arial"/>
                <w:sz w:val="14"/>
                <w:szCs w:val="14"/>
                <w:color w:val="auto"/>
                <w:w w:val="93"/>
              </w:rPr>
              <w:t>(Former Name or Former Address, if Changed Since Last Report)</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1460" w:type="dxa"/>
            <w:vAlign w:val="bottom"/>
            <w:gridSpan w:val="5"/>
          </w:tcPr>
          <w:p>
            <w:pPr>
              <w:ind w:left="340"/>
              <w:spacing w:after="0"/>
              <w:rPr>
                <w:sz w:val="20"/>
                <w:szCs w:val="20"/>
                <w:color w:val="auto"/>
              </w:rPr>
            </w:pPr>
            <w:r>
              <w:rPr>
                <w:rFonts w:ascii="Arial" w:cs="Arial" w:eastAsia="Arial" w:hAnsi="Arial"/>
                <w:sz w:val="18"/>
                <w:szCs w:val="18"/>
                <w:color w:val="auto"/>
                <w:w w:val="97"/>
              </w:rPr>
              <w:t>Check the appropriate box below if the Form 8-K filing is intended to simultaneously satisfy the filing obligation of the registrant under any of the</w:t>
            </w:r>
          </w:p>
        </w:tc>
        <w:tc>
          <w:tcPr>
            <w:tcW w:w="0" w:type="dxa"/>
            <w:vAlign w:val="bottom"/>
          </w:tcPr>
          <w:p>
            <w:pPr>
              <w:spacing w:after="0"/>
              <w:rPr>
                <w:sz w:val="1"/>
                <w:szCs w:val="1"/>
                <w:color w:val="auto"/>
              </w:rPr>
            </w:pPr>
          </w:p>
        </w:tc>
      </w:tr>
      <w:tr>
        <w:trPr>
          <w:trHeight w:val="190"/>
        </w:trPr>
        <w:tc>
          <w:tcPr>
            <w:tcW w:w="7620" w:type="dxa"/>
            <w:vAlign w:val="bottom"/>
            <w:gridSpan w:val="4"/>
          </w:tcPr>
          <w:p>
            <w:pPr>
              <w:spacing w:after="0" w:line="190" w:lineRule="exact"/>
              <w:rPr>
                <w:sz w:val="20"/>
                <w:szCs w:val="20"/>
                <w:color w:val="auto"/>
              </w:rPr>
            </w:pPr>
            <w:r>
              <w:rPr>
                <w:rFonts w:ascii="Arial" w:cs="Arial" w:eastAsia="Arial" w:hAnsi="Arial"/>
                <w:sz w:val="18"/>
                <w:szCs w:val="18"/>
                <w:color w:val="auto"/>
              </w:rPr>
              <w:t>following provisions (see General Instruction A.2. below):</w:t>
            </w:r>
          </w:p>
        </w:tc>
        <w:tc>
          <w:tcPr>
            <w:tcW w:w="3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ind w:left="340"/>
              <w:spacing w:after="0"/>
              <w:rPr>
                <w:sz w:val="20"/>
                <w:szCs w:val="20"/>
                <w:color w:val="auto"/>
              </w:rPr>
            </w:pPr>
            <w:r>
              <w:rPr>
                <w:rFonts w:ascii="Arial" w:cs="Arial" w:eastAsia="Arial" w:hAnsi="Arial"/>
                <w:sz w:val="22"/>
                <w:szCs w:val="22"/>
                <w:color w:val="auto"/>
              </w:rPr>
              <w:t>£</w:t>
            </w:r>
          </w:p>
        </w:tc>
        <w:tc>
          <w:tcPr>
            <w:tcW w:w="1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500" w:type="dxa"/>
            <w:vAlign w:val="bottom"/>
            <w:vMerge w:val="continue"/>
          </w:tcPr>
          <w:p>
            <w:pPr>
              <w:spacing w:after="0"/>
              <w:rPr>
                <w:sz w:val="24"/>
                <w:szCs w:val="24"/>
                <w:color w:val="auto"/>
              </w:rPr>
            </w:pPr>
          </w:p>
        </w:tc>
        <w:tc>
          <w:tcPr>
            <w:tcW w:w="7120" w:type="dxa"/>
            <w:vAlign w:val="bottom"/>
            <w:gridSpan w:val="3"/>
          </w:tcPr>
          <w:p>
            <w:pPr>
              <w:ind w:left="80"/>
              <w:spacing w:after="0"/>
              <w:rPr>
                <w:sz w:val="20"/>
                <w:szCs w:val="20"/>
                <w:color w:val="auto"/>
              </w:rPr>
            </w:pPr>
            <w:r>
              <w:rPr>
                <w:rFonts w:ascii="Arial" w:cs="Arial" w:eastAsia="Arial" w:hAnsi="Arial"/>
                <w:sz w:val="18"/>
                <w:szCs w:val="18"/>
                <w:color w:val="auto"/>
                <w:w w:val="98"/>
              </w:rPr>
              <w:t>Written communications pursuant to Rule 425 under the Securities Act (17 CFR 230.425)</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00" w:type="dxa"/>
            <w:vAlign w:val="bottom"/>
          </w:tcPr>
          <w:p>
            <w:pPr>
              <w:ind w:left="340"/>
              <w:spacing w:after="0"/>
              <w:rPr>
                <w:sz w:val="20"/>
                <w:szCs w:val="20"/>
                <w:color w:val="auto"/>
              </w:rPr>
            </w:pPr>
            <w:r>
              <w:rPr>
                <w:rFonts w:ascii="Arial" w:cs="Arial" w:eastAsia="Arial" w:hAnsi="Arial"/>
                <w:sz w:val="22"/>
                <w:szCs w:val="22"/>
                <w:color w:val="auto"/>
              </w:rPr>
              <w:t>£</w:t>
            </w:r>
          </w:p>
        </w:tc>
        <w:tc>
          <w:tcPr>
            <w:tcW w:w="7120" w:type="dxa"/>
            <w:vAlign w:val="bottom"/>
            <w:gridSpan w:val="3"/>
          </w:tcPr>
          <w:p>
            <w:pPr>
              <w:ind w:left="80"/>
              <w:spacing w:after="0"/>
              <w:rPr>
                <w:sz w:val="20"/>
                <w:szCs w:val="20"/>
                <w:color w:val="auto"/>
              </w:rPr>
            </w:pPr>
            <w:r>
              <w:rPr>
                <w:rFonts w:ascii="Arial" w:cs="Arial" w:eastAsia="Arial" w:hAnsi="Arial"/>
                <w:sz w:val="18"/>
                <w:szCs w:val="18"/>
                <w:color w:val="auto"/>
                <w:w w:val="98"/>
              </w:rPr>
              <w:t>Soliciting material pursuant to Rule 14a-12 under the Exchange Act (17 CFR 240.14a-12)</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00" w:type="dxa"/>
            <w:vAlign w:val="bottom"/>
          </w:tcPr>
          <w:p>
            <w:pPr>
              <w:ind w:left="340"/>
              <w:spacing w:after="0"/>
              <w:rPr>
                <w:sz w:val="20"/>
                <w:szCs w:val="20"/>
                <w:color w:val="auto"/>
              </w:rPr>
            </w:pPr>
            <w:r>
              <w:rPr>
                <w:rFonts w:ascii="Arial" w:cs="Arial" w:eastAsia="Arial" w:hAnsi="Arial"/>
                <w:sz w:val="22"/>
                <w:szCs w:val="22"/>
                <w:color w:val="auto"/>
              </w:rPr>
              <w:t>£</w:t>
            </w:r>
          </w:p>
        </w:tc>
        <w:tc>
          <w:tcPr>
            <w:tcW w:w="10960" w:type="dxa"/>
            <w:vAlign w:val="bottom"/>
            <w:gridSpan w:val="4"/>
          </w:tcPr>
          <w:p>
            <w:pPr>
              <w:ind w:left="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tc>
        <w:tc>
          <w:tcPr>
            <w:tcW w:w="0" w:type="dxa"/>
            <w:vAlign w:val="bottom"/>
          </w:tcPr>
          <w:p>
            <w:pPr>
              <w:spacing w:after="0"/>
              <w:rPr>
                <w:sz w:val="1"/>
                <w:szCs w:val="1"/>
                <w:color w:val="auto"/>
              </w:rPr>
            </w:pPr>
          </w:p>
        </w:tc>
      </w:tr>
      <w:tr>
        <w:trPr>
          <w:trHeight w:val="351"/>
        </w:trPr>
        <w:tc>
          <w:tcPr>
            <w:tcW w:w="500" w:type="dxa"/>
            <w:vAlign w:val="bottom"/>
          </w:tcPr>
          <w:p>
            <w:pPr>
              <w:ind w:left="340"/>
              <w:spacing w:after="0"/>
              <w:rPr>
                <w:sz w:val="20"/>
                <w:szCs w:val="20"/>
                <w:color w:val="auto"/>
              </w:rPr>
            </w:pPr>
            <w:r>
              <w:rPr>
                <w:rFonts w:ascii="Arial" w:cs="Arial" w:eastAsia="Arial" w:hAnsi="Arial"/>
                <w:sz w:val="22"/>
                <w:szCs w:val="22"/>
                <w:color w:val="auto"/>
              </w:rPr>
              <w:t>£</w:t>
            </w:r>
          </w:p>
        </w:tc>
        <w:tc>
          <w:tcPr>
            <w:tcW w:w="10960" w:type="dxa"/>
            <w:vAlign w:val="bottom"/>
            <w:gridSpan w:val="4"/>
          </w:tcPr>
          <w:p>
            <w:pPr>
              <w:ind w:left="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tc>
        <w:tc>
          <w:tcPr>
            <w:tcW w:w="0" w:type="dxa"/>
            <w:vAlign w:val="bottom"/>
          </w:tcPr>
          <w:p>
            <w:pPr>
              <w:spacing w:after="0"/>
              <w:rPr>
                <w:sz w:val="1"/>
                <w:szCs w:val="1"/>
                <w:color w:val="auto"/>
              </w:rPr>
            </w:pPr>
          </w:p>
        </w:tc>
      </w:tr>
      <w:tr>
        <w:trPr>
          <w:trHeight w:val="338"/>
        </w:trPr>
        <w:tc>
          <w:tcPr>
            <w:tcW w:w="500" w:type="dxa"/>
            <w:vAlign w:val="bottom"/>
            <w:tcBorders>
              <w:bottom w:val="single" w:sz="8" w:color="010101"/>
            </w:tcBorders>
          </w:tcPr>
          <w:p>
            <w:pPr>
              <w:spacing w:after="0"/>
              <w:rPr>
                <w:sz w:val="24"/>
                <w:szCs w:val="24"/>
                <w:color w:val="auto"/>
              </w:rPr>
            </w:pPr>
          </w:p>
        </w:tc>
        <w:tc>
          <w:tcPr>
            <w:tcW w:w="110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5780" w:type="dxa"/>
            <w:vAlign w:val="bottom"/>
            <w:tcBorders>
              <w:bottom w:val="single" w:sz="8" w:color="010101"/>
            </w:tcBorders>
          </w:tcPr>
          <w:p>
            <w:pPr>
              <w:spacing w:after="0"/>
              <w:rPr>
                <w:sz w:val="24"/>
                <w:szCs w:val="24"/>
                <w:color w:val="auto"/>
              </w:rPr>
            </w:pPr>
          </w:p>
        </w:tc>
        <w:tc>
          <w:tcPr>
            <w:tcW w:w="38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jc w:val="both"/>
        <w:ind w:right="40"/>
        <w:spacing w:after="0" w:line="272" w:lineRule="auto"/>
        <w:rPr>
          <w:sz w:val="20"/>
          <w:szCs w:val="20"/>
          <w:color w:val="auto"/>
        </w:rPr>
      </w:pPr>
      <w:r>
        <w:rPr>
          <w:rFonts w:ascii="Arial" w:cs="Arial" w:eastAsia="Arial" w:hAnsi="Arial"/>
          <w:sz w:val="17"/>
          <w:szCs w:val="17"/>
          <w:color w:val="auto"/>
        </w:rPr>
        <w:t>On July 31, 2013, Comcast Corporation (“Comcast”) issued a press release reporting the results of its operations for the three and six months ended June 30, 2013. The press release is attached hereto as Exhibit 99.1. Exhibit 99.2 sets forth the reasons Comcast believes that presentation of the non-GAAP financial measures contained in the press release provides useful information to investors regarding Comcast's financial condition and results of operations.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1"/>
              </w:rPr>
              <w:t>Item 9.01. Exhibits</w:t>
            </w:r>
          </w:p>
        </w:tc>
        <w:tc>
          <w:tcPr>
            <w:tcW w:w="900" w:type="dxa"/>
            <w:vAlign w:val="bottom"/>
          </w:tcPr>
          <w:p>
            <w:pPr>
              <w:spacing w:after="0"/>
              <w:rPr>
                <w:sz w:val="20"/>
                <w:szCs w:val="20"/>
                <w:color w:val="auto"/>
              </w:rPr>
            </w:pPr>
          </w:p>
        </w:tc>
        <w:tc>
          <w:tcPr>
            <w:tcW w:w="9100" w:type="dxa"/>
            <w:vAlign w:val="bottom"/>
          </w:tcPr>
          <w:p>
            <w:pPr>
              <w:spacing w:after="0"/>
              <w:rPr>
                <w:sz w:val="20"/>
                <w:szCs w:val="20"/>
                <w:color w:val="auto"/>
              </w:rPr>
            </w:pPr>
          </w:p>
        </w:tc>
      </w:tr>
      <w:tr>
        <w:trPr>
          <w:trHeight w:val="468"/>
        </w:trPr>
        <w:tc>
          <w:tcPr>
            <w:tcW w:w="180" w:type="dxa"/>
            <w:vAlign w:val="bottom"/>
          </w:tcPr>
          <w:p>
            <w:pPr>
              <w:spacing w:after="0"/>
              <w:rPr>
                <w:sz w:val="24"/>
                <w:szCs w:val="24"/>
                <w:color w:val="auto"/>
              </w:rPr>
            </w:pPr>
          </w:p>
        </w:tc>
        <w:tc>
          <w:tcPr>
            <w:tcW w:w="128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3"/>
              </w:rPr>
              <w:t>Exhibit</w:t>
            </w:r>
          </w:p>
        </w:tc>
        <w:tc>
          <w:tcPr>
            <w:tcW w:w="900" w:type="dxa"/>
            <w:vAlign w:val="bottom"/>
          </w:tcPr>
          <w:p>
            <w:pPr>
              <w:spacing w:after="0"/>
              <w:rPr>
                <w:sz w:val="24"/>
                <w:szCs w:val="24"/>
                <w:color w:val="auto"/>
              </w:rPr>
            </w:pPr>
          </w:p>
        </w:tc>
        <w:tc>
          <w:tcPr>
            <w:tcW w:w="9100" w:type="dxa"/>
            <w:vAlign w:val="bottom"/>
          </w:tcPr>
          <w:p>
            <w:pPr>
              <w:spacing w:after="0"/>
              <w:rPr>
                <w:sz w:val="24"/>
                <w:szCs w:val="24"/>
                <w:color w:val="auto"/>
              </w:rPr>
            </w:pPr>
          </w:p>
        </w:tc>
      </w:tr>
      <w:tr>
        <w:trPr>
          <w:trHeight w:val="194"/>
        </w:trPr>
        <w:tc>
          <w:tcPr>
            <w:tcW w:w="180" w:type="dxa"/>
            <w:vAlign w:val="bottom"/>
          </w:tcPr>
          <w:p>
            <w:pPr>
              <w:spacing w:after="0"/>
              <w:rPr>
                <w:sz w:val="16"/>
                <w:szCs w:val="16"/>
                <w:color w:val="auto"/>
              </w:rPr>
            </w:pPr>
          </w:p>
        </w:tc>
        <w:tc>
          <w:tcPr>
            <w:tcW w:w="1280" w:type="dxa"/>
            <w:vAlign w:val="bottom"/>
            <w:gridSpan w:val="2"/>
          </w:tcPr>
          <w:p>
            <w:pPr>
              <w:jc w:val="center"/>
              <w:ind w:right="640"/>
              <w:spacing w:after="0" w:line="194" w:lineRule="exact"/>
              <w:rPr>
                <w:sz w:val="20"/>
                <w:szCs w:val="20"/>
                <w:color w:val="auto"/>
              </w:rPr>
            </w:pPr>
            <w:r>
              <w:rPr>
                <w:rFonts w:ascii="Arial" w:cs="Arial" w:eastAsia="Arial" w:hAnsi="Arial"/>
                <w:sz w:val="18"/>
                <w:szCs w:val="18"/>
                <w:b w:val="1"/>
                <w:bCs w:val="1"/>
                <w:color w:val="auto"/>
                <w:w w:val="94"/>
              </w:rPr>
              <w:t>Number</w:t>
            </w:r>
          </w:p>
        </w:tc>
        <w:tc>
          <w:tcPr>
            <w:tcW w:w="1000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r>
      <w:tr>
        <w:trPr>
          <w:trHeight w:val="438"/>
        </w:trPr>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6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Comcast Corporation press release dated July 31, 2013.</w:t>
            </w:r>
          </w:p>
        </w:tc>
      </w:tr>
      <w:tr>
        <w:trPr>
          <w:trHeight w:val="230"/>
        </w:trPr>
        <w:tc>
          <w:tcPr>
            <w:tcW w:w="82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99.2</w:t>
            </w:r>
          </w:p>
        </w:tc>
        <w:tc>
          <w:tcPr>
            <w:tcW w:w="64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Explanation of Non-GAAP and Other Financial Measures.</w:t>
            </w:r>
          </w:p>
        </w:tc>
      </w:tr>
      <w:tr>
        <w:trPr>
          <w:trHeight w:val="348"/>
        </w:trPr>
        <w:tc>
          <w:tcPr>
            <w:tcW w:w="18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c>
          <w:tcPr>
            <w:tcW w:w="9100" w:type="dxa"/>
            <w:vAlign w:val="bottom"/>
            <w:tcBorders>
              <w:bottom w:val="single" w:sz="8" w:color="010101"/>
            </w:tcBorders>
          </w:tcPr>
          <w:p>
            <w:pPr>
              <w:spacing w:after="0"/>
              <w:rPr>
                <w:sz w:val="24"/>
                <w:szCs w:val="24"/>
                <w:color w:val="auto"/>
              </w:rPr>
            </w:pPr>
          </w:p>
        </w:tc>
      </w:tr>
      <w:tr>
        <w:trPr>
          <w:trHeight w:val="821"/>
        </w:trPr>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100" w:type="dxa"/>
            <w:vAlign w:val="bottom"/>
          </w:tcPr>
          <w:p>
            <w:pPr>
              <w:ind w:left="2780"/>
              <w:spacing w:after="0"/>
              <w:rPr>
                <w:sz w:val="20"/>
                <w:szCs w:val="20"/>
                <w:color w:val="auto"/>
              </w:rPr>
            </w:pPr>
            <w:r>
              <w:rPr>
                <w:rFonts w:ascii="Arial" w:cs="Arial" w:eastAsia="Arial" w:hAnsi="Arial"/>
                <w:sz w:val="18"/>
                <w:szCs w:val="18"/>
                <w:b w:val="1"/>
                <w:bCs w:val="1"/>
                <w:color w:val="auto"/>
              </w:rPr>
              <w:t>SIGNATURES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-550545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-550545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11" w:orient="portrait"/>
          <w:cols w:equalWidth="0" w:num="1">
            <w:col w:w="11460"/>
          </w:cols>
          <w:pgMar w:left="240" w:top="648" w:right="199" w:bottom="0" w:gutter="0" w:footer="0" w:header="0"/>
        </w:sectPr>
      </w:pPr>
    </w:p>
    <w:bookmarkStart w:id="1" w:name="page2"/>
    <w:bookmarkEnd w:id="1"/>
    <w:p>
      <w:pPr>
        <w:ind w:right="8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580" w:type="dxa"/>
            <w:vAlign w:val="bottom"/>
            <w:gridSpan w:val="2"/>
          </w:tcPr>
          <w:p>
            <w:pPr>
              <w:ind w:left="2200"/>
              <w:spacing w:after="0"/>
              <w:rPr>
                <w:sz w:val="20"/>
                <w:szCs w:val="20"/>
                <w:color w:val="auto"/>
              </w:rPr>
            </w:pPr>
            <w:r>
              <w:rPr>
                <w:rFonts w:ascii="Arial" w:cs="Arial" w:eastAsia="Arial" w:hAnsi="Arial"/>
                <w:sz w:val="18"/>
                <w:szCs w:val="18"/>
                <w:b w:val="1"/>
                <w:bCs w:val="1"/>
                <w:color w:val="auto"/>
              </w:rPr>
              <w:t>COMCAST CORPORATION</w:t>
            </w:r>
          </w:p>
        </w:tc>
        <w:tc>
          <w:tcPr>
            <w:tcW w:w="40" w:type="dxa"/>
            <w:vAlign w:val="bottom"/>
          </w:tcPr>
          <w:p>
            <w:pPr>
              <w:spacing w:after="0"/>
              <w:rPr>
                <w:sz w:val="20"/>
                <w:szCs w:val="20"/>
                <w:color w:val="auto"/>
              </w:rPr>
            </w:pPr>
          </w:p>
        </w:tc>
      </w:tr>
      <w:tr>
        <w:trPr>
          <w:trHeight w:val="581"/>
        </w:trPr>
        <w:tc>
          <w:tcPr>
            <w:tcW w:w="3840" w:type="dxa"/>
            <w:vAlign w:val="bottom"/>
          </w:tcPr>
          <w:p>
            <w:pPr>
              <w:spacing w:after="0"/>
              <w:rPr>
                <w:sz w:val="20"/>
                <w:szCs w:val="20"/>
                <w:color w:val="auto"/>
              </w:rPr>
            </w:pPr>
            <w:r>
              <w:rPr>
                <w:rFonts w:ascii="Arial" w:cs="Arial" w:eastAsia="Arial" w:hAnsi="Arial"/>
                <w:sz w:val="18"/>
                <w:szCs w:val="18"/>
                <w:color w:val="auto"/>
              </w:rPr>
              <w:t>Date:   July 31, 2013</w:t>
            </w:r>
          </w:p>
        </w:tc>
        <w:tc>
          <w:tcPr>
            <w:tcW w:w="7580" w:type="dxa"/>
            <w:vAlign w:val="bottom"/>
            <w:gridSpan w:val="2"/>
          </w:tcPr>
          <w:p>
            <w:pPr>
              <w:ind w:left="2200"/>
              <w:spacing w:after="0"/>
              <w:rPr>
                <w:sz w:val="20"/>
                <w:szCs w:val="20"/>
                <w:color w:val="auto"/>
              </w:rPr>
            </w:pPr>
            <w:r>
              <w:rPr>
                <w:rFonts w:ascii="Arial" w:cs="Arial" w:eastAsia="Arial" w:hAnsi="Arial"/>
                <w:sz w:val="18"/>
                <w:szCs w:val="18"/>
                <w:color w:val="auto"/>
              </w:rPr>
              <w:t>By:  /s/ Lawrence J. Salva</w:t>
            </w:r>
          </w:p>
        </w:tc>
        <w:tc>
          <w:tcPr>
            <w:tcW w:w="40" w:type="dxa"/>
            <w:vAlign w:val="bottom"/>
          </w:tcPr>
          <w:p>
            <w:pPr>
              <w:spacing w:after="0"/>
              <w:rPr>
                <w:sz w:val="24"/>
                <w:szCs w:val="24"/>
                <w:color w:val="auto"/>
              </w:rPr>
            </w:pPr>
          </w:p>
        </w:tc>
      </w:tr>
      <w:tr>
        <w:trPr>
          <w:trHeight w:val="195"/>
        </w:trPr>
        <w:tc>
          <w:tcPr>
            <w:tcW w:w="38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4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Lawrence J. Salva</w:t>
            </w:r>
          </w:p>
        </w:tc>
        <w:tc>
          <w:tcPr>
            <w:tcW w:w="40" w:type="dxa"/>
            <w:vAlign w:val="bottom"/>
          </w:tcPr>
          <w:p>
            <w:pPr>
              <w:spacing w:after="0"/>
              <w:rPr>
                <w:sz w:val="16"/>
                <w:szCs w:val="16"/>
                <w:color w:val="auto"/>
              </w:rPr>
            </w:pPr>
          </w:p>
        </w:tc>
      </w:tr>
      <w:tr>
        <w:trPr>
          <w:trHeight w:val="216"/>
        </w:trPr>
        <w:tc>
          <w:tcPr>
            <w:tcW w:w="38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Senior Vice President, Chief Accounting Officer</w:t>
            </w:r>
          </w:p>
        </w:tc>
        <w:tc>
          <w:tcPr>
            <w:tcW w:w="4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and Controller</w:t>
            </w:r>
          </w:p>
        </w:tc>
        <w:tc>
          <w:tcPr>
            <w:tcW w:w="40" w:type="dxa"/>
            <w:vAlign w:val="bottom"/>
          </w:tcPr>
          <w:p>
            <w:pPr>
              <w:spacing w:after="0"/>
              <w:rPr>
                <w:sz w:val="18"/>
                <w:szCs w:val="18"/>
                <w:color w:val="auto"/>
              </w:rPr>
            </w:pPr>
          </w:p>
        </w:tc>
      </w:tr>
      <w:tr>
        <w:trPr>
          <w:trHeight w:val="230"/>
        </w:trPr>
        <w:tc>
          <w:tcPr>
            <w:tcW w:w="38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40" w:type="dxa"/>
            <w:vAlign w:val="bottom"/>
          </w:tcPr>
          <w:p>
            <w:pPr>
              <w:spacing w:after="0"/>
              <w:rPr>
                <w:sz w:val="20"/>
                <w:szCs w:val="20"/>
                <w:color w:val="auto"/>
              </w:rPr>
            </w:pPr>
          </w:p>
        </w:tc>
      </w:tr>
      <w:tr>
        <w:trPr>
          <w:trHeight w:val="348"/>
        </w:trPr>
        <w:tc>
          <w:tcPr>
            <w:tcW w:w="3840" w:type="dxa"/>
            <w:vAlign w:val="bottom"/>
            <w:tcBorders>
              <w:bottom w:val="single" w:sz="8" w:color="010101"/>
            </w:tcBorders>
          </w:tcPr>
          <w:p>
            <w:pPr>
              <w:spacing w:after="0"/>
              <w:rPr>
                <w:sz w:val="24"/>
                <w:szCs w:val="24"/>
                <w:color w:val="auto"/>
              </w:rPr>
            </w:pPr>
          </w:p>
        </w:tc>
        <w:tc>
          <w:tcPr>
            <w:tcW w:w="2620" w:type="dxa"/>
            <w:vAlign w:val="bottom"/>
            <w:tcBorders>
              <w:bottom w:val="single" w:sz="8" w:color="010101"/>
            </w:tcBorders>
          </w:tcPr>
          <w:p>
            <w:pPr>
              <w:spacing w:after="0"/>
              <w:rPr>
                <w:sz w:val="24"/>
                <w:szCs w:val="24"/>
                <w:color w:val="auto"/>
              </w:rPr>
            </w:pPr>
          </w:p>
        </w:tc>
        <w:tc>
          <w:tcPr>
            <w:tcW w:w="49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483360" cy="6172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83360" cy="61722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9120"/>
        <w:spacing w:after="0"/>
        <w:rPr>
          <w:sz w:val="20"/>
          <w:szCs w:val="20"/>
          <w:color w:val="auto"/>
        </w:rPr>
      </w:pPr>
      <w:r>
        <w:rPr>
          <w:rFonts w:ascii="Arial" w:cs="Arial" w:eastAsia="Arial" w:hAnsi="Arial"/>
          <w:sz w:val="20"/>
          <w:szCs w:val="20"/>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spacing w:after="0"/>
              <w:rPr>
                <w:sz w:val="20"/>
                <w:szCs w:val="20"/>
                <w:color w:val="auto"/>
              </w:rPr>
            </w:pPr>
            <w:r>
              <w:rPr>
                <w:rFonts w:ascii="Arial" w:cs="Arial" w:eastAsia="Arial" w:hAnsi="Arial"/>
                <w:sz w:val="18"/>
                <w:szCs w:val="18"/>
                <w:color w:val="auto"/>
              </w:rPr>
              <w:t>Investor Contacts:</w:t>
            </w:r>
          </w:p>
        </w:tc>
        <w:tc>
          <w:tcPr>
            <w:tcW w:w="2680" w:type="dxa"/>
            <w:vAlign w:val="bottom"/>
          </w:tcPr>
          <w:p>
            <w:pPr>
              <w:spacing w:after="0"/>
              <w:rPr>
                <w:sz w:val="17"/>
                <w:szCs w:val="17"/>
                <w:color w:val="auto"/>
              </w:rPr>
            </w:pPr>
          </w:p>
        </w:tc>
        <w:tc>
          <w:tcPr>
            <w:tcW w:w="2860" w:type="dxa"/>
            <w:vAlign w:val="bottom"/>
          </w:tcPr>
          <w:p>
            <w:pPr>
              <w:ind w:left="1260"/>
              <w:spacing w:after="0"/>
              <w:rPr>
                <w:sz w:val="20"/>
                <w:szCs w:val="20"/>
                <w:color w:val="auto"/>
              </w:rPr>
            </w:pPr>
            <w:r>
              <w:rPr>
                <w:rFonts w:ascii="Arial" w:cs="Arial" w:eastAsia="Arial" w:hAnsi="Arial"/>
                <w:sz w:val="18"/>
                <w:szCs w:val="18"/>
                <w:color w:val="auto"/>
              </w:rPr>
              <w:t>Press Contacts:</w:t>
            </w:r>
          </w:p>
        </w:tc>
        <w:tc>
          <w:tcPr>
            <w:tcW w:w="1440" w:type="dxa"/>
            <w:vAlign w:val="bottom"/>
          </w:tcPr>
          <w:p>
            <w:pPr>
              <w:spacing w:after="0"/>
              <w:rPr>
                <w:sz w:val="17"/>
                <w:szCs w:val="17"/>
                <w:color w:val="auto"/>
              </w:rPr>
            </w:pPr>
          </w:p>
        </w:tc>
      </w:tr>
      <w:tr>
        <w:trPr>
          <w:trHeight w:val="189"/>
        </w:trPr>
        <w:tc>
          <w:tcPr>
            <w:tcW w:w="1780" w:type="dxa"/>
            <w:vAlign w:val="bottom"/>
          </w:tcPr>
          <w:p>
            <w:pPr>
              <w:spacing w:after="0"/>
              <w:rPr>
                <w:sz w:val="20"/>
                <w:szCs w:val="20"/>
                <w:color w:val="auto"/>
              </w:rPr>
            </w:pPr>
            <w:r>
              <w:rPr>
                <w:rFonts w:ascii="Arial" w:cs="Arial" w:eastAsia="Arial" w:hAnsi="Arial"/>
                <w:sz w:val="16"/>
                <w:szCs w:val="16"/>
                <w:color w:val="auto"/>
              </w:rPr>
              <w:t>Marlene S. Dooner</w:t>
            </w:r>
          </w:p>
        </w:tc>
        <w:tc>
          <w:tcPr>
            <w:tcW w:w="2680" w:type="dxa"/>
            <w:vAlign w:val="bottom"/>
          </w:tcPr>
          <w:p>
            <w:pPr>
              <w:jc w:val="right"/>
              <w:ind w:right="1179"/>
              <w:spacing w:after="0"/>
              <w:rPr>
                <w:sz w:val="20"/>
                <w:szCs w:val="20"/>
                <w:color w:val="auto"/>
              </w:rPr>
            </w:pPr>
            <w:r>
              <w:rPr>
                <w:rFonts w:ascii="Arial" w:cs="Arial" w:eastAsia="Arial" w:hAnsi="Arial"/>
                <w:sz w:val="16"/>
                <w:szCs w:val="16"/>
                <w:color w:val="auto"/>
              </w:rPr>
              <w:t>(215) 286-7392</w:t>
            </w:r>
          </w:p>
        </w:tc>
        <w:tc>
          <w:tcPr>
            <w:tcW w:w="2860" w:type="dxa"/>
            <w:vAlign w:val="bottom"/>
          </w:tcPr>
          <w:p>
            <w:pPr>
              <w:ind w:left="1260"/>
              <w:spacing w:after="0"/>
              <w:rPr>
                <w:sz w:val="20"/>
                <w:szCs w:val="20"/>
                <w:color w:val="auto"/>
              </w:rPr>
            </w:pPr>
            <w:r>
              <w:rPr>
                <w:rFonts w:ascii="Arial" w:cs="Arial" w:eastAsia="Arial" w:hAnsi="Arial"/>
                <w:sz w:val="16"/>
                <w:szCs w:val="16"/>
                <w:color w:val="auto"/>
              </w:rPr>
              <w:t>D’Arcy Rudnay</w:t>
            </w:r>
          </w:p>
        </w:tc>
        <w:tc>
          <w:tcPr>
            <w:tcW w:w="1440" w:type="dxa"/>
            <w:vAlign w:val="bottom"/>
          </w:tcPr>
          <w:p>
            <w:pPr>
              <w:jc w:val="right"/>
              <w:spacing w:after="0"/>
              <w:rPr>
                <w:sz w:val="20"/>
                <w:szCs w:val="20"/>
                <w:color w:val="auto"/>
              </w:rPr>
            </w:pPr>
            <w:r>
              <w:rPr>
                <w:rFonts w:ascii="Arial" w:cs="Arial" w:eastAsia="Arial" w:hAnsi="Arial"/>
                <w:sz w:val="16"/>
                <w:szCs w:val="16"/>
                <w:color w:val="auto"/>
              </w:rPr>
              <w:t>(215) 286-8582</w:t>
            </w:r>
          </w:p>
        </w:tc>
      </w:tr>
      <w:tr>
        <w:trPr>
          <w:trHeight w:val="195"/>
        </w:trPr>
        <w:tc>
          <w:tcPr>
            <w:tcW w:w="1780" w:type="dxa"/>
            <w:vAlign w:val="bottom"/>
          </w:tcPr>
          <w:p>
            <w:pPr>
              <w:spacing w:after="0"/>
              <w:rPr>
                <w:sz w:val="20"/>
                <w:szCs w:val="20"/>
                <w:color w:val="auto"/>
              </w:rPr>
            </w:pPr>
            <w:r>
              <w:rPr>
                <w:rFonts w:ascii="Arial" w:cs="Arial" w:eastAsia="Arial" w:hAnsi="Arial"/>
                <w:sz w:val="16"/>
                <w:szCs w:val="16"/>
                <w:color w:val="auto"/>
              </w:rPr>
              <w:t>Jane B. Kearns</w:t>
            </w:r>
          </w:p>
        </w:tc>
        <w:tc>
          <w:tcPr>
            <w:tcW w:w="2680" w:type="dxa"/>
            <w:vAlign w:val="bottom"/>
          </w:tcPr>
          <w:p>
            <w:pPr>
              <w:jc w:val="right"/>
              <w:ind w:right="1179"/>
              <w:spacing w:after="0"/>
              <w:rPr>
                <w:sz w:val="20"/>
                <w:szCs w:val="20"/>
                <w:color w:val="auto"/>
              </w:rPr>
            </w:pPr>
            <w:r>
              <w:rPr>
                <w:rFonts w:ascii="Arial" w:cs="Arial" w:eastAsia="Arial" w:hAnsi="Arial"/>
                <w:sz w:val="16"/>
                <w:szCs w:val="16"/>
                <w:color w:val="auto"/>
              </w:rPr>
              <w:t>(215) 286-4794</w:t>
            </w:r>
          </w:p>
        </w:tc>
        <w:tc>
          <w:tcPr>
            <w:tcW w:w="2860" w:type="dxa"/>
            <w:vAlign w:val="bottom"/>
          </w:tcPr>
          <w:p>
            <w:pPr>
              <w:ind w:left="1260"/>
              <w:spacing w:after="0"/>
              <w:rPr>
                <w:sz w:val="20"/>
                <w:szCs w:val="20"/>
                <w:color w:val="auto"/>
              </w:rPr>
            </w:pPr>
            <w:r>
              <w:rPr>
                <w:rFonts w:ascii="Arial" w:cs="Arial" w:eastAsia="Arial" w:hAnsi="Arial"/>
                <w:sz w:val="16"/>
                <w:szCs w:val="16"/>
                <w:color w:val="auto"/>
              </w:rPr>
              <w:t>John Demming</w:t>
            </w:r>
          </w:p>
        </w:tc>
        <w:tc>
          <w:tcPr>
            <w:tcW w:w="1440" w:type="dxa"/>
            <w:vAlign w:val="bottom"/>
          </w:tcPr>
          <w:p>
            <w:pPr>
              <w:jc w:val="right"/>
              <w:spacing w:after="0"/>
              <w:rPr>
                <w:sz w:val="20"/>
                <w:szCs w:val="20"/>
                <w:color w:val="auto"/>
              </w:rPr>
            </w:pPr>
            <w:r>
              <w:rPr>
                <w:rFonts w:ascii="Arial" w:cs="Arial" w:eastAsia="Arial" w:hAnsi="Arial"/>
                <w:sz w:val="16"/>
                <w:szCs w:val="16"/>
                <w:color w:val="auto"/>
              </w:rPr>
              <w:t>(215) 286-8011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COMCAST REPORTS 2nd QUARTER 2013 RESULTS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Revenue Increased 7.0%, Operating Cash Flow Increased 8.4% and</w:t>
      </w:r>
    </w:p>
    <w:p>
      <w:pPr>
        <w:jc w:val="center"/>
        <w:spacing w:after="0"/>
        <w:rPr>
          <w:sz w:val="20"/>
          <w:szCs w:val="20"/>
          <w:color w:val="auto"/>
        </w:rPr>
      </w:pPr>
      <w:r>
        <w:rPr>
          <w:rFonts w:ascii="Arial" w:cs="Arial" w:eastAsia="Arial" w:hAnsi="Arial"/>
          <w:sz w:val="18"/>
          <w:szCs w:val="18"/>
          <w:color w:val="auto"/>
        </w:rPr>
        <w:t>Operating Income Increased 11.6%</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Earnings per Share Increased 30.0% to $0.65</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Free Cash Flow Increased 25.4% to $1.9 Billion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Dividends and Share Repurchases Totaled $1.0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PHILADELPHIA – July 31, 2013… Comcast Corporation (NASDAQ: CMCSA, CMCSK) today reported results for the quarter ended June 30, 2013.</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Brian L. Roberts, Chairman and Chief Executive Officer of Comcast Corporation, said, “We are pleased with our results this quarter. Cable had outstanding growth, particularly in high-speed Internet, and NBCUniversal had strong performance across all of its businesses. Our focus on delivering innovative products and a superior customer experience is driving our success, including stronger video, voice and business services results in cable. NBCUniversal has real momentum, with solid growth in revenue and double-digit cash flow growth. We have a fantastic combination of cable and content businesses with many opportunities ahead.”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Results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00" w:type="dxa"/>
            <w:vAlign w:val="bottom"/>
            <w:tcBorders>
              <w:top w:val="single" w:sz="8" w:color="004EA8"/>
            </w:tcBorders>
            <w:vMerge w:val="restart"/>
          </w:tcPr>
          <w:p>
            <w:pPr>
              <w:ind w:left="40"/>
              <w:spacing w:after="0"/>
              <w:rPr>
                <w:sz w:val="20"/>
                <w:szCs w:val="20"/>
                <w:color w:val="auto"/>
              </w:rPr>
            </w:pPr>
            <w:r>
              <w:rPr>
                <w:rFonts w:ascii="Arial" w:cs="Arial" w:eastAsia="Arial" w:hAnsi="Arial"/>
                <w:sz w:val="11"/>
                <w:szCs w:val="11"/>
                <w:i w:val="1"/>
                <w:iCs w:val="1"/>
                <w:color w:val="auto"/>
              </w:rPr>
              <w:t>($ in millions)</w:t>
            </w:r>
          </w:p>
        </w:tc>
        <w:tc>
          <w:tcPr>
            <w:tcW w:w="2300" w:type="dxa"/>
            <w:vAlign w:val="bottom"/>
            <w:tcBorders>
              <w:top w:val="single" w:sz="8" w:color="004EA8"/>
            </w:tcBorders>
          </w:tcPr>
          <w:p>
            <w:pPr>
              <w:spacing w:after="0"/>
              <w:rPr>
                <w:sz w:val="15"/>
                <w:szCs w:val="15"/>
                <w:color w:val="auto"/>
              </w:rPr>
            </w:pPr>
          </w:p>
        </w:tc>
        <w:tc>
          <w:tcPr>
            <w:tcW w:w="1340" w:type="dxa"/>
            <w:vAlign w:val="bottom"/>
            <w:tcBorders>
              <w:top w:val="single" w:sz="8" w:color="004EA8"/>
            </w:tcBorders>
          </w:tcPr>
          <w:p>
            <w:pPr>
              <w:jc w:val="right"/>
              <w:ind w:right="348"/>
              <w:spacing w:after="0"/>
              <w:rPr>
                <w:sz w:val="20"/>
                <w:szCs w:val="20"/>
                <w:color w:val="auto"/>
              </w:rPr>
            </w:pPr>
            <w:r>
              <w:rPr>
                <w:rFonts w:ascii="Arial" w:cs="Arial" w:eastAsia="Arial" w:hAnsi="Arial"/>
                <w:sz w:val="14"/>
                <w:szCs w:val="14"/>
                <w:color w:val="auto"/>
              </w:rPr>
              <w:t>2nd Quarter</w:t>
            </w:r>
          </w:p>
        </w:tc>
        <w:tc>
          <w:tcPr>
            <w:tcW w:w="1120" w:type="dxa"/>
            <w:vAlign w:val="bottom"/>
            <w:tcBorders>
              <w:top w:val="single" w:sz="8" w:color="004EA8"/>
            </w:tcBorders>
          </w:tcPr>
          <w:p>
            <w:pPr>
              <w:spacing w:after="0"/>
              <w:rPr>
                <w:sz w:val="15"/>
                <w:szCs w:val="15"/>
                <w:color w:val="auto"/>
              </w:rPr>
            </w:pPr>
          </w:p>
        </w:tc>
        <w:tc>
          <w:tcPr>
            <w:tcW w:w="980" w:type="dxa"/>
            <w:vAlign w:val="bottom"/>
            <w:tcBorders>
              <w:top w:val="single" w:sz="8" w:color="004EA8"/>
            </w:tcBorders>
          </w:tcPr>
          <w:p>
            <w:pPr>
              <w:spacing w:after="0"/>
              <w:rPr>
                <w:sz w:val="15"/>
                <w:szCs w:val="15"/>
                <w:color w:val="auto"/>
              </w:rPr>
            </w:pPr>
          </w:p>
        </w:tc>
        <w:tc>
          <w:tcPr>
            <w:tcW w:w="1320" w:type="dxa"/>
            <w:vAlign w:val="bottom"/>
            <w:tcBorders>
              <w:top w:val="single" w:sz="8" w:color="004EA8"/>
            </w:tcBorders>
          </w:tcPr>
          <w:p>
            <w:pPr>
              <w:jc w:val="right"/>
              <w:ind w:right="288"/>
              <w:spacing w:after="0"/>
              <w:rPr>
                <w:sz w:val="20"/>
                <w:szCs w:val="20"/>
                <w:color w:val="auto"/>
              </w:rPr>
            </w:pPr>
            <w:r>
              <w:rPr>
                <w:rFonts w:ascii="Arial" w:cs="Arial" w:eastAsia="Arial" w:hAnsi="Arial"/>
                <w:sz w:val="14"/>
                <w:szCs w:val="14"/>
                <w:color w:val="auto"/>
              </w:rPr>
              <w:t>Year to Date</w:t>
            </w:r>
          </w:p>
        </w:tc>
        <w:tc>
          <w:tcPr>
            <w:tcW w:w="860" w:type="dxa"/>
            <w:vAlign w:val="bottom"/>
            <w:tcBorders>
              <w:top w:val="single" w:sz="8" w:color="004EA8"/>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500" w:type="dxa"/>
            <w:vAlign w:val="bottom"/>
            <w:tcBorders>
              <w:bottom w:val="single" w:sz="8" w:color="auto"/>
            </w:tcBorders>
            <w:vMerge w:val="continue"/>
          </w:tcPr>
          <w:p>
            <w:pPr>
              <w:spacing w:after="0"/>
              <w:rPr>
                <w:sz w:val="13"/>
                <w:szCs w:val="13"/>
                <w:color w:val="auto"/>
              </w:rPr>
            </w:pPr>
          </w:p>
        </w:tc>
        <w:tc>
          <w:tcPr>
            <w:tcW w:w="230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2012</w:t>
            </w:r>
          </w:p>
        </w:tc>
        <w:tc>
          <w:tcPr>
            <w:tcW w:w="1340" w:type="dxa"/>
            <w:vAlign w:val="bottom"/>
            <w:tcBorders>
              <w:bottom w:val="single" w:sz="8" w:color="auto"/>
            </w:tcBorders>
          </w:tcPr>
          <w:p>
            <w:pPr>
              <w:jc w:val="right"/>
              <w:ind w:right="268"/>
              <w:spacing w:after="0" w:line="157" w:lineRule="exact"/>
              <w:rPr>
                <w:sz w:val="20"/>
                <w:szCs w:val="20"/>
                <w:color w:val="auto"/>
              </w:rPr>
            </w:pPr>
            <w:r>
              <w:rPr>
                <w:rFonts w:ascii="Arial" w:cs="Arial" w:eastAsia="Arial" w:hAnsi="Arial"/>
                <w:sz w:val="14"/>
                <w:szCs w:val="14"/>
                <w:color w:val="auto"/>
              </w:rPr>
              <w:t>2013</w:t>
            </w:r>
          </w:p>
        </w:tc>
        <w:tc>
          <w:tcPr>
            <w:tcW w:w="1120" w:type="dxa"/>
            <w:vAlign w:val="bottom"/>
            <w:tcBorders>
              <w:bottom w:val="single" w:sz="8" w:color="auto"/>
            </w:tcBorders>
          </w:tcPr>
          <w:p>
            <w:pPr>
              <w:jc w:val="right"/>
              <w:ind w:right="248"/>
              <w:spacing w:after="0" w:line="157" w:lineRule="exact"/>
              <w:rPr>
                <w:sz w:val="20"/>
                <w:szCs w:val="20"/>
                <w:color w:val="auto"/>
              </w:rPr>
            </w:pPr>
            <w:r>
              <w:rPr>
                <w:rFonts w:ascii="Arial" w:cs="Arial" w:eastAsia="Arial" w:hAnsi="Arial"/>
                <w:sz w:val="14"/>
                <w:szCs w:val="14"/>
                <w:color w:val="auto"/>
              </w:rPr>
              <w:t>Growth</w:t>
            </w:r>
          </w:p>
        </w:tc>
        <w:tc>
          <w:tcPr>
            <w:tcW w:w="98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2012</w:t>
            </w:r>
          </w:p>
        </w:tc>
        <w:tc>
          <w:tcPr>
            <w:tcW w:w="1320" w:type="dxa"/>
            <w:vAlign w:val="bottom"/>
            <w:tcBorders>
              <w:bottom w:val="single" w:sz="8" w:color="auto"/>
            </w:tcBorders>
          </w:tcPr>
          <w:p>
            <w:pPr>
              <w:jc w:val="right"/>
              <w:ind w:right="248"/>
              <w:spacing w:after="0" w:line="157" w:lineRule="exact"/>
              <w:rPr>
                <w:sz w:val="20"/>
                <w:szCs w:val="20"/>
                <w:color w:val="auto"/>
              </w:rPr>
            </w:pPr>
            <w:r>
              <w:rPr>
                <w:rFonts w:ascii="Arial" w:cs="Arial" w:eastAsia="Arial" w:hAnsi="Arial"/>
                <w:sz w:val="14"/>
                <w:szCs w:val="14"/>
                <w:color w:val="auto"/>
              </w:rPr>
              <w:t>2013</w:t>
            </w:r>
          </w:p>
        </w:tc>
        <w:tc>
          <w:tcPr>
            <w:tcW w:w="8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Growth</w:t>
            </w:r>
          </w:p>
        </w:tc>
        <w:tc>
          <w:tcPr>
            <w:tcW w:w="0" w:type="dxa"/>
            <w:vAlign w:val="bottom"/>
          </w:tcPr>
          <w:p>
            <w:pPr>
              <w:spacing w:after="0"/>
              <w:rPr>
                <w:sz w:val="1"/>
                <w:szCs w:val="1"/>
                <w:color w:val="auto"/>
              </w:rPr>
            </w:pPr>
          </w:p>
        </w:tc>
      </w:tr>
      <w:tr>
        <w:trPr>
          <w:trHeight w:val="156"/>
        </w:trPr>
        <w:tc>
          <w:tcPr>
            <w:tcW w:w="350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Revenue</w:t>
            </w:r>
          </w:p>
        </w:tc>
        <w:tc>
          <w:tcPr>
            <w:tcW w:w="230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$15,211</w:t>
            </w:r>
          </w:p>
        </w:tc>
        <w:tc>
          <w:tcPr>
            <w:tcW w:w="134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$16,270</w:t>
            </w:r>
          </w:p>
        </w:tc>
        <w:tc>
          <w:tcPr>
            <w:tcW w:w="11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7.0%</w:t>
            </w:r>
          </w:p>
        </w:tc>
        <w:tc>
          <w:tcPr>
            <w:tcW w:w="9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$30,089</w:t>
            </w:r>
          </w:p>
        </w:tc>
        <w:tc>
          <w:tcPr>
            <w:tcW w:w="13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$31,580</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56"/>
        </w:trPr>
        <w:tc>
          <w:tcPr>
            <w:tcW w:w="350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Operating Cash Flow (OCF)</w:t>
            </w:r>
            <w:r>
              <w:rPr>
                <w:rFonts w:ascii="Arial" w:cs="Arial" w:eastAsia="Arial" w:hAnsi="Arial"/>
                <w:sz w:val="14"/>
                <w:szCs w:val="14"/>
                <w:color w:val="auto"/>
                <w:vertAlign w:val="superscript"/>
              </w:rPr>
              <w:t>1</w:t>
            </w:r>
          </w:p>
        </w:tc>
        <w:tc>
          <w:tcPr>
            <w:tcW w:w="230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$5,004</w:t>
            </w:r>
          </w:p>
        </w:tc>
        <w:tc>
          <w:tcPr>
            <w:tcW w:w="134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$5,425</w:t>
            </w:r>
          </w:p>
        </w:tc>
        <w:tc>
          <w:tcPr>
            <w:tcW w:w="11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8.4%</w:t>
            </w:r>
          </w:p>
        </w:tc>
        <w:tc>
          <w:tcPr>
            <w:tcW w:w="9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$9,692</w:t>
            </w:r>
          </w:p>
        </w:tc>
        <w:tc>
          <w:tcPr>
            <w:tcW w:w="13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$10,459</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56"/>
        </w:trPr>
        <w:tc>
          <w:tcPr>
            <w:tcW w:w="350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Operating Income</w:t>
            </w:r>
          </w:p>
        </w:tc>
        <w:tc>
          <w:tcPr>
            <w:tcW w:w="230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$3,079</w:t>
            </w:r>
          </w:p>
        </w:tc>
        <w:tc>
          <w:tcPr>
            <w:tcW w:w="134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$3,435</w:t>
            </w:r>
          </w:p>
        </w:tc>
        <w:tc>
          <w:tcPr>
            <w:tcW w:w="11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11.6%</w:t>
            </w:r>
          </w:p>
        </w:tc>
        <w:tc>
          <w:tcPr>
            <w:tcW w:w="9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$5,837</w:t>
            </w:r>
          </w:p>
        </w:tc>
        <w:tc>
          <w:tcPr>
            <w:tcW w:w="13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$6,502</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56"/>
        </w:trPr>
        <w:tc>
          <w:tcPr>
            <w:tcW w:w="350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Earnings per Share</w:t>
            </w:r>
            <w:r>
              <w:rPr>
                <w:rFonts w:ascii="Arial" w:cs="Arial" w:eastAsia="Arial" w:hAnsi="Arial"/>
                <w:sz w:val="14"/>
                <w:szCs w:val="14"/>
                <w:color w:val="auto"/>
                <w:vertAlign w:val="superscript"/>
              </w:rPr>
              <w:t>2</w:t>
            </w:r>
          </w:p>
        </w:tc>
        <w:tc>
          <w:tcPr>
            <w:tcW w:w="230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$0.50</w:t>
            </w:r>
          </w:p>
        </w:tc>
        <w:tc>
          <w:tcPr>
            <w:tcW w:w="134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$0.65</w:t>
            </w:r>
          </w:p>
        </w:tc>
        <w:tc>
          <w:tcPr>
            <w:tcW w:w="11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30.0%</w:t>
            </w:r>
          </w:p>
        </w:tc>
        <w:tc>
          <w:tcPr>
            <w:tcW w:w="9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$0.94</w:t>
            </w:r>
          </w:p>
        </w:tc>
        <w:tc>
          <w:tcPr>
            <w:tcW w:w="13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$1.19</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179"/>
        </w:trPr>
        <w:tc>
          <w:tcPr>
            <w:tcW w:w="3500" w:type="dxa"/>
            <w:vAlign w:val="bottom"/>
          </w:tcPr>
          <w:p>
            <w:pPr>
              <w:ind w:left="40"/>
              <w:spacing w:after="0"/>
              <w:rPr>
                <w:sz w:val="20"/>
                <w:szCs w:val="20"/>
                <w:color w:val="auto"/>
              </w:rPr>
            </w:pPr>
            <w:r>
              <w:rPr>
                <w:rFonts w:ascii="Arial" w:cs="Arial" w:eastAsia="Arial" w:hAnsi="Arial"/>
                <w:sz w:val="14"/>
                <w:szCs w:val="14"/>
                <w:color w:val="auto"/>
              </w:rPr>
              <w:t>Free Cash Flow</w:t>
            </w:r>
            <w:r>
              <w:rPr>
                <w:rFonts w:ascii="Arial" w:cs="Arial" w:eastAsia="Arial" w:hAnsi="Arial"/>
                <w:sz w:val="14"/>
                <w:szCs w:val="14"/>
                <w:color w:val="auto"/>
                <w:vertAlign w:val="superscript"/>
              </w:rPr>
              <w:t>3</w:t>
            </w:r>
          </w:p>
        </w:tc>
        <w:tc>
          <w:tcPr>
            <w:tcW w:w="2300" w:type="dxa"/>
            <w:vAlign w:val="bottom"/>
          </w:tcPr>
          <w:p>
            <w:pPr>
              <w:jc w:val="right"/>
              <w:ind w:right="68"/>
              <w:spacing w:after="0"/>
              <w:rPr>
                <w:sz w:val="20"/>
                <w:szCs w:val="20"/>
                <w:color w:val="auto"/>
              </w:rPr>
            </w:pPr>
            <w:r>
              <w:rPr>
                <w:rFonts w:ascii="Arial" w:cs="Arial" w:eastAsia="Arial" w:hAnsi="Arial"/>
                <w:sz w:val="14"/>
                <w:szCs w:val="14"/>
                <w:color w:val="auto"/>
              </w:rPr>
              <w:t>$1,554</w:t>
            </w:r>
          </w:p>
        </w:tc>
        <w:tc>
          <w:tcPr>
            <w:tcW w:w="1340" w:type="dxa"/>
            <w:vAlign w:val="bottom"/>
          </w:tcPr>
          <w:p>
            <w:pPr>
              <w:jc w:val="right"/>
              <w:ind w:right="268"/>
              <w:spacing w:after="0"/>
              <w:rPr>
                <w:sz w:val="20"/>
                <w:szCs w:val="20"/>
                <w:color w:val="auto"/>
              </w:rPr>
            </w:pPr>
            <w:r>
              <w:rPr>
                <w:rFonts w:ascii="Arial" w:cs="Arial" w:eastAsia="Arial" w:hAnsi="Arial"/>
                <w:sz w:val="14"/>
                <w:szCs w:val="14"/>
                <w:color w:val="auto"/>
              </w:rPr>
              <w:t>$1,948</w:t>
            </w:r>
          </w:p>
        </w:tc>
        <w:tc>
          <w:tcPr>
            <w:tcW w:w="1120" w:type="dxa"/>
            <w:vAlign w:val="bottom"/>
          </w:tcPr>
          <w:p>
            <w:pPr>
              <w:jc w:val="right"/>
              <w:ind w:right="248"/>
              <w:spacing w:after="0"/>
              <w:rPr>
                <w:sz w:val="20"/>
                <w:szCs w:val="20"/>
                <w:color w:val="auto"/>
              </w:rPr>
            </w:pPr>
            <w:r>
              <w:rPr>
                <w:rFonts w:ascii="Arial" w:cs="Arial" w:eastAsia="Arial" w:hAnsi="Arial"/>
                <w:sz w:val="14"/>
                <w:szCs w:val="14"/>
                <w:color w:val="auto"/>
              </w:rPr>
              <w:t>25.4%</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$4,593</w:t>
            </w:r>
          </w:p>
        </w:tc>
        <w:tc>
          <w:tcPr>
            <w:tcW w:w="1320" w:type="dxa"/>
            <w:vAlign w:val="bottom"/>
          </w:tcPr>
          <w:p>
            <w:pPr>
              <w:jc w:val="right"/>
              <w:ind w:right="248"/>
              <w:spacing w:after="0"/>
              <w:rPr>
                <w:sz w:val="20"/>
                <w:szCs w:val="20"/>
                <w:color w:val="auto"/>
              </w:rPr>
            </w:pPr>
            <w:r>
              <w:rPr>
                <w:rFonts w:ascii="Arial" w:cs="Arial" w:eastAsia="Arial" w:hAnsi="Arial"/>
                <w:sz w:val="14"/>
                <w:szCs w:val="14"/>
                <w:color w:val="auto"/>
              </w:rPr>
              <w:t>$5,086</w:t>
            </w:r>
          </w:p>
        </w:tc>
        <w:tc>
          <w:tcPr>
            <w:tcW w:w="860" w:type="dxa"/>
            <w:vAlign w:val="bottom"/>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additional detail on segment revenue and expenses, customer metrics, capital expenditures, and free cash flow, please refer to the trending schedules on Comcast’s Investor Relations website at www.cmcsa.com or www.cmcsk.com.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the second quarter of 2013 increased 7.0% to $16.3 billion.</w:t>
      </w:r>
      <w:r>
        <w:rPr>
          <w:rFonts w:ascii="Arial" w:cs="Arial" w:eastAsia="Arial" w:hAnsi="Arial"/>
          <w:sz w:val="18"/>
          <w:szCs w:val="18"/>
          <w:b w:val="1"/>
          <w:bCs w:val="1"/>
          <w:i w:val="1"/>
          <w:iCs w:val="1"/>
          <w:color w:val="auto"/>
        </w:rPr>
        <w:t xml:space="preserve"> Operating Cash Flow </w:t>
      </w:r>
      <w:r>
        <w:rPr>
          <w:rFonts w:ascii="Arial" w:cs="Arial" w:eastAsia="Arial" w:hAnsi="Arial"/>
          <w:sz w:val="18"/>
          <w:szCs w:val="18"/>
          <w:color w:val="auto"/>
        </w:rPr>
        <w:t>increased 8.4% to $5.4 billion and</w:t>
      </w:r>
      <w:r>
        <w:rPr>
          <w:rFonts w:ascii="Arial" w:cs="Arial" w:eastAsia="Arial" w:hAnsi="Arial"/>
          <w:sz w:val="18"/>
          <w:szCs w:val="18"/>
          <w:b w:val="1"/>
          <w:bCs w:val="1"/>
          <w:i w:val="1"/>
          <w:iCs w:val="1"/>
          <w:color w:val="auto"/>
        </w:rPr>
        <w:t xml:space="preserve"> Operating Income </w:t>
      </w:r>
      <w:r>
        <w:rPr>
          <w:rFonts w:ascii="Arial" w:cs="Arial" w:eastAsia="Arial" w:hAnsi="Arial"/>
          <w:sz w:val="18"/>
          <w:szCs w:val="18"/>
          <w:color w:val="auto"/>
        </w:rPr>
        <w:t>increased 11.6% to $3.4 billion.</w:t>
      </w:r>
    </w:p>
    <w:p>
      <w:pPr>
        <w:sectPr>
          <w:pgSz w:w="11900" w:h="16838" w:orient="portrait"/>
          <w:cols w:equalWidth="0" w:num="1">
            <w:col w:w="11420"/>
          </w:cols>
          <w:pgMar w:left="240" w:top="118" w:right="239" w:bottom="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2013, revenue increased 5.0% to $31.6 billion.</w:t>
      </w:r>
    </w:p>
    <w:p>
      <w:pPr>
        <w:spacing w:after="0" w:line="234" w:lineRule="auto"/>
        <w:rPr>
          <w:sz w:val="20"/>
          <w:szCs w:val="20"/>
          <w:color w:val="auto"/>
        </w:rPr>
      </w:pPr>
      <w:r>
        <w:rPr>
          <w:rFonts w:ascii="Arial" w:cs="Arial" w:eastAsia="Arial" w:hAnsi="Arial"/>
          <w:sz w:val="18"/>
          <w:szCs w:val="18"/>
          <w:color w:val="auto"/>
        </w:rPr>
        <w:t>Super Bowl in the first quarter of 2012, revenue increased 5.9% (see Table 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11.4% to $6.5 billion.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firstLine="4"/>
        <w:spacing w:after="0" w:line="246" w:lineRule="auto"/>
        <w:rPr>
          <w:sz w:val="20"/>
          <w:szCs w:val="20"/>
          <w:color w:val="auto"/>
        </w:rPr>
      </w:pPr>
      <w:r>
        <w:rPr>
          <w:rFonts w:ascii="Arial" w:cs="Arial" w:eastAsia="Arial" w:hAnsi="Arial"/>
          <w:sz w:val="18"/>
          <w:szCs w:val="18"/>
          <w:color w:val="auto"/>
        </w:rPr>
        <w:t>Excluding $259 million of revenue generated by the NFL’s Operating cash flow increased 7.9% to $10.5 billion and</w:t>
      </w:r>
    </w:p>
    <w:p>
      <w:pPr>
        <w:spacing w:after="0" w:line="363" w:lineRule="exact"/>
        <w:rPr>
          <w:sz w:val="20"/>
          <w:szCs w:val="20"/>
          <w:color w:val="auto"/>
        </w:rPr>
      </w:pPr>
    </w:p>
    <w:p>
      <w:pPr>
        <w:sectPr>
          <w:pgSz w:w="11900" w:h="16838" w:orient="portrait"/>
          <w:cols w:equalWidth="0" w:num="2">
            <w:col w:w="6640" w:space="100"/>
            <w:col w:w="4680"/>
          </w:cols>
          <w:pgMar w:left="240" w:top="118" w:right="239" w:bottom="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second quarter of 2013 was $0.65, a 30.0% increase from the $0.50 reported in the second quarter of 2012.</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EPS for the six months ended June 30, 2013 was $1.19, a 26.6% increase from the $0.94 reported in the prior year. Excluding a $0.03 per share gain in the first quarter of 2013 on the sale of wireless spectrum licenses, EPS increased 23.4% (see Table 4).</w:t>
      </w:r>
    </w:p>
    <w:p>
      <w:pPr>
        <w:spacing w:after="0" w:line="1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increased 17.1% to $1.5 billion in the second quarter of 2013 compared to the second quarter of 2012. 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Communications’ capital expenditures increased $116 million, or 10.4%, to $1.2 billion in the second quarter of 2013, primarily reflecting increased spending on customer premises equipment, such as advanced digital boxes and wireless gateways, our ongoing investment in network infrastructure and the expansion of business services. Cable capital expenditures represented 11.9% of Cable revenue in the second quarter of 2013 compared to 11.4% in last year’s second quarter. NBCUniversal’s capital expenditures increased $104 million to $260 million in the second quarter of 2013, primarily reflecting increased investments in Theme Parks.</w:t>
      </w:r>
    </w:p>
    <w:p>
      <w:pPr>
        <w:sectPr>
          <w:pgSz w:w="11900" w:h="16838" w:orient="portrait"/>
          <w:cols w:equalWidth="0" w:num="1">
            <w:col w:w="11420"/>
          </w:cols>
          <w:pgMar w:left="240" w:top="118" w:right="239" w:bottom="0" w:gutter="0" w:footer="0" w:header="0"/>
          <w:type w:val="continuous"/>
        </w:sectPr>
      </w:pPr>
    </w:p>
    <w:bookmarkStart w:id="3" w:name="page4"/>
    <w:bookmarkEnd w:id="3"/>
    <w:p>
      <w:pPr>
        <w:jc w:val="both"/>
        <w:spacing w:after="0"/>
        <w:rPr>
          <w:sz w:val="20"/>
          <w:szCs w:val="20"/>
          <w:color w:val="auto"/>
        </w:rPr>
      </w:pPr>
      <w:r>
        <w:rPr>
          <w:rFonts w:ascii="Arial" w:cs="Arial" w:eastAsia="Arial" w:hAnsi="Arial"/>
          <w:sz w:val="18"/>
          <w:szCs w:val="18"/>
          <w:color w:val="auto"/>
        </w:rPr>
        <w:t>For the six months ended June 30, 2013, capital expenditures increased 16.5% to $2.9 billion compared to the prior year. Cable Communications capital expenditures increased $154 million, or 7.1%, to $2.3 billion and represented 11.3% of Cable revenue compared to 11.2% in 2012. NBCUniversal’s capital expenditures increased $256 million to $523 million for the first six months of 2013.</w:t>
      </w:r>
    </w:p>
    <w:p>
      <w:pPr>
        <w:spacing w:after="0" w:line="16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Free Cash Flow </w:t>
      </w:r>
      <w:r>
        <w:rPr>
          <w:rFonts w:ascii="Arial" w:cs="Arial" w:eastAsia="Arial" w:hAnsi="Arial"/>
          <w:sz w:val="18"/>
          <w:szCs w:val="18"/>
          <w:color w:val="auto"/>
        </w:rPr>
        <w:t>(excluding any impact from the Economic Stimulus packages) increased 25.4% to $1.9 billion in the second quarter of 2013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second quarter of 2012, reflecting growth in consolidated operating cash flow and improvements in working capital, partially offset by higher taxes and capital expenditures. Free cash flow for the six months ended June 30, 2013 increased 10.7% to $5.1 billion compared to $4.6 billion in 2012.</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vMerge w:val="restart"/>
          </w:tcPr>
          <w:p>
            <w:pPr>
              <w:ind w:left="40"/>
              <w:spacing w:after="0"/>
              <w:rPr>
                <w:sz w:val="20"/>
                <w:szCs w:val="20"/>
                <w:color w:val="auto"/>
              </w:rPr>
            </w:pPr>
            <w:r>
              <w:rPr>
                <w:rFonts w:ascii="Arial" w:cs="Arial" w:eastAsia="Arial" w:hAnsi="Arial"/>
                <w:sz w:val="11"/>
                <w:szCs w:val="11"/>
                <w:i w:val="1"/>
                <w:iCs w:val="1"/>
                <w:color w:val="auto"/>
              </w:rPr>
              <w:t>($ in millions)</w:t>
            </w:r>
          </w:p>
        </w:tc>
        <w:tc>
          <w:tcPr>
            <w:tcW w:w="1320" w:type="dxa"/>
            <w:vAlign w:val="bottom"/>
          </w:tcPr>
          <w:p>
            <w:pPr>
              <w:spacing w:after="0"/>
              <w:rPr>
                <w:sz w:val="14"/>
                <w:szCs w:val="14"/>
                <w:color w:val="auto"/>
              </w:rPr>
            </w:pP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2nd Quarter</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Year to Date</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40" w:type="dxa"/>
            <w:vAlign w:val="bottom"/>
            <w:vMerge w:val="continue"/>
          </w:tcPr>
          <w:p>
            <w:pPr>
              <w:spacing w:after="0"/>
              <w:rPr>
                <w:sz w:val="14"/>
                <w:szCs w:val="14"/>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2012</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2013</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Growth</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2012</w:t>
            </w:r>
          </w:p>
        </w:tc>
        <w:tc>
          <w:tcPr>
            <w:tcW w:w="1200" w:type="dxa"/>
            <w:vAlign w:val="bottom"/>
          </w:tcPr>
          <w:p>
            <w:pPr>
              <w:jc w:val="right"/>
              <w:ind w:right="228"/>
              <w:spacing w:after="0"/>
              <w:rPr>
                <w:sz w:val="20"/>
                <w:szCs w:val="20"/>
                <w:color w:val="auto"/>
              </w:rPr>
            </w:pPr>
            <w:r>
              <w:rPr>
                <w:rFonts w:ascii="Arial" w:cs="Arial" w:eastAsia="Arial" w:hAnsi="Arial"/>
                <w:sz w:val="14"/>
                <w:szCs w:val="14"/>
                <w:color w:val="auto"/>
              </w:rPr>
              <w:t>2013</w:t>
            </w:r>
          </w:p>
        </w:tc>
        <w:tc>
          <w:tcPr>
            <w:tcW w:w="840" w:type="dxa"/>
            <w:vAlign w:val="bottom"/>
          </w:tcPr>
          <w:p>
            <w:pPr>
              <w:jc w:val="right"/>
              <w:spacing w:after="0"/>
              <w:rPr>
                <w:sz w:val="20"/>
                <w:szCs w:val="20"/>
                <w:color w:val="auto"/>
              </w:rPr>
            </w:pPr>
            <w:r>
              <w:rPr>
                <w:rFonts w:ascii="Arial" w:cs="Arial" w:eastAsia="Arial" w:hAnsi="Arial"/>
                <w:sz w:val="14"/>
                <w:szCs w:val="14"/>
                <w:color w:val="auto"/>
              </w:rPr>
              <w:t>Growth</w:t>
            </w:r>
          </w:p>
        </w:tc>
        <w:tc>
          <w:tcPr>
            <w:tcW w:w="0" w:type="dxa"/>
            <w:vAlign w:val="bottom"/>
          </w:tcPr>
          <w:p>
            <w:pPr>
              <w:spacing w:after="0"/>
              <w:rPr>
                <w:sz w:val="1"/>
                <w:szCs w:val="1"/>
                <w:color w:val="auto"/>
              </w:rPr>
            </w:pPr>
          </w:p>
        </w:tc>
      </w:tr>
      <w:tr>
        <w:trPr>
          <w:trHeight w:val="26"/>
        </w:trPr>
        <w:tc>
          <w:tcPr>
            <w:tcW w:w="4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Operating Cash Flow</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$5,004</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$5,425</w:t>
            </w: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8.4%</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$9,692</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$10,459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96"/>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Capital Expenditures</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(1,287)</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(1,506)</w:t>
            </w: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17.1%</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(2,461)</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(2,867)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96"/>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Paid for Capitalized Software and Other Intangible Assets</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(262)</w:t>
            </w: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13.9%</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(414)</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(444)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96"/>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Interest Expense</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(544)</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(515)</w:t>
            </w: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(5.3%)</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(1,158)</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(1,132)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6"/>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Taxes</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(904)</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(1,761)</w:t>
            </w: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94.8%</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(1,022)</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(2,222)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117.4%</w:t>
            </w:r>
          </w:p>
        </w:tc>
        <w:tc>
          <w:tcPr>
            <w:tcW w:w="0" w:type="dxa"/>
            <w:vAlign w:val="bottom"/>
          </w:tcPr>
          <w:p>
            <w:pPr>
              <w:spacing w:after="0"/>
              <w:rPr>
                <w:sz w:val="1"/>
                <w:szCs w:val="1"/>
                <w:color w:val="auto"/>
              </w:rPr>
            </w:pPr>
          </w:p>
        </w:tc>
      </w:tr>
      <w:tr>
        <w:trPr>
          <w:trHeight w:val="196"/>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(305)</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49</w:t>
            </w: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NM</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418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6"/>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530</w:t>
            </w: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NM</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82</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886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6"/>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Free Cash Flow (Incl. Economic Stimulus Packages)</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$1,721</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$1,960</w:t>
            </w: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13.9%</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$4,760</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$5,098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96"/>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Economic Stimulus Packages</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(12)</w:t>
            </w: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NM</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(167)</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11"/>
        </w:trPr>
        <w:tc>
          <w:tcPr>
            <w:tcW w:w="4840" w:type="dxa"/>
            <w:vAlign w:val="bottom"/>
          </w:tcPr>
          <w:p>
            <w:pPr>
              <w:ind w:left="40"/>
              <w:spacing w:after="0"/>
              <w:rPr>
                <w:sz w:val="20"/>
                <w:szCs w:val="20"/>
                <w:color w:val="auto"/>
              </w:rPr>
            </w:pPr>
            <w:r>
              <w:rPr>
                <w:rFonts w:ascii="Arial" w:cs="Arial" w:eastAsia="Arial" w:hAnsi="Arial"/>
                <w:sz w:val="14"/>
                <w:szCs w:val="14"/>
                <w:color w:val="auto"/>
              </w:rPr>
              <w:t>Free Cash Flow</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$1,554</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$1,948</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25.4%</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$4,593</w:t>
            </w:r>
          </w:p>
        </w:tc>
        <w:tc>
          <w:tcPr>
            <w:tcW w:w="1200" w:type="dxa"/>
            <w:vAlign w:val="bottom"/>
          </w:tcPr>
          <w:p>
            <w:pPr>
              <w:jc w:val="right"/>
              <w:ind w:right="228"/>
              <w:spacing w:after="0"/>
              <w:rPr>
                <w:sz w:val="20"/>
                <w:szCs w:val="20"/>
                <w:color w:val="auto"/>
              </w:rPr>
            </w:pPr>
            <w:r>
              <w:rPr>
                <w:rFonts w:ascii="Arial" w:cs="Arial" w:eastAsia="Arial" w:hAnsi="Arial"/>
                <w:sz w:val="14"/>
                <w:szCs w:val="14"/>
                <w:color w:val="auto"/>
              </w:rPr>
              <w:t>$5,086</w:t>
            </w:r>
          </w:p>
        </w:tc>
        <w:tc>
          <w:tcPr>
            <w:tcW w:w="840" w:type="dxa"/>
            <w:vAlign w:val="bottom"/>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line="248" w:lineRule="auto"/>
        <w:rPr>
          <w:sz w:val="20"/>
          <w:szCs w:val="20"/>
          <w:color w:val="auto"/>
        </w:rPr>
      </w:pPr>
      <w:r>
        <w:rPr>
          <w:rFonts w:ascii="Arial" w:cs="Arial" w:eastAsia="Arial" w:hAnsi="Arial"/>
          <w:sz w:val="14"/>
          <w:szCs w:val="14"/>
          <w:color w:val="auto"/>
        </w:rPr>
        <w:t>Note: The definition of Free Cash Flow excludes any impact from Economic Stimulus packages. These amounts have been excluded from Free Cash Flow to provide an appropriate comparison. “Other” in 2013 is substantially comprised of adjustments for cash taxes paid related to certain nonoperating transactions, as well as cash taxes paid in 2013 related to 2012 taxable income that were reflected as a reduction of 2012 Free Cash Flow. NM=comparison not meaningful.</w:t>
      </w:r>
    </w:p>
    <w:p>
      <w:pPr>
        <w:spacing w:after="0" w:line="3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During the second quarter of 2013, Comcast paid dividends totaling $514 million and repurchased 12.6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of its common shares for $500 million. In the first six months of 2013, Comcast has repurchased 25.9 million of its common shares for $1.0 billion. As of June 30, 2013, Comcast had approximately $2.5 billion available under its share repurchase authorization.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60" w:type="dxa"/>
            <w:vAlign w:val="bottom"/>
            <w:tcBorders>
              <w:top w:val="single" w:sz="8" w:color="808080"/>
            </w:tcBorders>
            <w:vMerge w:val="restart"/>
          </w:tcPr>
          <w:p>
            <w:pPr>
              <w:ind w:left="40"/>
              <w:spacing w:after="0"/>
              <w:rPr>
                <w:sz w:val="20"/>
                <w:szCs w:val="20"/>
                <w:color w:val="auto"/>
              </w:rPr>
            </w:pPr>
            <w:r>
              <w:rPr>
                <w:rFonts w:ascii="Arial" w:cs="Arial" w:eastAsia="Arial" w:hAnsi="Arial"/>
                <w:sz w:val="11"/>
                <w:szCs w:val="11"/>
                <w:i w:val="1"/>
                <w:iCs w:val="1"/>
                <w:color w:val="auto"/>
              </w:rPr>
              <w:t>($ in millions)</w:t>
            </w:r>
          </w:p>
        </w:tc>
        <w:tc>
          <w:tcPr>
            <w:tcW w:w="1740" w:type="dxa"/>
            <w:vAlign w:val="bottom"/>
            <w:tcBorders>
              <w:top w:val="single" w:sz="8" w:color="808080"/>
            </w:tcBorders>
          </w:tcPr>
          <w:p>
            <w:pPr>
              <w:spacing w:after="0"/>
              <w:rPr>
                <w:sz w:val="15"/>
                <w:szCs w:val="15"/>
                <w:color w:val="auto"/>
              </w:rPr>
            </w:pPr>
          </w:p>
        </w:tc>
        <w:tc>
          <w:tcPr>
            <w:tcW w:w="1340" w:type="dxa"/>
            <w:vAlign w:val="bottom"/>
            <w:tcBorders>
              <w:top w:val="single" w:sz="8" w:color="808080"/>
            </w:tcBorders>
          </w:tcPr>
          <w:p>
            <w:pPr>
              <w:jc w:val="right"/>
              <w:ind w:right="348"/>
              <w:spacing w:after="0"/>
              <w:rPr>
                <w:sz w:val="20"/>
                <w:szCs w:val="20"/>
                <w:color w:val="auto"/>
              </w:rPr>
            </w:pPr>
            <w:r>
              <w:rPr>
                <w:rFonts w:ascii="Arial" w:cs="Arial" w:eastAsia="Arial" w:hAnsi="Arial"/>
                <w:sz w:val="14"/>
                <w:szCs w:val="14"/>
                <w:color w:val="auto"/>
              </w:rPr>
              <w:t>2nd Quarter</w:t>
            </w:r>
          </w:p>
        </w:tc>
        <w:tc>
          <w:tcPr>
            <w:tcW w:w="1120" w:type="dxa"/>
            <w:vAlign w:val="bottom"/>
            <w:tcBorders>
              <w:top w:val="single" w:sz="8" w:color="808080"/>
            </w:tcBorders>
          </w:tcPr>
          <w:p>
            <w:pPr>
              <w:spacing w:after="0"/>
              <w:rPr>
                <w:sz w:val="15"/>
                <w:szCs w:val="15"/>
                <w:color w:val="auto"/>
              </w:rPr>
            </w:pPr>
          </w:p>
        </w:tc>
        <w:tc>
          <w:tcPr>
            <w:tcW w:w="980" w:type="dxa"/>
            <w:vAlign w:val="bottom"/>
            <w:tcBorders>
              <w:top w:val="single" w:sz="8" w:color="808080"/>
            </w:tcBorders>
          </w:tcPr>
          <w:p>
            <w:pPr>
              <w:spacing w:after="0"/>
              <w:rPr>
                <w:sz w:val="15"/>
                <w:szCs w:val="15"/>
                <w:color w:val="auto"/>
              </w:rPr>
            </w:pPr>
          </w:p>
        </w:tc>
        <w:tc>
          <w:tcPr>
            <w:tcW w:w="1320" w:type="dxa"/>
            <w:vAlign w:val="bottom"/>
            <w:tcBorders>
              <w:top w:val="single" w:sz="8" w:color="808080"/>
            </w:tcBorders>
          </w:tcPr>
          <w:p>
            <w:pPr>
              <w:jc w:val="right"/>
              <w:ind w:right="288"/>
              <w:spacing w:after="0"/>
              <w:rPr>
                <w:sz w:val="20"/>
                <w:szCs w:val="20"/>
                <w:color w:val="auto"/>
              </w:rPr>
            </w:pPr>
            <w:r>
              <w:rPr>
                <w:rFonts w:ascii="Arial" w:cs="Arial" w:eastAsia="Arial" w:hAnsi="Arial"/>
                <w:sz w:val="14"/>
                <w:szCs w:val="14"/>
                <w:color w:val="auto"/>
              </w:rPr>
              <w:t>Year to Date</w:t>
            </w:r>
          </w:p>
        </w:tc>
        <w:tc>
          <w:tcPr>
            <w:tcW w:w="86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060" w:type="dxa"/>
            <w:vAlign w:val="bottom"/>
            <w:tcBorders>
              <w:bottom w:val="single" w:sz="8" w:color="auto"/>
            </w:tcBorders>
            <w:vMerge w:val="continue"/>
          </w:tcPr>
          <w:p>
            <w:pPr>
              <w:spacing w:after="0"/>
              <w:rPr>
                <w:sz w:val="13"/>
                <w:szCs w:val="13"/>
                <w:color w:val="auto"/>
              </w:rPr>
            </w:pPr>
          </w:p>
        </w:tc>
        <w:tc>
          <w:tcPr>
            <w:tcW w:w="174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2012</w:t>
            </w:r>
          </w:p>
        </w:tc>
        <w:tc>
          <w:tcPr>
            <w:tcW w:w="1340" w:type="dxa"/>
            <w:vAlign w:val="bottom"/>
            <w:tcBorders>
              <w:bottom w:val="single" w:sz="8" w:color="auto"/>
            </w:tcBorders>
          </w:tcPr>
          <w:p>
            <w:pPr>
              <w:jc w:val="right"/>
              <w:ind w:right="268"/>
              <w:spacing w:after="0" w:line="157" w:lineRule="exact"/>
              <w:rPr>
                <w:sz w:val="20"/>
                <w:szCs w:val="20"/>
                <w:color w:val="auto"/>
              </w:rPr>
            </w:pPr>
            <w:r>
              <w:rPr>
                <w:rFonts w:ascii="Arial" w:cs="Arial" w:eastAsia="Arial" w:hAnsi="Arial"/>
                <w:sz w:val="14"/>
                <w:szCs w:val="14"/>
                <w:color w:val="auto"/>
              </w:rPr>
              <w:t>2013</w:t>
            </w:r>
          </w:p>
        </w:tc>
        <w:tc>
          <w:tcPr>
            <w:tcW w:w="1120" w:type="dxa"/>
            <w:vAlign w:val="bottom"/>
            <w:tcBorders>
              <w:bottom w:val="single" w:sz="8" w:color="auto"/>
            </w:tcBorders>
          </w:tcPr>
          <w:p>
            <w:pPr>
              <w:jc w:val="right"/>
              <w:ind w:right="248"/>
              <w:spacing w:after="0" w:line="157" w:lineRule="exact"/>
              <w:rPr>
                <w:sz w:val="20"/>
                <w:szCs w:val="20"/>
                <w:color w:val="auto"/>
              </w:rPr>
            </w:pPr>
            <w:r>
              <w:rPr>
                <w:rFonts w:ascii="Arial" w:cs="Arial" w:eastAsia="Arial" w:hAnsi="Arial"/>
                <w:sz w:val="14"/>
                <w:szCs w:val="14"/>
                <w:color w:val="auto"/>
              </w:rPr>
              <w:t>Growth</w:t>
            </w:r>
          </w:p>
        </w:tc>
        <w:tc>
          <w:tcPr>
            <w:tcW w:w="98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2012</w:t>
            </w:r>
          </w:p>
        </w:tc>
        <w:tc>
          <w:tcPr>
            <w:tcW w:w="1320" w:type="dxa"/>
            <w:vAlign w:val="bottom"/>
            <w:tcBorders>
              <w:bottom w:val="single" w:sz="8" w:color="auto"/>
            </w:tcBorders>
          </w:tcPr>
          <w:p>
            <w:pPr>
              <w:jc w:val="right"/>
              <w:ind w:right="248"/>
              <w:spacing w:after="0" w:line="157" w:lineRule="exact"/>
              <w:rPr>
                <w:sz w:val="20"/>
                <w:szCs w:val="20"/>
                <w:color w:val="auto"/>
              </w:rPr>
            </w:pPr>
            <w:r>
              <w:rPr>
                <w:rFonts w:ascii="Arial" w:cs="Arial" w:eastAsia="Arial" w:hAnsi="Arial"/>
                <w:sz w:val="14"/>
                <w:szCs w:val="14"/>
                <w:color w:val="auto"/>
              </w:rPr>
              <w:t>2013</w:t>
            </w:r>
          </w:p>
        </w:tc>
        <w:tc>
          <w:tcPr>
            <w:tcW w:w="8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Growth</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17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Video</w:t>
            </w:r>
          </w:p>
        </w:tc>
        <w:tc>
          <w:tcPr>
            <w:tcW w:w="1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$5,039</w:t>
            </w:r>
          </w:p>
        </w:tc>
        <w:tc>
          <w:tcPr>
            <w:tcW w:w="13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$5,175</w:t>
            </w: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2.7%</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$9,968</w:t>
            </w: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$10,288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High-Speed Internet</w:t>
            </w:r>
          </w:p>
        </w:tc>
        <w:tc>
          <w:tcPr>
            <w:tcW w:w="1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2,380</w:t>
            </w:r>
          </w:p>
        </w:tc>
        <w:tc>
          <w:tcPr>
            <w:tcW w:w="13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2,569</w:t>
            </w: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8.0%</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4,703</w:t>
            </w: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5,092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Voice</w:t>
            </w:r>
          </w:p>
        </w:tc>
        <w:tc>
          <w:tcPr>
            <w:tcW w:w="1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889</w:t>
            </w:r>
          </w:p>
        </w:tc>
        <w:tc>
          <w:tcPr>
            <w:tcW w:w="13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910</w:t>
            </w: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2.4%</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1,767</w:t>
            </w: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1,810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Business Services</w:t>
            </w:r>
          </w:p>
        </w:tc>
        <w:tc>
          <w:tcPr>
            <w:tcW w:w="1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623</w:t>
            </w:r>
          </w:p>
        </w:tc>
        <w:tc>
          <w:tcPr>
            <w:tcW w:w="13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788</w:t>
            </w: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26.4%</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1,204</w:t>
            </w: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1,529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Advertising</w:t>
            </w:r>
          </w:p>
        </w:tc>
        <w:tc>
          <w:tcPr>
            <w:tcW w:w="1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551</w:t>
            </w:r>
          </w:p>
        </w:tc>
        <w:tc>
          <w:tcPr>
            <w:tcW w:w="13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558</w:t>
            </w: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1.2%</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1,026</w:t>
            </w: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1,046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w:t>
            </w:r>
          </w:p>
        </w:tc>
        <w:tc>
          <w:tcPr>
            <w:tcW w:w="1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415</w:t>
            </w:r>
          </w:p>
        </w:tc>
        <w:tc>
          <w:tcPr>
            <w:tcW w:w="13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467</w:t>
            </w: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12.3%</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828</w:t>
            </w: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919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11"/>
        </w:trPr>
        <w:tc>
          <w:tcPr>
            <w:tcW w:w="4060" w:type="dxa"/>
            <w:vAlign w:val="bottom"/>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1740" w:type="dxa"/>
            <w:vAlign w:val="bottom"/>
          </w:tcPr>
          <w:p>
            <w:pPr>
              <w:jc w:val="right"/>
              <w:ind w:right="68"/>
              <w:spacing w:after="0"/>
              <w:rPr>
                <w:sz w:val="20"/>
                <w:szCs w:val="20"/>
                <w:color w:val="auto"/>
              </w:rPr>
            </w:pPr>
            <w:r>
              <w:rPr>
                <w:rFonts w:ascii="Arial" w:cs="Arial" w:eastAsia="Arial" w:hAnsi="Arial"/>
                <w:sz w:val="14"/>
                <w:szCs w:val="14"/>
                <w:b w:val="1"/>
                <w:bCs w:val="1"/>
                <w:color w:val="auto"/>
              </w:rPr>
              <w:t>$9,897</w:t>
            </w:r>
          </w:p>
        </w:tc>
        <w:tc>
          <w:tcPr>
            <w:tcW w:w="1340" w:type="dxa"/>
            <w:vAlign w:val="bottom"/>
          </w:tcPr>
          <w:p>
            <w:pPr>
              <w:jc w:val="right"/>
              <w:ind w:right="268"/>
              <w:spacing w:after="0"/>
              <w:rPr>
                <w:sz w:val="20"/>
                <w:szCs w:val="20"/>
                <w:color w:val="auto"/>
              </w:rPr>
            </w:pPr>
            <w:r>
              <w:rPr>
                <w:rFonts w:ascii="Arial" w:cs="Arial" w:eastAsia="Arial" w:hAnsi="Arial"/>
                <w:sz w:val="14"/>
                <w:szCs w:val="14"/>
                <w:b w:val="1"/>
                <w:bCs w:val="1"/>
                <w:color w:val="auto"/>
              </w:rPr>
              <w:t>$10,467</w:t>
            </w:r>
          </w:p>
        </w:tc>
        <w:tc>
          <w:tcPr>
            <w:tcW w:w="1120" w:type="dxa"/>
            <w:vAlign w:val="bottom"/>
          </w:tcPr>
          <w:p>
            <w:pPr>
              <w:jc w:val="right"/>
              <w:ind w:right="248"/>
              <w:spacing w:after="0"/>
              <w:rPr>
                <w:sz w:val="20"/>
                <w:szCs w:val="20"/>
                <w:color w:val="auto"/>
              </w:rPr>
            </w:pPr>
            <w:r>
              <w:rPr>
                <w:rFonts w:ascii="Arial" w:cs="Arial" w:eastAsia="Arial" w:hAnsi="Arial"/>
                <w:sz w:val="14"/>
                <w:szCs w:val="14"/>
                <w:b w:val="1"/>
                <w:bCs w:val="1"/>
                <w:color w:val="auto"/>
              </w:rPr>
              <w:t>5.8%</w:t>
            </w: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$19,496</w:t>
            </w:r>
          </w:p>
        </w:tc>
        <w:tc>
          <w:tcPr>
            <w:tcW w:w="1320" w:type="dxa"/>
            <w:vAlign w:val="bottom"/>
          </w:tcPr>
          <w:p>
            <w:pPr>
              <w:jc w:val="right"/>
              <w:ind w:right="248"/>
              <w:spacing w:after="0"/>
              <w:rPr>
                <w:sz w:val="20"/>
                <w:szCs w:val="20"/>
                <w:color w:val="auto"/>
              </w:rPr>
            </w:pPr>
            <w:r>
              <w:rPr>
                <w:rFonts w:ascii="Arial" w:cs="Arial" w:eastAsia="Arial" w:hAnsi="Arial"/>
                <w:sz w:val="14"/>
                <w:szCs w:val="14"/>
                <w:b w:val="1"/>
                <w:bCs w:val="1"/>
                <w:color w:val="auto"/>
              </w:rPr>
              <w:t>$20,684</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6.1%</w:t>
            </w:r>
          </w:p>
        </w:tc>
        <w:tc>
          <w:tcPr>
            <w:tcW w:w="0" w:type="dxa"/>
            <w:vAlign w:val="bottom"/>
          </w:tcPr>
          <w:p>
            <w:pPr>
              <w:spacing w:after="0"/>
              <w:rPr>
                <w:sz w:val="1"/>
                <w:szCs w:val="1"/>
                <w:color w:val="auto"/>
              </w:rPr>
            </w:pPr>
          </w:p>
        </w:tc>
      </w:tr>
      <w:tr>
        <w:trPr>
          <w:trHeight w:val="188"/>
        </w:trPr>
        <w:tc>
          <w:tcPr>
            <w:tcW w:w="40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OCF</w:t>
            </w:r>
          </w:p>
        </w:tc>
        <w:tc>
          <w:tcPr>
            <w:tcW w:w="1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$4,101</w:t>
            </w:r>
          </w:p>
        </w:tc>
        <w:tc>
          <w:tcPr>
            <w:tcW w:w="13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$4,335</w:t>
            </w: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5.7%</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$8,056</w:t>
            </w: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$8,554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w:t>
            </w:r>
          </w:p>
        </w:tc>
        <w:tc>
          <w:tcPr>
            <w:tcW w:w="0" w:type="dxa"/>
            <w:vAlign w:val="bottom"/>
          </w:tcPr>
          <w:p>
            <w:pPr>
              <w:spacing w:after="0"/>
              <w:rPr>
                <w:sz w:val="1"/>
                <w:szCs w:val="1"/>
                <w:color w:val="auto"/>
              </w:rPr>
            </w:pPr>
          </w:p>
        </w:tc>
      </w:tr>
      <w:tr>
        <w:trPr>
          <w:trHeight w:val="211"/>
        </w:trPr>
        <w:tc>
          <w:tcPr>
            <w:tcW w:w="4060" w:type="dxa"/>
            <w:vAlign w:val="bottom"/>
          </w:tcPr>
          <w:p>
            <w:pPr>
              <w:ind w:left="40"/>
              <w:spacing w:after="0"/>
              <w:rPr>
                <w:sz w:val="20"/>
                <w:szCs w:val="20"/>
                <w:color w:val="auto"/>
              </w:rPr>
            </w:pPr>
            <w:r>
              <w:rPr>
                <w:rFonts w:ascii="Arial" w:cs="Arial" w:eastAsia="Arial" w:hAnsi="Arial"/>
                <w:sz w:val="14"/>
                <w:szCs w:val="14"/>
                <w:i w:val="1"/>
                <w:iCs w:val="1"/>
                <w:color w:val="auto"/>
              </w:rPr>
              <w:t>OCF Margin</w:t>
            </w:r>
          </w:p>
        </w:tc>
        <w:tc>
          <w:tcPr>
            <w:tcW w:w="1740" w:type="dxa"/>
            <w:vAlign w:val="bottom"/>
          </w:tcPr>
          <w:p>
            <w:pPr>
              <w:jc w:val="right"/>
              <w:ind w:right="68"/>
              <w:spacing w:after="0"/>
              <w:rPr>
                <w:sz w:val="20"/>
                <w:szCs w:val="20"/>
                <w:color w:val="auto"/>
              </w:rPr>
            </w:pPr>
            <w:r>
              <w:rPr>
                <w:rFonts w:ascii="Arial" w:cs="Arial" w:eastAsia="Arial" w:hAnsi="Arial"/>
                <w:sz w:val="14"/>
                <w:szCs w:val="14"/>
                <w:i w:val="1"/>
                <w:iCs w:val="1"/>
                <w:color w:val="auto"/>
              </w:rPr>
              <w:t>41.4%</w:t>
            </w:r>
          </w:p>
        </w:tc>
        <w:tc>
          <w:tcPr>
            <w:tcW w:w="1340" w:type="dxa"/>
            <w:vAlign w:val="bottom"/>
          </w:tcPr>
          <w:p>
            <w:pPr>
              <w:jc w:val="right"/>
              <w:ind w:right="268"/>
              <w:spacing w:after="0"/>
              <w:rPr>
                <w:sz w:val="20"/>
                <w:szCs w:val="20"/>
                <w:color w:val="auto"/>
              </w:rPr>
            </w:pPr>
            <w:r>
              <w:rPr>
                <w:rFonts w:ascii="Arial" w:cs="Arial" w:eastAsia="Arial" w:hAnsi="Arial"/>
                <w:sz w:val="14"/>
                <w:szCs w:val="14"/>
                <w:i w:val="1"/>
                <w:iCs w:val="1"/>
                <w:color w:val="auto"/>
              </w:rPr>
              <w:t>41.4%</w:t>
            </w:r>
          </w:p>
        </w:tc>
        <w:tc>
          <w:tcPr>
            <w:tcW w:w="112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i w:val="1"/>
                <w:iCs w:val="1"/>
                <w:color w:val="auto"/>
              </w:rPr>
              <w:t>41.3%</w:t>
            </w:r>
          </w:p>
        </w:tc>
        <w:tc>
          <w:tcPr>
            <w:tcW w:w="1320" w:type="dxa"/>
            <w:vAlign w:val="bottom"/>
          </w:tcPr>
          <w:p>
            <w:pPr>
              <w:jc w:val="right"/>
              <w:ind w:right="248"/>
              <w:spacing w:after="0"/>
              <w:rPr>
                <w:sz w:val="20"/>
                <w:szCs w:val="20"/>
                <w:color w:val="auto"/>
              </w:rPr>
            </w:pPr>
            <w:r>
              <w:rPr>
                <w:rFonts w:ascii="Arial" w:cs="Arial" w:eastAsia="Arial" w:hAnsi="Arial"/>
                <w:sz w:val="14"/>
                <w:szCs w:val="14"/>
                <w:i w:val="1"/>
                <w:iCs w:val="1"/>
                <w:color w:val="auto"/>
              </w:rPr>
              <w:t>41.4%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Cable Communications Capital Expenditures</w:t>
            </w:r>
          </w:p>
        </w:tc>
        <w:tc>
          <w:tcPr>
            <w:tcW w:w="1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$1,124</w:t>
            </w:r>
          </w:p>
        </w:tc>
        <w:tc>
          <w:tcPr>
            <w:tcW w:w="13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$1,240</w:t>
            </w: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10.4%</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$2,180</w:t>
            </w: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$2,334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Percent of Cable Communications Revenue</w:t>
            </w:r>
          </w:p>
        </w:tc>
        <w:tc>
          <w:tcPr>
            <w:tcW w:w="1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i w:val="1"/>
                <w:iCs w:val="1"/>
                <w:color w:val="auto"/>
              </w:rPr>
              <w:t>11.4%</w:t>
            </w:r>
          </w:p>
        </w:tc>
        <w:tc>
          <w:tcPr>
            <w:tcW w:w="13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i w:val="1"/>
                <w:iCs w:val="1"/>
                <w:color w:val="auto"/>
              </w:rPr>
              <w:t>11.9%</w:t>
            </w:r>
          </w:p>
        </w:tc>
        <w:tc>
          <w:tcPr>
            <w:tcW w:w="1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i w:val="1"/>
                <w:iCs w:val="1"/>
                <w:color w:val="auto"/>
              </w:rPr>
              <w:t>11.2%</w:t>
            </w: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i w:val="1"/>
                <w:iCs w:val="1"/>
                <w:color w:val="auto"/>
              </w:rPr>
              <w:t>11.3%</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Cable Communications increased 5.8% to $10.5 billion in the second quarter of 2013 compared to $9.9 billion in the second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2012, driven by increases of 8.0% in high-speed Internet, 26.4% in business services and 2.7% in video. The increase in revenue reflects rate adjustments, customers receiving higher levels of services and customer growth (see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2013, Cable revenue increased 6.1% to $20.7 billion compared to $19.5 billion in 2012.</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Combined Video, High-Speed Internet and Voice Customers </w:t>
      </w:r>
      <w:r>
        <w:rPr>
          <w:rFonts w:ascii="Arial" w:cs="Arial" w:eastAsia="Arial" w:hAnsi="Arial"/>
          <w:sz w:val="18"/>
          <w:szCs w:val="18"/>
          <w:color w:val="auto"/>
        </w:rPr>
        <w:t>increased by 189,000 in the second quarter of 2013, a 36.8% increase in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additions compared to second quarter 2012, reflecting growth in high-speed Internet and voice customers and reduced losses in video customers. As of June 30, 2013, video, high-speed Internet and voice customers totaled 52.1 million, an increase of 1.6 million or 3.1% over last year’s second quarter.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20" w:type="dxa"/>
            <w:vAlign w:val="bottom"/>
            <w:vMerge w:val="restart"/>
          </w:tcPr>
          <w:p>
            <w:pPr>
              <w:ind w:left="40"/>
              <w:spacing w:after="0"/>
              <w:rPr>
                <w:sz w:val="20"/>
                <w:szCs w:val="20"/>
                <w:color w:val="auto"/>
              </w:rPr>
            </w:pPr>
            <w:r>
              <w:rPr>
                <w:rFonts w:ascii="Arial" w:cs="Arial" w:eastAsia="Arial" w:hAnsi="Arial"/>
                <w:sz w:val="11"/>
                <w:szCs w:val="11"/>
                <w:i w:val="1"/>
                <w:iCs w:val="1"/>
                <w:color w:val="auto"/>
              </w:rPr>
              <w:t>(in thousands)</w:t>
            </w:r>
          </w:p>
        </w:tc>
        <w:tc>
          <w:tcPr>
            <w:tcW w:w="2900" w:type="dxa"/>
            <w:vAlign w:val="bottom"/>
          </w:tcPr>
          <w:p>
            <w:pPr>
              <w:jc w:val="right"/>
              <w:ind w:right="48"/>
              <w:spacing w:after="0"/>
              <w:rPr>
                <w:sz w:val="20"/>
                <w:szCs w:val="20"/>
                <w:color w:val="auto"/>
              </w:rPr>
            </w:pPr>
            <w:r>
              <w:rPr>
                <w:rFonts w:ascii="Arial" w:cs="Arial" w:eastAsia="Arial" w:hAnsi="Arial"/>
                <w:sz w:val="14"/>
                <w:szCs w:val="14"/>
                <w:color w:val="auto"/>
              </w:rPr>
              <w:t>Customers</w:t>
            </w:r>
          </w:p>
        </w:tc>
        <w:tc>
          <w:tcPr>
            <w:tcW w:w="1420" w:type="dxa"/>
            <w:vAlign w:val="bottom"/>
          </w:tcPr>
          <w:p>
            <w:pPr>
              <w:spacing w:after="0"/>
              <w:rPr>
                <w:sz w:val="14"/>
                <w:szCs w:val="14"/>
                <w:color w:val="auto"/>
              </w:rPr>
            </w:pPr>
          </w:p>
        </w:tc>
        <w:tc>
          <w:tcPr>
            <w:tcW w:w="1800" w:type="dxa"/>
            <w:vAlign w:val="bottom"/>
          </w:tcPr>
          <w:p>
            <w:pPr>
              <w:jc w:val="right"/>
              <w:ind w:right="88"/>
              <w:spacing w:after="0"/>
              <w:rPr>
                <w:sz w:val="20"/>
                <w:szCs w:val="20"/>
                <w:color w:val="auto"/>
              </w:rPr>
            </w:pPr>
            <w:r>
              <w:rPr>
                <w:rFonts w:ascii="Arial" w:cs="Arial" w:eastAsia="Arial" w:hAnsi="Arial"/>
                <w:sz w:val="14"/>
                <w:szCs w:val="14"/>
                <w:color w:val="auto"/>
              </w:rPr>
              <w:t>Net Adds</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720" w:type="dxa"/>
            <w:vAlign w:val="bottom"/>
            <w:tcBorders>
              <w:bottom w:val="single" w:sz="8" w:color="auto"/>
            </w:tcBorders>
            <w:vMerge w:val="continue"/>
          </w:tcPr>
          <w:p>
            <w:pPr>
              <w:spacing w:after="0"/>
              <w:rPr>
                <w:sz w:val="13"/>
                <w:szCs w:val="13"/>
                <w:color w:val="auto"/>
              </w:rPr>
            </w:pPr>
          </w:p>
        </w:tc>
        <w:tc>
          <w:tcPr>
            <w:tcW w:w="2900" w:type="dxa"/>
            <w:vAlign w:val="bottom"/>
            <w:tcBorders>
              <w:bottom w:val="single" w:sz="8" w:color="auto"/>
            </w:tcBorders>
          </w:tcPr>
          <w:p>
            <w:pPr>
              <w:jc w:val="right"/>
              <w:ind w:right="508"/>
              <w:spacing w:after="0" w:line="157" w:lineRule="exact"/>
              <w:rPr>
                <w:sz w:val="20"/>
                <w:szCs w:val="20"/>
                <w:color w:val="auto"/>
              </w:rPr>
            </w:pPr>
            <w:r>
              <w:rPr>
                <w:rFonts w:ascii="Arial" w:cs="Arial" w:eastAsia="Arial" w:hAnsi="Arial"/>
                <w:sz w:val="14"/>
                <w:szCs w:val="14"/>
                <w:color w:val="auto"/>
              </w:rPr>
              <w:t>2Q12</w:t>
            </w:r>
          </w:p>
        </w:tc>
        <w:tc>
          <w:tcPr>
            <w:tcW w:w="1420" w:type="dxa"/>
            <w:vAlign w:val="bottom"/>
            <w:tcBorders>
              <w:bottom w:val="single" w:sz="8" w:color="auto"/>
            </w:tcBorders>
          </w:tcPr>
          <w:p>
            <w:pPr>
              <w:jc w:val="right"/>
              <w:ind w:right="768"/>
              <w:spacing w:after="0" w:line="157" w:lineRule="exact"/>
              <w:rPr>
                <w:sz w:val="20"/>
                <w:szCs w:val="20"/>
                <w:color w:val="auto"/>
              </w:rPr>
            </w:pPr>
            <w:r>
              <w:rPr>
                <w:rFonts w:ascii="Arial" w:cs="Arial" w:eastAsia="Arial" w:hAnsi="Arial"/>
                <w:sz w:val="14"/>
                <w:szCs w:val="14"/>
                <w:color w:val="auto"/>
              </w:rPr>
              <w:t>2Q13</w:t>
            </w:r>
          </w:p>
        </w:tc>
        <w:tc>
          <w:tcPr>
            <w:tcW w:w="1800" w:type="dxa"/>
            <w:vAlign w:val="bottom"/>
            <w:tcBorders>
              <w:bottom w:val="single" w:sz="8" w:color="auto"/>
            </w:tcBorders>
          </w:tcPr>
          <w:p>
            <w:pPr>
              <w:jc w:val="right"/>
              <w:ind w:right="508"/>
              <w:spacing w:after="0" w:line="157" w:lineRule="exact"/>
              <w:rPr>
                <w:sz w:val="20"/>
                <w:szCs w:val="20"/>
                <w:color w:val="auto"/>
              </w:rPr>
            </w:pPr>
            <w:r>
              <w:rPr>
                <w:rFonts w:ascii="Arial" w:cs="Arial" w:eastAsia="Arial" w:hAnsi="Arial"/>
                <w:sz w:val="14"/>
                <w:szCs w:val="14"/>
                <w:color w:val="auto"/>
              </w:rPr>
              <w:t>2Q12</w:t>
            </w:r>
          </w:p>
        </w:tc>
        <w:tc>
          <w:tcPr>
            <w:tcW w:w="5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2Q13</w:t>
            </w:r>
          </w:p>
        </w:tc>
        <w:tc>
          <w:tcPr>
            <w:tcW w:w="0" w:type="dxa"/>
            <w:vAlign w:val="bottom"/>
          </w:tcPr>
          <w:p>
            <w:pPr>
              <w:spacing w:after="0"/>
              <w:rPr>
                <w:sz w:val="1"/>
                <w:szCs w:val="1"/>
                <w:color w:val="auto"/>
              </w:rPr>
            </w:pPr>
          </w:p>
        </w:tc>
      </w:tr>
      <w:tr>
        <w:trPr>
          <w:trHeight w:val="169"/>
        </w:trPr>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Video Customers</w:t>
            </w:r>
          </w:p>
        </w:tc>
        <w:tc>
          <w:tcPr>
            <w:tcW w:w="29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22,118</w:t>
            </w:r>
          </w:p>
        </w:tc>
        <w:tc>
          <w:tcPr>
            <w:tcW w:w="142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21,776</w:t>
            </w:r>
          </w:p>
        </w:tc>
        <w:tc>
          <w:tcPr>
            <w:tcW w:w="18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(176)</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69"/>
        </w:trPr>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High-Speed Internet Customers</w:t>
            </w:r>
          </w:p>
        </w:tc>
        <w:tc>
          <w:tcPr>
            <w:tcW w:w="29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18,738</w:t>
            </w:r>
          </w:p>
        </w:tc>
        <w:tc>
          <w:tcPr>
            <w:tcW w:w="142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19,986</w:t>
            </w:r>
          </w:p>
        </w:tc>
        <w:tc>
          <w:tcPr>
            <w:tcW w:w="18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156</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69"/>
        </w:trPr>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Voice Customers</w:t>
            </w:r>
          </w:p>
        </w:tc>
        <w:tc>
          <w:tcPr>
            <w:tcW w:w="29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9,664</w:t>
            </w:r>
          </w:p>
        </w:tc>
        <w:tc>
          <w:tcPr>
            <w:tcW w:w="142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10,327</w:t>
            </w:r>
          </w:p>
        </w:tc>
        <w:tc>
          <w:tcPr>
            <w:tcW w:w="18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158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84"/>
        </w:trPr>
        <w:tc>
          <w:tcPr>
            <w:tcW w:w="4720" w:type="dxa"/>
            <w:vAlign w:val="bottom"/>
          </w:tcPr>
          <w:p>
            <w:pPr>
              <w:ind w:left="40"/>
              <w:spacing w:after="0"/>
              <w:rPr>
                <w:sz w:val="20"/>
                <w:szCs w:val="20"/>
                <w:color w:val="auto"/>
              </w:rPr>
            </w:pPr>
            <w:r>
              <w:rPr>
                <w:rFonts w:ascii="Arial" w:cs="Arial" w:eastAsia="Arial" w:hAnsi="Arial"/>
                <w:sz w:val="14"/>
                <w:szCs w:val="14"/>
                <w:color w:val="auto"/>
              </w:rPr>
              <w:t>Combined Video, HSI and Voice Customers</w:t>
            </w:r>
          </w:p>
        </w:tc>
        <w:tc>
          <w:tcPr>
            <w:tcW w:w="2900" w:type="dxa"/>
            <w:vAlign w:val="bottom"/>
          </w:tcPr>
          <w:p>
            <w:pPr>
              <w:jc w:val="right"/>
              <w:ind w:right="508"/>
              <w:spacing w:after="0"/>
              <w:rPr>
                <w:sz w:val="20"/>
                <w:szCs w:val="20"/>
                <w:color w:val="auto"/>
              </w:rPr>
            </w:pPr>
            <w:r>
              <w:rPr>
                <w:rFonts w:ascii="Arial" w:cs="Arial" w:eastAsia="Arial" w:hAnsi="Arial"/>
                <w:sz w:val="14"/>
                <w:szCs w:val="14"/>
                <w:color w:val="auto"/>
              </w:rPr>
              <w:t>50,521</w:t>
            </w:r>
          </w:p>
        </w:tc>
        <w:tc>
          <w:tcPr>
            <w:tcW w:w="1420" w:type="dxa"/>
            <w:vAlign w:val="bottom"/>
          </w:tcPr>
          <w:p>
            <w:pPr>
              <w:jc w:val="right"/>
              <w:ind w:right="768"/>
              <w:spacing w:after="0"/>
              <w:rPr>
                <w:sz w:val="20"/>
                <w:szCs w:val="20"/>
                <w:color w:val="auto"/>
              </w:rPr>
            </w:pPr>
            <w:r>
              <w:rPr>
                <w:rFonts w:ascii="Arial" w:cs="Arial" w:eastAsia="Arial" w:hAnsi="Arial"/>
                <w:sz w:val="14"/>
                <w:szCs w:val="14"/>
                <w:color w:val="auto"/>
              </w:rPr>
              <w:t>52,089</w:t>
            </w:r>
          </w:p>
        </w:tc>
        <w:tc>
          <w:tcPr>
            <w:tcW w:w="1800" w:type="dxa"/>
            <w:vAlign w:val="bottom"/>
          </w:tcPr>
          <w:p>
            <w:pPr>
              <w:jc w:val="right"/>
              <w:ind w:right="508"/>
              <w:spacing w:after="0"/>
              <w:rPr>
                <w:sz w:val="20"/>
                <w:szCs w:val="20"/>
                <w:color w:val="auto"/>
              </w:rPr>
            </w:pPr>
            <w:r>
              <w:rPr>
                <w:rFonts w:ascii="Arial" w:cs="Arial" w:eastAsia="Arial" w:hAnsi="Arial"/>
                <w:sz w:val="14"/>
                <w:szCs w:val="14"/>
                <w:color w:val="auto"/>
              </w:rPr>
              <w:t>138</w:t>
            </w:r>
          </w:p>
        </w:tc>
        <w:tc>
          <w:tcPr>
            <w:tcW w:w="580" w:type="dxa"/>
            <w:vAlign w:val="bottom"/>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Operating Cash Flow </w:t>
      </w:r>
      <w:r>
        <w:rPr>
          <w:rFonts w:ascii="Arial" w:cs="Arial" w:eastAsia="Arial" w:hAnsi="Arial"/>
          <w:sz w:val="18"/>
          <w:szCs w:val="18"/>
          <w:color w:val="auto"/>
        </w:rPr>
        <w:t>for Cable Communications increased 5.7% to $4.3 billion in the second quarter of 2013 compared to $4.1 billion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second quarter of 2012, reflecting higher revenue, partially offset by increased costs related to video programming and higher advertising, marketing and promotion expense to support growth and enhance our competitive position in both residential and commercial markets. This quarter’s operating cash flow margin was 41.4%, consistent with the prior year period.</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six months ended June 30, 2013, Cable operating cash flow increased 6.2% to $8.6 billion compared to $8.1 billion in 2012. Year-to-date operating cash flow margin was 41.4% compared to 41.3% in 2012.</w:t>
      </w:r>
    </w:p>
    <w:p>
      <w:pPr>
        <w:sectPr>
          <w:pgSz w:w="11900" w:h="16838" w:orient="portrait"/>
          <w:cols w:equalWidth="0" w:num="1">
            <w:col w:w="11420"/>
          </w:cols>
          <w:pgMar w:left="240" w:top="140" w:right="239" w:bottom="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vMerge w:val="restart"/>
          </w:tcPr>
          <w:p>
            <w:pPr>
              <w:spacing w:after="0"/>
              <w:rPr>
                <w:sz w:val="20"/>
                <w:szCs w:val="20"/>
                <w:color w:val="auto"/>
              </w:rPr>
            </w:pPr>
            <w:r>
              <w:rPr>
                <w:rFonts w:ascii="Arial" w:cs="Arial" w:eastAsia="Arial" w:hAnsi="Arial"/>
                <w:sz w:val="11"/>
                <w:szCs w:val="11"/>
                <w:i w:val="1"/>
                <w:iCs w:val="1"/>
                <w:color w:val="auto"/>
              </w:rPr>
              <w:t>($ in millions)</w:t>
            </w:r>
          </w:p>
        </w:tc>
        <w:tc>
          <w:tcPr>
            <w:tcW w:w="1680" w:type="dxa"/>
            <w:vAlign w:val="bottom"/>
          </w:tcPr>
          <w:p>
            <w:pPr>
              <w:spacing w:after="0"/>
              <w:rPr>
                <w:sz w:val="14"/>
                <w:szCs w:val="14"/>
                <w:color w:val="auto"/>
              </w:rPr>
            </w:pPr>
          </w:p>
        </w:tc>
        <w:tc>
          <w:tcPr>
            <w:tcW w:w="1400" w:type="dxa"/>
            <w:vAlign w:val="bottom"/>
          </w:tcPr>
          <w:p>
            <w:pPr>
              <w:jc w:val="right"/>
              <w:ind w:right="388"/>
              <w:spacing w:after="0"/>
              <w:rPr>
                <w:sz w:val="20"/>
                <w:szCs w:val="20"/>
                <w:color w:val="auto"/>
              </w:rPr>
            </w:pPr>
            <w:r>
              <w:rPr>
                <w:rFonts w:ascii="Arial" w:cs="Arial" w:eastAsia="Arial" w:hAnsi="Arial"/>
                <w:sz w:val="14"/>
                <w:szCs w:val="14"/>
                <w:color w:val="auto"/>
              </w:rPr>
              <w:t>2nd Quarter</w:t>
            </w: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00" w:type="dxa"/>
            <w:vAlign w:val="bottom"/>
          </w:tcPr>
          <w:p>
            <w:pPr>
              <w:jc w:val="right"/>
              <w:ind w:right="488"/>
              <w:spacing w:after="0"/>
              <w:rPr>
                <w:sz w:val="20"/>
                <w:szCs w:val="20"/>
                <w:color w:val="auto"/>
              </w:rPr>
            </w:pPr>
            <w:r>
              <w:rPr>
                <w:rFonts w:ascii="Arial" w:cs="Arial" w:eastAsia="Arial" w:hAnsi="Arial"/>
                <w:sz w:val="14"/>
                <w:szCs w:val="14"/>
                <w:color w:val="auto"/>
              </w:rPr>
              <w:t>Year to Date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720" w:type="dxa"/>
            <w:vAlign w:val="bottom"/>
            <w:vMerge w:val="continue"/>
          </w:tcPr>
          <w:p>
            <w:pPr>
              <w:spacing w:after="0"/>
              <w:rPr>
                <w:sz w:val="14"/>
                <w:szCs w:val="14"/>
                <w:color w:val="auto"/>
              </w:rPr>
            </w:pPr>
          </w:p>
        </w:tc>
        <w:tc>
          <w:tcPr>
            <w:tcW w:w="1680" w:type="dxa"/>
            <w:vAlign w:val="bottom"/>
          </w:tcPr>
          <w:p>
            <w:pPr>
              <w:jc w:val="right"/>
              <w:ind w:right="108"/>
              <w:spacing w:after="0"/>
              <w:rPr>
                <w:sz w:val="20"/>
                <w:szCs w:val="20"/>
                <w:color w:val="auto"/>
              </w:rPr>
            </w:pPr>
            <w:r>
              <w:rPr>
                <w:rFonts w:ascii="Arial" w:cs="Arial" w:eastAsia="Arial" w:hAnsi="Arial"/>
                <w:sz w:val="14"/>
                <w:szCs w:val="14"/>
                <w:color w:val="auto"/>
              </w:rPr>
              <w:t>2012</w:t>
            </w:r>
          </w:p>
        </w:tc>
        <w:tc>
          <w:tcPr>
            <w:tcW w:w="1400" w:type="dxa"/>
            <w:vAlign w:val="bottom"/>
          </w:tcPr>
          <w:p>
            <w:pPr>
              <w:jc w:val="right"/>
              <w:ind w:right="328"/>
              <w:spacing w:after="0"/>
              <w:rPr>
                <w:sz w:val="20"/>
                <w:szCs w:val="20"/>
                <w:color w:val="auto"/>
              </w:rPr>
            </w:pPr>
            <w:r>
              <w:rPr>
                <w:rFonts w:ascii="Arial" w:cs="Arial" w:eastAsia="Arial" w:hAnsi="Arial"/>
                <w:sz w:val="14"/>
                <w:szCs w:val="14"/>
                <w:color w:val="auto"/>
              </w:rPr>
              <w:t>2013</w:t>
            </w:r>
          </w:p>
        </w:tc>
        <w:tc>
          <w:tcPr>
            <w:tcW w:w="1240" w:type="dxa"/>
            <w:vAlign w:val="bottom"/>
          </w:tcPr>
          <w:p>
            <w:pPr>
              <w:jc w:val="right"/>
              <w:ind w:right="328"/>
              <w:spacing w:after="0"/>
              <w:rPr>
                <w:sz w:val="20"/>
                <w:szCs w:val="20"/>
                <w:color w:val="auto"/>
              </w:rPr>
            </w:pPr>
            <w:r>
              <w:rPr>
                <w:rFonts w:ascii="Arial" w:cs="Arial" w:eastAsia="Arial" w:hAnsi="Arial"/>
                <w:sz w:val="14"/>
                <w:szCs w:val="14"/>
                <w:color w:val="auto"/>
              </w:rPr>
              <w:t>Growth</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2012</w:t>
            </w:r>
          </w:p>
        </w:tc>
        <w:tc>
          <w:tcPr>
            <w:tcW w:w="1500" w:type="dxa"/>
            <w:vAlign w:val="bottom"/>
          </w:tcPr>
          <w:p>
            <w:pPr>
              <w:jc w:val="right"/>
              <w:ind w:right="288"/>
              <w:spacing w:after="0"/>
              <w:rPr>
                <w:sz w:val="20"/>
                <w:szCs w:val="20"/>
                <w:color w:val="auto"/>
              </w:rPr>
            </w:pPr>
            <w:r>
              <w:rPr>
                <w:rFonts w:ascii="Arial" w:cs="Arial" w:eastAsia="Arial" w:hAnsi="Arial"/>
                <w:sz w:val="14"/>
                <w:szCs w:val="14"/>
                <w:color w:val="auto"/>
              </w:rPr>
              <w:t>2013</w:t>
            </w:r>
          </w:p>
        </w:tc>
        <w:tc>
          <w:tcPr>
            <w:tcW w:w="820" w:type="dxa"/>
            <w:vAlign w:val="bottom"/>
          </w:tcPr>
          <w:p>
            <w:pPr>
              <w:jc w:val="right"/>
              <w:spacing w:after="0"/>
              <w:rPr>
                <w:sz w:val="20"/>
                <w:szCs w:val="20"/>
                <w:color w:val="auto"/>
              </w:rPr>
            </w:pPr>
            <w:r>
              <w:rPr>
                <w:rFonts w:ascii="Arial" w:cs="Arial" w:eastAsia="Arial" w:hAnsi="Arial"/>
                <w:sz w:val="14"/>
                <w:szCs w:val="14"/>
                <w:color w:val="auto"/>
              </w:rPr>
              <w:t>Growth</w:t>
            </w:r>
          </w:p>
        </w:tc>
        <w:tc>
          <w:tcPr>
            <w:tcW w:w="0" w:type="dxa"/>
            <w:vAlign w:val="bottom"/>
          </w:tcPr>
          <w:p>
            <w:pPr>
              <w:spacing w:after="0"/>
              <w:rPr>
                <w:sz w:val="1"/>
                <w:szCs w:val="1"/>
                <w:color w:val="auto"/>
              </w:rPr>
            </w:pPr>
          </w:p>
        </w:tc>
      </w:tr>
      <w:tr>
        <w:trPr>
          <w:trHeight w:val="33"/>
        </w:trPr>
        <w:tc>
          <w:tcPr>
            <w:tcW w:w="3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NBCUniversal Revenue</w:t>
            </w:r>
          </w:p>
        </w:tc>
        <w:tc>
          <w:tcPr>
            <w:tcW w:w="16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Cable Networks</w:t>
            </w:r>
          </w:p>
        </w:tc>
        <w:tc>
          <w:tcPr>
            <w:tcW w:w="1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$2,240</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$2,413</w:t>
            </w:r>
          </w:p>
        </w:tc>
        <w:tc>
          <w:tcPr>
            <w:tcW w:w="12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7.7%</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$4,368</w:t>
            </w:r>
          </w:p>
        </w:tc>
        <w:tc>
          <w:tcPr>
            <w:tcW w:w="15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$4,638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96"/>
        </w:trPr>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Broadcast Television</w:t>
            </w:r>
          </w:p>
        </w:tc>
        <w:tc>
          <w:tcPr>
            <w:tcW w:w="1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1,552</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1,732</w:t>
            </w:r>
          </w:p>
        </w:tc>
        <w:tc>
          <w:tcPr>
            <w:tcW w:w="12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11.6%</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3,413</w:t>
            </w:r>
          </w:p>
        </w:tc>
        <w:tc>
          <w:tcPr>
            <w:tcW w:w="15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3,249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96"/>
        </w:trPr>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Filmed Entertainment</w:t>
            </w:r>
          </w:p>
        </w:tc>
        <w:tc>
          <w:tcPr>
            <w:tcW w:w="1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1,231</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1,388</w:t>
            </w:r>
          </w:p>
        </w:tc>
        <w:tc>
          <w:tcPr>
            <w:tcW w:w="12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12.8%</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2,423</w:t>
            </w:r>
          </w:p>
        </w:tc>
        <w:tc>
          <w:tcPr>
            <w:tcW w:w="15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2,604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96"/>
        </w:trPr>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Theme Parks</w:t>
            </w:r>
          </w:p>
        </w:tc>
        <w:tc>
          <w:tcPr>
            <w:tcW w:w="1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539</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546</w:t>
            </w:r>
          </w:p>
        </w:tc>
        <w:tc>
          <w:tcPr>
            <w:tcW w:w="12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1.1%</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951</w:t>
            </w:r>
          </w:p>
        </w:tc>
        <w:tc>
          <w:tcPr>
            <w:tcW w:w="15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1,008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3"/>
        </w:trPr>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Headquarters, Other and Eliminations</w:t>
            </w:r>
          </w:p>
        </w:tc>
        <w:tc>
          <w:tcPr>
            <w:tcW w:w="1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(58)</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(84)</w:t>
            </w:r>
          </w:p>
        </w:tc>
        <w:tc>
          <w:tcPr>
            <w:tcW w:w="12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NM</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(179)</w:t>
            </w:r>
          </w:p>
        </w:tc>
        <w:tc>
          <w:tcPr>
            <w:tcW w:w="15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(164)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18"/>
        </w:trPr>
        <w:tc>
          <w:tcPr>
            <w:tcW w:w="3720" w:type="dxa"/>
            <w:vAlign w:val="bottom"/>
          </w:tcPr>
          <w:p>
            <w:pPr>
              <w:spacing w:after="0"/>
              <w:rPr>
                <w:sz w:val="20"/>
                <w:szCs w:val="20"/>
                <w:color w:val="auto"/>
              </w:rPr>
            </w:pPr>
            <w:r>
              <w:rPr>
                <w:rFonts w:ascii="Arial" w:cs="Arial" w:eastAsia="Arial" w:hAnsi="Arial"/>
                <w:sz w:val="14"/>
                <w:szCs w:val="14"/>
                <w:b w:val="1"/>
                <w:bCs w:val="1"/>
                <w:color w:val="auto"/>
              </w:rPr>
              <w:t>NBCUniversal Revenue</w:t>
            </w:r>
          </w:p>
        </w:tc>
        <w:tc>
          <w:tcPr>
            <w:tcW w:w="1680" w:type="dxa"/>
            <w:vAlign w:val="bottom"/>
          </w:tcPr>
          <w:p>
            <w:pPr>
              <w:jc w:val="right"/>
              <w:ind w:right="108"/>
              <w:spacing w:after="0"/>
              <w:rPr>
                <w:sz w:val="20"/>
                <w:szCs w:val="20"/>
                <w:color w:val="auto"/>
              </w:rPr>
            </w:pPr>
            <w:r>
              <w:rPr>
                <w:rFonts w:ascii="Arial" w:cs="Arial" w:eastAsia="Arial" w:hAnsi="Arial"/>
                <w:sz w:val="14"/>
                <w:szCs w:val="14"/>
                <w:b w:val="1"/>
                <w:bCs w:val="1"/>
                <w:color w:val="auto"/>
              </w:rPr>
              <w:t>$5,504</w:t>
            </w:r>
          </w:p>
        </w:tc>
        <w:tc>
          <w:tcPr>
            <w:tcW w:w="1400" w:type="dxa"/>
            <w:vAlign w:val="bottom"/>
          </w:tcPr>
          <w:p>
            <w:pPr>
              <w:jc w:val="right"/>
              <w:ind w:right="328"/>
              <w:spacing w:after="0"/>
              <w:rPr>
                <w:sz w:val="20"/>
                <w:szCs w:val="20"/>
                <w:color w:val="auto"/>
              </w:rPr>
            </w:pPr>
            <w:r>
              <w:rPr>
                <w:rFonts w:ascii="Arial" w:cs="Arial" w:eastAsia="Arial" w:hAnsi="Arial"/>
                <w:sz w:val="14"/>
                <w:szCs w:val="14"/>
                <w:b w:val="1"/>
                <w:bCs w:val="1"/>
                <w:color w:val="auto"/>
              </w:rPr>
              <w:t>$5,995</w:t>
            </w:r>
          </w:p>
        </w:tc>
        <w:tc>
          <w:tcPr>
            <w:tcW w:w="1240" w:type="dxa"/>
            <w:vAlign w:val="bottom"/>
          </w:tcPr>
          <w:p>
            <w:pPr>
              <w:jc w:val="right"/>
              <w:ind w:right="328"/>
              <w:spacing w:after="0"/>
              <w:rPr>
                <w:sz w:val="20"/>
                <w:szCs w:val="20"/>
                <w:color w:val="auto"/>
              </w:rPr>
            </w:pPr>
            <w:r>
              <w:rPr>
                <w:rFonts w:ascii="Arial" w:cs="Arial" w:eastAsia="Arial" w:hAnsi="Arial"/>
                <w:sz w:val="14"/>
                <w:szCs w:val="14"/>
                <w:b w:val="1"/>
                <w:bCs w:val="1"/>
                <w:color w:val="auto"/>
              </w:rPr>
              <w:t>8.9%</w:t>
            </w:r>
          </w:p>
        </w:tc>
        <w:tc>
          <w:tcPr>
            <w:tcW w:w="1060" w:type="dxa"/>
            <w:vAlign w:val="bottom"/>
          </w:tcPr>
          <w:p>
            <w:pPr>
              <w:jc w:val="right"/>
              <w:ind w:right="88"/>
              <w:spacing w:after="0"/>
              <w:rPr>
                <w:sz w:val="20"/>
                <w:szCs w:val="20"/>
                <w:color w:val="auto"/>
              </w:rPr>
            </w:pPr>
            <w:r>
              <w:rPr>
                <w:rFonts w:ascii="Arial" w:cs="Arial" w:eastAsia="Arial" w:hAnsi="Arial"/>
                <w:sz w:val="14"/>
                <w:szCs w:val="14"/>
                <w:b w:val="1"/>
                <w:bCs w:val="1"/>
                <w:color w:val="auto"/>
              </w:rPr>
              <w:t>$10,976</w:t>
            </w:r>
          </w:p>
        </w:tc>
        <w:tc>
          <w:tcPr>
            <w:tcW w:w="1500" w:type="dxa"/>
            <w:vAlign w:val="bottom"/>
          </w:tcPr>
          <w:p>
            <w:pPr>
              <w:jc w:val="right"/>
              <w:ind w:right="288"/>
              <w:spacing w:after="0"/>
              <w:rPr>
                <w:sz w:val="20"/>
                <w:szCs w:val="20"/>
                <w:color w:val="auto"/>
              </w:rPr>
            </w:pPr>
            <w:r>
              <w:rPr>
                <w:rFonts w:ascii="Arial" w:cs="Arial" w:eastAsia="Arial" w:hAnsi="Arial"/>
                <w:sz w:val="14"/>
                <w:szCs w:val="14"/>
                <w:b w:val="1"/>
                <w:bCs w:val="1"/>
                <w:color w:val="auto"/>
              </w:rPr>
              <w:t>$11,335</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Arial" w:cs="Arial" w:eastAsia="Arial" w:hAnsi="Arial"/>
                <w:sz w:val="14"/>
                <w:szCs w:val="14"/>
                <w:b w:val="1"/>
                <w:bCs w:val="1"/>
                <w:i w:val="1"/>
                <w:iCs w:val="1"/>
                <w:color w:val="auto"/>
              </w:rPr>
              <w:t>(% growth excluding 2012 Super Bowl)</w:t>
            </w:r>
          </w:p>
        </w:tc>
        <w:tc>
          <w:tcPr>
            <w:tcW w:w="16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5.8%</w:t>
            </w:r>
          </w:p>
        </w:tc>
        <w:tc>
          <w:tcPr>
            <w:tcW w:w="0" w:type="dxa"/>
            <w:vAlign w:val="bottom"/>
          </w:tcPr>
          <w:p>
            <w:pPr>
              <w:spacing w:after="0"/>
              <w:rPr>
                <w:sz w:val="1"/>
                <w:szCs w:val="1"/>
                <w:color w:val="auto"/>
              </w:rPr>
            </w:pPr>
          </w:p>
        </w:tc>
      </w:tr>
      <w:tr>
        <w:trPr>
          <w:trHeight w:val="181"/>
        </w:trPr>
        <w:tc>
          <w:tcPr>
            <w:tcW w:w="37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NBCUniversal OCF</w:t>
            </w:r>
          </w:p>
        </w:tc>
        <w:tc>
          <w:tcPr>
            <w:tcW w:w="16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Cable Networks</w:t>
            </w:r>
          </w:p>
        </w:tc>
        <w:tc>
          <w:tcPr>
            <w:tcW w:w="1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$790</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$860</w:t>
            </w:r>
          </w:p>
        </w:tc>
        <w:tc>
          <w:tcPr>
            <w:tcW w:w="12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8.9%</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$1,599</w:t>
            </w:r>
          </w:p>
        </w:tc>
        <w:tc>
          <w:tcPr>
            <w:tcW w:w="15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$1,719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96"/>
        </w:trPr>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Broadcast Television</w:t>
            </w:r>
          </w:p>
        </w:tc>
        <w:tc>
          <w:tcPr>
            <w:tcW w:w="1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194</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206</w:t>
            </w:r>
          </w:p>
        </w:tc>
        <w:tc>
          <w:tcPr>
            <w:tcW w:w="12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6.4%</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180</w:t>
            </w:r>
          </w:p>
        </w:tc>
        <w:tc>
          <w:tcPr>
            <w:tcW w:w="15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171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96"/>
        </w:trPr>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Filmed Entertainment</w:t>
            </w:r>
          </w:p>
        </w:tc>
        <w:tc>
          <w:tcPr>
            <w:tcW w:w="1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(83)</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33</w:t>
            </w:r>
          </w:p>
        </w:tc>
        <w:tc>
          <w:tcPr>
            <w:tcW w:w="12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NM</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(77)</w:t>
            </w:r>
          </w:p>
        </w:tc>
        <w:tc>
          <w:tcPr>
            <w:tcW w:w="15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102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6"/>
        </w:trPr>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Theme Parks</w:t>
            </w:r>
          </w:p>
        </w:tc>
        <w:tc>
          <w:tcPr>
            <w:tcW w:w="1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235</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231</w:t>
            </w:r>
          </w:p>
        </w:tc>
        <w:tc>
          <w:tcPr>
            <w:tcW w:w="12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(1.6%)</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392</w:t>
            </w:r>
          </w:p>
        </w:tc>
        <w:tc>
          <w:tcPr>
            <w:tcW w:w="15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404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3"/>
        </w:trPr>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Headquarters, Other and Eliminations</w:t>
            </w:r>
          </w:p>
        </w:tc>
        <w:tc>
          <w:tcPr>
            <w:tcW w:w="1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(154)</w:t>
            </w: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(139)</w:t>
            </w:r>
          </w:p>
        </w:tc>
        <w:tc>
          <w:tcPr>
            <w:tcW w:w="12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NM</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(299)</w:t>
            </w:r>
          </w:p>
        </w:tc>
        <w:tc>
          <w:tcPr>
            <w:tcW w:w="15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(252)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18"/>
        </w:trPr>
        <w:tc>
          <w:tcPr>
            <w:tcW w:w="3720" w:type="dxa"/>
            <w:vAlign w:val="bottom"/>
          </w:tcPr>
          <w:p>
            <w:pPr>
              <w:spacing w:after="0"/>
              <w:rPr>
                <w:sz w:val="20"/>
                <w:szCs w:val="20"/>
                <w:color w:val="auto"/>
              </w:rPr>
            </w:pPr>
            <w:r>
              <w:rPr>
                <w:rFonts w:ascii="Arial" w:cs="Arial" w:eastAsia="Arial" w:hAnsi="Arial"/>
                <w:sz w:val="14"/>
                <w:szCs w:val="14"/>
                <w:b w:val="1"/>
                <w:bCs w:val="1"/>
                <w:color w:val="auto"/>
              </w:rPr>
              <w:t>NBCUniversal OCF</w:t>
            </w:r>
          </w:p>
        </w:tc>
        <w:tc>
          <w:tcPr>
            <w:tcW w:w="1680" w:type="dxa"/>
            <w:vAlign w:val="bottom"/>
          </w:tcPr>
          <w:p>
            <w:pPr>
              <w:jc w:val="right"/>
              <w:ind w:right="108"/>
              <w:spacing w:after="0"/>
              <w:rPr>
                <w:sz w:val="20"/>
                <w:szCs w:val="20"/>
                <w:color w:val="auto"/>
              </w:rPr>
            </w:pPr>
            <w:r>
              <w:rPr>
                <w:rFonts w:ascii="Arial" w:cs="Arial" w:eastAsia="Arial" w:hAnsi="Arial"/>
                <w:sz w:val="14"/>
                <w:szCs w:val="14"/>
                <w:b w:val="1"/>
                <w:bCs w:val="1"/>
                <w:color w:val="auto"/>
              </w:rPr>
              <w:t>$982</w:t>
            </w:r>
          </w:p>
        </w:tc>
        <w:tc>
          <w:tcPr>
            <w:tcW w:w="1400" w:type="dxa"/>
            <w:vAlign w:val="bottom"/>
          </w:tcPr>
          <w:p>
            <w:pPr>
              <w:jc w:val="right"/>
              <w:ind w:right="328"/>
              <w:spacing w:after="0"/>
              <w:rPr>
                <w:sz w:val="20"/>
                <w:szCs w:val="20"/>
                <w:color w:val="auto"/>
              </w:rPr>
            </w:pPr>
            <w:r>
              <w:rPr>
                <w:rFonts w:ascii="Arial" w:cs="Arial" w:eastAsia="Arial" w:hAnsi="Arial"/>
                <w:sz w:val="14"/>
                <w:szCs w:val="14"/>
                <w:b w:val="1"/>
                <w:bCs w:val="1"/>
                <w:color w:val="auto"/>
              </w:rPr>
              <w:t>$1,191</w:t>
            </w:r>
          </w:p>
        </w:tc>
        <w:tc>
          <w:tcPr>
            <w:tcW w:w="1240" w:type="dxa"/>
            <w:vAlign w:val="bottom"/>
          </w:tcPr>
          <w:p>
            <w:pPr>
              <w:jc w:val="right"/>
              <w:ind w:right="328"/>
              <w:spacing w:after="0"/>
              <w:rPr>
                <w:sz w:val="20"/>
                <w:szCs w:val="20"/>
                <w:color w:val="auto"/>
              </w:rPr>
            </w:pPr>
            <w:r>
              <w:rPr>
                <w:rFonts w:ascii="Arial" w:cs="Arial" w:eastAsia="Arial" w:hAnsi="Arial"/>
                <w:sz w:val="14"/>
                <w:szCs w:val="14"/>
                <w:b w:val="1"/>
                <w:bCs w:val="1"/>
                <w:color w:val="auto"/>
              </w:rPr>
              <w:t>21.3%</w:t>
            </w:r>
          </w:p>
        </w:tc>
        <w:tc>
          <w:tcPr>
            <w:tcW w:w="1060" w:type="dxa"/>
            <w:vAlign w:val="bottom"/>
          </w:tcPr>
          <w:p>
            <w:pPr>
              <w:jc w:val="right"/>
              <w:ind w:right="88"/>
              <w:spacing w:after="0"/>
              <w:rPr>
                <w:sz w:val="20"/>
                <w:szCs w:val="20"/>
                <w:color w:val="auto"/>
              </w:rPr>
            </w:pPr>
            <w:r>
              <w:rPr>
                <w:rFonts w:ascii="Arial" w:cs="Arial" w:eastAsia="Arial" w:hAnsi="Arial"/>
                <w:sz w:val="14"/>
                <w:szCs w:val="14"/>
                <w:b w:val="1"/>
                <w:bCs w:val="1"/>
                <w:color w:val="auto"/>
              </w:rPr>
              <w:t>$1,795</w:t>
            </w:r>
          </w:p>
        </w:tc>
        <w:tc>
          <w:tcPr>
            <w:tcW w:w="1500" w:type="dxa"/>
            <w:vAlign w:val="bottom"/>
          </w:tcPr>
          <w:p>
            <w:pPr>
              <w:jc w:val="right"/>
              <w:ind w:right="288"/>
              <w:spacing w:after="0"/>
              <w:rPr>
                <w:sz w:val="20"/>
                <w:szCs w:val="20"/>
                <w:color w:val="auto"/>
              </w:rPr>
            </w:pPr>
            <w:r>
              <w:rPr>
                <w:rFonts w:ascii="Arial" w:cs="Arial" w:eastAsia="Arial" w:hAnsi="Arial"/>
                <w:sz w:val="14"/>
                <w:szCs w:val="14"/>
                <w:b w:val="1"/>
                <w:bCs w:val="1"/>
                <w:color w:val="auto"/>
              </w:rPr>
              <w:t>$2,144</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19.5%</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increased 8.9% to $ 6.0 billion in the second quarter of 2013 compared to $5.5 billion in the second quarter of 2012.</w:t>
      </w:r>
      <w:r>
        <w:rPr>
          <w:rFonts w:ascii="Arial" w:cs="Arial" w:eastAsia="Arial" w:hAnsi="Arial"/>
          <w:sz w:val="18"/>
          <w:szCs w:val="18"/>
          <w:b w:val="1"/>
          <w:bCs w:val="1"/>
          <w:i w:val="1"/>
          <w:iCs w:val="1"/>
          <w:color w:val="auto"/>
        </w:rPr>
        <w:t xml:space="preserve"> Operating Cash Flow </w:t>
      </w:r>
      <w:r>
        <w:rPr>
          <w:rFonts w:ascii="Arial" w:cs="Arial" w:eastAsia="Arial" w:hAnsi="Arial"/>
          <w:sz w:val="18"/>
          <w:szCs w:val="18"/>
          <w:color w:val="auto"/>
        </w:rPr>
        <w:t>increased 21.3% to $1.2 billion compared to $982 million in the second quarter of 2012, driven by Filmed Entertainment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Cable Networks.</w:t>
      </w:r>
    </w:p>
    <w:p>
      <w:pPr>
        <w:spacing w:after="0" w:line="17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six months ended June 30, 2013, NBCUniversal revenue increased 3.3% to $11.3 billion compared to $11.0 billion in 2012. Excluding $259 million of revenue generated by the broadcast of the NFL’s Super Bowl in the first quarter of 2012, revenue increased 5.8% (see Table 5). Operating cash flow increased 19.5% to $2.1 billion compared to $1.8 billion in the first six months of 2012.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second quarter of 2013, revenue from the Cable Networks segment increased 7.7% to $2.4 billion compared to $2.2 billion in the second quarter of 2012, reflecting a new content licensing agreement, a 4.4% increase in distribution revenue and a 5.7% increase in advertising revenue. Operating cash flow increased 8.9% to $860 million compared to $790 million in the second quarter of 2012, reflecting higher revenue and more moderate expense growth, even as we continue to invest in programming.</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six months ended June 30, 2013, revenue from the Cable Networks segment increased 6.2% to $ 4.6 billion compared to $4.4 billion in 2012. Operating cash flow increased 7.5% to $1.7 billion compared to $1.6 billion in the first six months of 2012.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For the second quarter of 2013, revenue from the Broadcast Television segment increased 11.6% to $ 1.7 billion compared to $ 1.6 billion in the second quarter of 2012, driven by a 13.0% increase in advertising revenue, primarily reflecting higher primetime ratings at the NBC broadcast network, and higher retransmission consent fees, partially offset by lower content licensing revenue due to the timing of content availability. Operating cash flow increased 6.4% to $206 million compared to $194 million in the second quarter of 2012, reflecting higher revenue, partially offset by an increase in programming and production costs associated with the timing of the airing of certain shows in our primetime schedule.</w:t>
      </w:r>
    </w:p>
    <w:p>
      <w:pPr>
        <w:spacing w:after="0" w:line="177"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six months ended June 30, 2013, revenue from the Broadcast Television segment decreased 4.8% to $3.2 billion compared to $3.4 billion in 2012. Excluding $259 million of revenue generated by the NFL’s Super Bowl in the first quarter of 2012, revenue increased 3.0% (see Table 5). Operating cash flow decreased 5.1% to $171 million compared to $180 million in the first six months of 2012.</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For the second quarter of 2013, revenue from the Filmed Entertainment segment increased 12.8% to $1.4 billion compared to $1.2 billion in the second quarter of 2012, driven by higher theatrical revenue from the strong box office performance of </w:t>
      </w:r>
      <w:r>
        <w:rPr>
          <w:rFonts w:ascii="Arial" w:cs="Arial" w:eastAsia="Arial" w:hAnsi="Arial"/>
          <w:sz w:val="18"/>
          <w:szCs w:val="18"/>
          <w:i w:val="1"/>
          <w:iCs w:val="1"/>
          <w:color w:val="auto"/>
        </w:rPr>
        <w:t>Fast and Furious 6</w:t>
      </w:r>
      <w:r>
        <w:rPr>
          <w:rFonts w:ascii="Arial" w:cs="Arial" w:eastAsia="Arial" w:hAnsi="Arial"/>
          <w:sz w:val="18"/>
          <w:szCs w:val="18"/>
          <w:color w:val="auto"/>
        </w:rPr>
        <w:t>, as well as higher content licensing revenue from the availability of certain films in international television markets. Operating cash flow increased $116 million to $33 million compared to a loss of $83 million in the second quarter of 2012, reflecting the strong performance of the film slate.</w:t>
      </w:r>
    </w:p>
    <w:p>
      <w:pPr>
        <w:spacing w:after="0" w:line="18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For the six months ended June 30, 2013, revenue from the Filmed Entertainment segment increased 7.5% to $2.6 billion compared to $2.4 billion in 2012. Operating cash flow increased $179 million to $102 million compared to a loss of $77 million in the first six months of 2012.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second quarter of 2013, revenue from the Theme Parks segment increased 1.1% to $ 546 million compared to the second quarter of 2012, reflecting the shift of holidays to the first quarter this year. Second quarter operating cash flow decreased 1.6% to $231 million compared to the same period last year, primarily reflecting increased operating costs to support new attractions.</w:t>
      </w:r>
    </w:p>
    <w:p>
      <w:pPr>
        <w:spacing w:after="0" w:line="18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For the six months ended June 30, 2013, revenue from the Theme Parks segment increased 5.9% to $1.0 billion compared to $951 million in 2012. Operating cash flow increased 3.2% to $404 million compared to $392 million in the first six months of 2012.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Other and Eliminations</w:t>
      </w:r>
    </w:p>
    <w:p>
      <w:pPr>
        <w:spacing w:after="0" w:line="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NBCUniversal Headquarters, Other and Eliminations include overhead and eliminations among the NBCUniversal businesses. For the quarter ended June 30, 2013, NBCUniversal Headquarters, Other and Eliminations operating cash flow loss was $139 million compared to a loss of $154 million in the second quarter of 2012, reflecting lower facilities and integration costs.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six months ended June 30, 2013, NBCUniversal Headquarters, Other and Eliminations operating cash flow loss was $252 million compared to a loss of $299 million in 2012.</w:t>
      </w:r>
    </w:p>
    <w:p>
      <w:pPr>
        <w:sectPr>
          <w:pgSz w:w="11900" w:h="16838" w:orient="portrait"/>
          <w:cols w:equalWidth="0" w:num="1">
            <w:col w:w="11420"/>
          </w:cols>
          <w:pgMar w:left="240" w:top="562" w:right="239" w:bottom="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0"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Corporate, Other and Eliminations include corporate operations, Comcast-Spectacor and eliminations among Comcast’s businesses. For the quarter ended June 30, 2013, Corporate, Other and Eliminations revenue was ($192) million compared to ($190) million in 2012. The operating cash flow loss was $101 million compared to a loss of $79 million in the second quarter of 2012.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2013, Corporate, Other and Eliminations revenue was ($439) million compared to ($383) million in 2012.</w:t>
      </w:r>
    </w:p>
    <w:p>
      <w:pPr>
        <w:spacing w:after="0"/>
        <w:rPr>
          <w:sz w:val="20"/>
          <w:szCs w:val="20"/>
          <w:color w:val="auto"/>
        </w:rPr>
      </w:pPr>
      <w:r>
        <w:rPr>
          <w:rFonts w:ascii="Arial" w:cs="Arial" w:eastAsia="Arial" w:hAnsi="Arial"/>
          <w:sz w:val="18"/>
          <w:szCs w:val="18"/>
          <w:color w:val="auto"/>
        </w:rPr>
        <w:t>The operating cash flow loss was $239 million compared to a loss of $159 million in the first six months of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8" w:lineRule="exact"/>
        <w:rPr>
          <w:sz w:val="20"/>
          <w:szCs w:val="20"/>
          <w:color w:val="auto"/>
        </w:rPr>
      </w:pPr>
    </w:p>
    <w:p>
      <w:pPr>
        <w:ind w:left="180" w:hanging="166"/>
        <w:spacing w:after="0" w:line="246" w:lineRule="auto"/>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define Operating Cash Flow as operating income (loss) before depreciation and amortization, excluding impairment charges related to fixed and intangible assets and gains or losses on the sale of assets, if any.</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 Earnings per share amounts are presented on a diluted basis.</w:t>
      </w:r>
    </w:p>
    <w:p>
      <w:pPr>
        <w:spacing w:after="0" w:line="198" w:lineRule="exact"/>
        <w:rPr>
          <w:sz w:val="20"/>
          <w:szCs w:val="20"/>
          <w:color w:val="auto"/>
        </w:rPr>
      </w:pPr>
    </w:p>
    <w:p>
      <w:pPr>
        <w:jc w:val="both"/>
        <w:ind w:left="180" w:hanging="166"/>
        <w:spacing w:after="0"/>
        <w:tabs>
          <w:tab w:leader="none" w:pos="213"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define Free Cash Flow as Net Cash Provided by Operating Activities (as stated in our Consolidated Statement of Cash Flows) reduced by capital expenditures, cash paid for intangible assets and cash distributions to noncontrolling interests; and adjusted for any payments and receipts related to certain nonoperating items, net of estimated tax benefits.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percentages are calculated on whole numbers. Minor differences may exist due to rounding.</w:t>
      </w:r>
    </w:p>
    <w:p>
      <w:pPr>
        <w:spacing w:after="0" w:line="19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Other Information</w:t>
      </w:r>
    </w:p>
    <w:p>
      <w:pPr>
        <w:spacing w:after="0" w:line="3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Comcast Corporation will host a conference call with the financial community today, July 31, 2013 at 8:30 a.m. Eastern Time (ET). The conference call and related materials will be broadcast live and posted on its Investor Relations website at </w:t>
      </w:r>
      <w:r>
        <w:rPr>
          <w:rFonts w:ascii="Arial" w:cs="Arial" w:eastAsia="Arial" w:hAnsi="Arial"/>
          <w:sz w:val="18"/>
          <w:szCs w:val="18"/>
          <w:u w:val="single" w:color="auto"/>
          <w:color w:val="auto"/>
        </w:rPr>
        <w:t>www.cmcsa.com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www.cmcsk.com</w:t>
      </w:r>
      <w:r>
        <w:rPr>
          <w:rFonts w:ascii="Arial" w:cs="Arial" w:eastAsia="Arial" w:hAnsi="Arial"/>
          <w:sz w:val="18"/>
          <w:szCs w:val="18"/>
          <w:color w:val="auto"/>
        </w:rPr>
        <w:t>. Those parties interested in participating via telephone should dial (800) 263-8495 with the conference ID number 97883674. A replay of the call will be available starting at 12:30 p.m. ET on July 31, 2013, on the Investor Relations website or by telephone. To access the telephone replay, which will be available until Wednesday, August 7, 2013 at midnight ET, please dial (855) 859-2056 and enter the conference ID number 97883674.</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From time to time, we post information that may be of interest to investors on our website at </w:t>
      </w:r>
      <w:r>
        <w:rPr>
          <w:rFonts w:ascii="Arial" w:cs="Arial" w:eastAsia="Arial" w:hAnsi="Arial"/>
          <w:sz w:val="18"/>
          <w:szCs w:val="18"/>
          <w:u w:val="single" w:color="auto"/>
          <w:color w:val="auto"/>
        </w:rPr>
        <w:t>www.cmcsa.com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www.cmcsk.com</w:t>
      </w:r>
      <w:r>
        <w:rPr>
          <w:rFonts w:ascii="Arial" w:cs="Arial" w:eastAsia="Arial" w:hAnsi="Arial"/>
          <w:sz w:val="18"/>
          <w:szCs w:val="18"/>
          <w:color w:val="auto"/>
        </w:rPr>
        <w:t xml:space="preserve"> and on our corporate blog, </w:t>
      </w:r>
      <w:r>
        <w:rPr>
          <w:rFonts w:ascii="Arial" w:cs="Arial" w:eastAsia="Arial" w:hAnsi="Arial"/>
          <w:sz w:val="18"/>
          <w:szCs w:val="18"/>
          <w:u w:val="single" w:color="auto"/>
          <w:color w:val="auto"/>
        </w:rPr>
        <w:t>www.corporate.comcast.com/comcast-voices</w:t>
      </w:r>
      <w:r>
        <w:rPr>
          <w:rFonts w:ascii="Arial" w:cs="Arial" w:eastAsia="Arial" w:hAnsi="Arial"/>
          <w:sz w:val="18"/>
          <w:szCs w:val="18"/>
          <w:color w:val="auto"/>
        </w:rPr>
        <w:t xml:space="preserve">. To automatically receive Comcast financial news by email, please visit </w:t>
      </w:r>
      <w:r>
        <w:rPr>
          <w:rFonts w:ascii="Arial" w:cs="Arial" w:eastAsia="Arial" w:hAnsi="Arial"/>
          <w:sz w:val="18"/>
          <w:szCs w:val="18"/>
          <w:u w:val="single" w:color="auto"/>
          <w:color w:val="auto"/>
        </w:rPr>
        <w:t>www.cmcsa.com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www.cmcsk.com</w:t>
      </w:r>
      <w:r>
        <w:rPr>
          <w:rFonts w:ascii="Arial" w:cs="Arial" w:eastAsia="Arial" w:hAnsi="Arial"/>
          <w:sz w:val="18"/>
          <w:szCs w:val="18"/>
          <w:color w:val="auto"/>
        </w:rPr>
        <w:t xml:space="preserve"> and subscribe to email alerts.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Comcast Corporation (Nasdaq: CMCSA, CMCSK) is a global media and technology company with two primary businesses, Comcast Cable and NBCUniversal. Comcast Cable is the nation’s largest video, high-speed Internet and phone provider to residential customers under the XFINITY brand and also provides these services to businesses. NBCUniversal operates 30 news, entertainment and sports cable networks, the NBC and Telemundo broadcast networks, television production operations, television station groups, Universal Pictures and Universal Parks and Resorts. Visit </w:t>
      </w:r>
      <w:r>
        <w:rPr>
          <w:rFonts w:ascii="Arial" w:cs="Arial" w:eastAsia="Arial" w:hAnsi="Arial"/>
          <w:sz w:val="18"/>
          <w:szCs w:val="18"/>
          <w:u w:val="single" w:color="auto"/>
          <w:color w:val="auto"/>
        </w:rPr>
        <w:t>www.comcastcorporation.com</w:t>
      </w:r>
      <w:r>
        <w:rPr>
          <w:rFonts w:ascii="Arial" w:cs="Arial" w:eastAsia="Arial" w:hAnsi="Arial"/>
          <w:sz w:val="18"/>
          <w:szCs w:val="18"/>
          <w:color w:val="auto"/>
        </w:rPr>
        <w:t xml:space="preserve"> for more information.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4032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5"/>
          <w:szCs w:val="25"/>
          <w:b w:val="1"/>
          <w:bCs w:val="1"/>
          <w:color w:val="808080"/>
        </w:rPr>
        <w:t>TABLE 1</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808080"/>
        </w:rPr>
        <w:t>Condensed Consolidated Statement of Income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500" w:type="dxa"/>
            <w:vAlign w:val="bottom"/>
          </w:tcPr>
          <w:p>
            <w:pPr>
              <w:spacing w:after="0"/>
              <w:rPr>
                <w:sz w:val="17"/>
                <w:szCs w:val="17"/>
                <w:color w:val="auto"/>
              </w:rPr>
            </w:pPr>
          </w:p>
        </w:tc>
        <w:tc>
          <w:tcPr>
            <w:tcW w:w="294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25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225"/>
        </w:trPr>
        <w:tc>
          <w:tcPr>
            <w:tcW w:w="5500" w:type="dxa"/>
            <w:vAlign w:val="bottom"/>
          </w:tcPr>
          <w:p>
            <w:pPr>
              <w:spacing w:after="0"/>
              <w:rPr>
                <w:sz w:val="20"/>
                <w:szCs w:val="20"/>
                <w:color w:val="auto"/>
              </w:rPr>
            </w:pPr>
            <w:r>
              <w:rPr>
                <w:rFonts w:ascii="Arial" w:cs="Arial" w:eastAsia="Arial" w:hAnsi="Arial"/>
                <w:sz w:val="18"/>
                <w:szCs w:val="18"/>
                <w:color w:val="auto"/>
              </w:rPr>
              <w:t>(in millions, except per share data)</w:t>
            </w:r>
          </w:p>
        </w:tc>
        <w:tc>
          <w:tcPr>
            <w:tcW w:w="1720" w:type="dxa"/>
            <w:vAlign w:val="bottom"/>
            <w:gridSpan w:val="3"/>
          </w:tcPr>
          <w:p>
            <w:pPr>
              <w:ind w:left="920"/>
              <w:spacing w:after="0"/>
              <w:rPr>
                <w:sz w:val="20"/>
                <w:szCs w:val="20"/>
                <w:color w:val="auto"/>
              </w:rPr>
            </w:pPr>
            <w:r>
              <w:rPr>
                <w:rFonts w:ascii="Arial" w:cs="Arial" w:eastAsia="Arial" w:hAnsi="Arial"/>
                <w:sz w:val="18"/>
                <w:szCs w:val="18"/>
                <w:b w:val="1"/>
                <w:bCs w:val="1"/>
                <w:color w:val="auto"/>
              </w:rPr>
              <w:t>June 30,</w:t>
            </w:r>
          </w:p>
        </w:tc>
        <w:tc>
          <w:tcPr>
            <w:tcW w:w="8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2013</w:t>
            </w:r>
          </w:p>
        </w:tc>
        <w:tc>
          <w:tcPr>
            <w:tcW w:w="380" w:type="dxa"/>
            <w:vAlign w:val="bottom"/>
          </w:tcPr>
          <w:p>
            <w:pPr>
              <w:spacing w:after="0"/>
              <w:rPr>
                <w:sz w:val="19"/>
                <w:szCs w:val="19"/>
                <w:color w:val="auto"/>
              </w:rPr>
            </w:pPr>
          </w:p>
        </w:tc>
        <w:tc>
          <w:tcPr>
            <w:tcW w:w="172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9"/>
              </w:rPr>
              <w:t>June 30,</w:t>
            </w:r>
          </w:p>
        </w:tc>
        <w:tc>
          <w:tcPr>
            <w:tcW w:w="86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03"/>
        </w:trPr>
        <w:tc>
          <w:tcPr>
            <w:tcW w:w="550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140" w:type="dxa"/>
            <w:vAlign w:val="bottom"/>
            <w:tcBorders>
              <w:bottom w:val="single" w:sz="8" w:color="auto"/>
            </w:tcBorders>
          </w:tcPr>
          <w:p>
            <w:pPr>
              <w:ind w:left="360"/>
              <w:spacing w:after="0" w:line="203" w:lineRule="exact"/>
              <w:rPr>
                <w:sz w:val="20"/>
                <w:szCs w:val="20"/>
                <w:color w:val="auto"/>
              </w:rPr>
            </w:pPr>
            <w:r>
              <w:rPr>
                <w:rFonts w:ascii="Arial" w:cs="Arial" w:eastAsia="Arial" w:hAnsi="Arial"/>
                <w:sz w:val="18"/>
                <w:szCs w:val="18"/>
                <w:color w:val="auto"/>
              </w:rPr>
              <w:t>2012</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2012</w:t>
            </w: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500" w:type="dxa"/>
            <w:vAlign w:val="bottom"/>
            <w:vMerge w:val="continue"/>
          </w:tcPr>
          <w:p>
            <w:pPr>
              <w:spacing w:after="0"/>
              <w:rPr>
                <w:sz w:val="20"/>
                <w:szCs w:val="20"/>
                <w:color w:val="auto"/>
              </w:rPr>
            </w:pPr>
          </w:p>
        </w:tc>
        <w:tc>
          <w:tcPr>
            <w:tcW w:w="1140" w:type="dxa"/>
            <w:vAlign w:val="bottom"/>
          </w:tcPr>
          <w:p>
            <w:pPr>
              <w:ind w:left="400"/>
              <w:spacing w:after="0"/>
              <w:rPr>
                <w:sz w:val="20"/>
                <w:szCs w:val="20"/>
                <w:color w:val="auto"/>
              </w:rPr>
            </w:pPr>
            <w:r>
              <w:rPr>
                <w:rFonts w:ascii="Arial" w:cs="Arial" w:eastAsia="Arial" w:hAnsi="Arial"/>
                <w:sz w:val="18"/>
                <w:szCs w:val="18"/>
                <w:color w:val="auto"/>
              </w:rPr>
              <w:t>$15,211</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ind w:left="100"/>
              <w:spacing w:after="0"/>
              <w:rPr>
                <w:sz w:val="20"/>
                <w:szCs w:val="20"/>
                <w:color w:val="auto"/>
              </w:rPr>
            </w:pPr>
            <w:r>
              <w:rPr>
                <w:rFonts w:ascii="Arial" w:cs="Arial" w:eastAsia="Arial" w:hAnsi="Arial"/>
                <w:sz w:val="18"/>
                <w:szCs w:val="18"/>
                <w:b w:val="1"/>
                <w:bCs w:val="1"/>
                <w:color w:val="auto"/>
              </w:rPr>
              <w:t>$16,270</w:t>
            </w:r>
          </w:p>
        </w:tc>
        <w:tc>
          <w:tcPr>
            <w:tcW w:w="38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$30,089</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b w:val="1"/>
                <w:bCs w:val="1"/>
                <w:color w:val="auto"/>
              </w:rPr>
              <w:t>$31,580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0" w:gutter="0" w:footer="0" w:header="0"/>
        </w:sectPr>
      </w:pPr>
    </w:p>
    <w:bookmarkStart w:id="6" w:name="page7"/>
    <w:bookmarkEnd w:id="6"/>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50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4,551</w:t>
            </w:r>
          </w:p>
        </w:tc>
        <w:tc>
          <w:tcPr>
            <w:tcW w:w="280" w:type="dxa"/>
            <w:vAlign w:val="bottom"/>
          </w:tcPr>
          <w:p>
            <w:pPr>
              <w:spacing w:after="0"/>
              <w:rPr>
                <w:sz w:val="17"/>
                <w:szCs w:val="17"/>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4,968</w:t>
            </w:r>
          </w:p>
        </w:tc>
        <w:tc>
          <w:tcPr>
            <w:tcW w:w="380" w:type="dxa"/>
            <w:vAlign w:val="bottom"/>
          </w:tcPr>
          <w:p>
            <w:pPr>
              <w:spacing w:after="0"/>
              <w:rPr>
                <w:sz w:val="17"/>
                <w:szCs w:val="17"/>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9,287</w:t>
            </w:r>
          </w:p>
        </w:tc>
        <w:tc>
          <w:tcPr>
            <w:tcW w:w="280" w:type="dxa"/>
            <w:vAlign w:val="bottom"/>
          </w:tcPr>
          <w:p>
            <w:pPr>
              <w:spacing w:after="0"/>
              <w:rPr>
                <w:sz w:val="17"/>
                <w:szCs w:val="17"/>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9,631</w:t>
            </w:r>
          </w:p>
        </w:tc>
        <w:tc>
          <w:tcPr>
            <w:tcW w:w="0" w:type="dxa"/>
            <w:vAlign w:val="bottom"/>
          </w:tcPr>
          <w:p>
            <w:pPr>
              <w:spacing w:after="0"/>
              <w:rPr>
                <w:sz w:val="1"/>
                <w:szCs w:val="1"/>
                <w:color w:val="auto"/>
              </w:rPr>
            </w:pPr>
          </w:p>
        </w:tc>
      </w:tr>
      <w:tr>
        <w:trPr>
          <w:trHeight w:val="203"/>
        </w:trPr>
        <w:tc>
          <w:tcPr>
            <w:tcW w:w="5500" w:type="dxa"/>
            <w:vAlign w:val="bottom"/>
          </w:tcPr>
          <w:p>
            <w:pPr>
              <w:ind w:left="180"/>
              <w:spacing w:after="0" w:line="202" w:lineRule="exact"/>
              <w:rPr>
                <w:sz w:val="20"/>
                <w:szCs w:val="20"/>
                <w:color w:val="auto"/>
              </w:rPr>
            </w:pPr>
            <w:r>
              <w:rPr>
                <w:rFonts w:ascii="Arial" w:cs="Arial" w:eastAsia="Arial" w:hAnsi="Arial"/>
                <w:sz w:val="18"/>
                <w:szCs w:val="18"/>
                <w:color w:val="auto"/>
              </w:rPr>
              <w:t>Other operating and administrative</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4,365</w:t>
            </w:r>
          </w:p>
        </w:tc>
        <w:tc>
          <w:tcPr>
            <w:tcW w:w="28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4,570</w:t>
            </w:r>
          </w:p>
        </w:tc>
        <w:tc>
          <w:tcPr>
            <w:tcW w:w="380" w:type="dxa"/>
            <w:vAlign w:val="bottom"/>
          </w:tcPr>
          <w:p>
            <w:pPr>
              <w:spacing w:after="0"/>
              <w:rPr>
                <w:sz w:val="17"/>
                <w:szCs w:val="17"/>
                <w:color w:val="auto"/>
              </w:rPr>
            </w:pP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8,610</w:t>
            </w:r>
          </w:p>
        </w:tc>
        <w:tc>
          <w:tcPr>
            <w:tcW w:w="28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9,036</w:t>
            </w:r>
          </w:p>
        </w:tc>
        <w:tc>
          <w:tcPr>
            <w:tcW w:w="0" w:type="dxa"/>
            <w:vAlign w:val="bottom"/>
          </w:tcPr>
          <w:p>
            <w:pPr>
              <w:spacing w:after="0"/>
              <w:rPr>
                <w:sz w:val="1"/>
                <w:szCs w:val="1"/>
                <w:color w:val="auto"/>
              </w:rPr>
            </w:pPr>
          </w:p>
        </w:tc>
      </w:tr>
      <w:tr>
        <w:trPr>
          <w:trHeight w:val="225"/>
        </w:trPr>
        <w:tc>
          <w:tcPr>
            <w:tcW w:w="550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1,291</w:t>
            </w:r>
          </w:p>
        </w:tc>
        <w:tc>
          <w:tcPr>
            <w:tcW w:w="280" w:type="dxa"/>
            <w:vAlign w:val="bottom"/>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1,307</w:t>
            </w:r>
          </w:p>
        </w:tc>
        <w:tc>
          <w:tcPr>
            <w:tcW w:w="380" w:type="dxa"/>
            <w:vAlign w:val="bottom"/>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2,500</w:t>
            </w:r>
          </w:p>
        </w:tc>
        <w:tc>
          <w:tcPr>
            <w:tcW w:w="280" w:type="dxa"/>
            <w:vAlign w:val="bottom"/>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2,454</w:t>
            </w:r>
          </w:p>
        </w:tc>
        <w:tc>
          <w:tcPr>
            <w:tcW w:w="0" w:type="dxa"/>
            <w:vAlign w:val="bottom"/>
          </w:tcPr>
          <w:p>
            <w:pPr>
              <w:spacing w:after="0"/>
              <w:rPr>
                <w:sz w:val="1"/>
                <w:szCs w:val="1"/>
                <w:color w:val="auto"/>
              </w:rPr>
            </w:pPr>
          </w:p>
        </w:tc>
      </w:tr>
      <w:tr>
        <w:trPr>
          <w:trHeight w:val="196"/>
        </w:trPr>
        <w:tc>
          <w:tcPr>
            <w:tcW w:w="5500" w:type="dxa"/>
            <w:vAlign w:val="bottom"/>
          </w:tcPr>
          <w:p>
            <w:pPr>
              <w:spacing w:after="0"/>
              <w:rPr>
                <w:sz w:val="17"/>
                <w:szCs w:val="17"/>
                <w:color w:val="auto"/>
              </w:rPr>
            </w:pP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10,207</w:t>
            </w:r>
          </w:p>
        </w:tc>
        <w:tc>
          <w:tcPr>
            <w:tcW w:w="280" w:type="dxa"/>
            <w:vAlign w:val="bottom"/>
          </w:tcPr>
          <w:p>
            <w:pPr>
              <w:spacing w:after="0"/>
              <w:rPr>
                <w:sz w:val="17"/>
                <w:szCs w:val="17"/>
                <w:color w:val="auto"/>
              </w:rPr>
            </w:pP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10,845</w:t>
            </w:r>
          </w:p>
        </w:tc>
        <w:tc>
          <w:tcPr>
            <w:tcW w:w="380" w:type="dxa"/>
            <w:vAlign w:val="bottom"/>
          </w:tcPr>
          <w:p>
            <w:pPr>
              <w:spacing w:after="0"/>
              <w:rPr>
                <w:sz w:val="17"/>
                <w:szCs w:val="17"/>
                <w:color w:val="auto"/>
              </w:rPr>
            </w:pPr>
          </w:p>
        </w:tc>
        <w:tc>
          <w:tcPr>
            <w:tcW w:w="11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20,397</w:t>
            </w:r>
          </w:p>
        </w:tc>
        <w:tc>
          <w:tcPr>
            <w:tcW w:w="280" w:type="dxa"/>
            <w:vAlign w:val="bottom"/>
          </w:tcPr>
          <w:p>
            <w:pPr>
              <w:spacing w:after="0"/>
              <w:rPr>
                <w:sz w:val="17"/>
                <w:szCs w:val="17"/>
                <w:color w:val="auto"/>
              </w:rPr>
            </w:pP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21,121</w:t>
            </w:r>
          </w:p>
        </w:tc>
        <w:tc>
          <w:tcPr>
            <w:tcW w:w="0" w:type="dxa"/>
            <w:vAlign w:val="bottom"/>
          </w:tcPr>
          <w:p>
            <w:pPr>
              <w:spacing w:after="0"/>
              <w:rPr>
                <w:sz w:val="1"/>
                <w:szCs w:val="1"/>
                <w:color w:val="auto"/>
              </w:rPr>
            </w:pPr>
          </w:p>
        </w:tc>
      </w:tr>
      <w:tr>
        <w:trPr>
          <w:trHeight w:val="412"/>
        </w:trPr>
        <w:tc>
          <w:tcPr>
            <w:tcW w:w="5500" w:type="dxa"/>
            <w:vAlign w:val="bottom"/>
          </w:tcPr>
          <w:p>
            <w:pPr>
              <w:spacing w:after="0"/>
              <w:rPr>
                <w:sz w:val="20"/>
                <w:szCs w:val="20"/>
                <w:color w:val="auto"/>
              </w:rPr>
            </w:pPr>
            <w:r>
              <w:rPr>
                <w:rFonts w:ascii="Arial" w:cs="Arial" w:eastAsia="Arial" w:hAnsi="Arial"/>
                <w:sz w:val="18"/>
                <w:szCs w:val="18"/>
                <w:b w:val="1"/>
                <w:bCs w:val="1"/>
                <w:color w:val="auto"/>
              </w:rPr>
              <w:t>Operating cash flow</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5,004</w:t>
            </w:r>
          </w:p>
        </w:tc>
        <w:tc>
          <w:tcPr>
            <w:tcW w:w="28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5,425</w:t>
            </w:r>
          </w:p>
        </w:tc>
        <w:tc>
          <w:tcPr>
            <w:tcW w:w="38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9,692</w:t>
            </w:r>
          </w:p>
        </w:tc>
        <w:tc>
          <w:tcPr>
            <w:tcW w:w="28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10,459</w:t>
            </w:r>
          </w:p>
        </w:tc>
        <w:tc>
          <w:tcPr>
            <w:tcW w:w="0" w:type="dxa"/>
            <w:vAlign w:val="bottom"/>
          </w:tcPr>
          <w:p>
            <w:pPr>
              <w:spacing w:after="0"/>
              <w:rPr>
                <w:sz w:val="1"/>
                <w:szCs w:val="1"/>
                <w:color w:val="auto"/>
              </w:rPr>
            </w:pPr>
          </w:p>
        </w:tc>
      </w:tr>
      <w:tr>
        <w:trPr>
          <w:trHeight w:val="369"/>
        </w:trPr>
        <w:tc>
          <w:tcPr>
            <w:tcW w:w="5500" w:type="dxa"/>
            <w:vAlign w:val="bottom"/>
          </w:tcPr>
          <w:p>
            <w:pPr>
              <w:ind w:left="180"/>
              <w:spacing w:after="0"/>
              <w:rPr>
                <w:sz w:val="20"/>
                <w:szCs w:val="20"/>
                <w:color w:val="auto"/>
              </w:rPr>
            </w:pPr>
            <w:r>
              <w:rPr>
                <w:rFonts w:ascii="Arial" w:cs="Arial" w:eastAsia="Arial" w:hAnsi="Arial"/>
                <w:sz w:val="18"/>
                <w:szCs w:val="18"/>
                <w:color w:val="auto"/>
              </w:rPr>
              <w:t>Depreciation expense</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1,516</w:t>
            </w:r>
          </w:p>
        </w:tc>
        <w:tc>
          <w:tcPr>
            <w:tcW w:w="28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1,583</w:t>
            </w:r>
          </w:p>
        </w:tc>
        <w:tc>
          <w:tcPr>
            <w:tcW w:w="38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3,045</w:t>
            </w:r>
          </w:p>
        </w:tc>
        <w:tc>
          <w:tcPr>
            <w:tcW w:w="28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3,149</w:t>
            </w:r>
          </w:p>
        </w:tc>
        <w:tc>
          <w:tcPr>
            <w:tcW w:w="0" w:type="dxa"/>
            <w:vAlign w:val="bottom"/>
          </w:tcPr>
          <w:p>
            <w:pPr>
              <w:spacing w:after="0"/>
              <w:rPr>
                <w:sz w:val="1"/>
                <w:szCs w:val="1"/>
                <w:color w:val="auto"/>
              </w:rPr>
            </w:pPr>
          </w:p>
        </w:tc>
      </w:tr>
      <w:tr>
        <w:trPr>
          <w:trHeight w:val="225"/>
        </w:trPr>
        <w:tc>
          <w:tcPr>
            <w:tcW w:w="5500" w:type="dxa"/>
            <w:vAlign w:val="bottom"/>
          </w:tcPr>
          <w:p>
            <w:pPr>
              <w:ind w:left="180"/>
              <w:spacing w:after="0"/>
              <w:rPr>
                <w:sz w:val="20"/>
                <w:szCs w:val="20"/>
                <w:color w:val="auto"/>
              </w:rPr>
            </w:pPr>
            <w:r>
              <w:rPr>
                <w:rFonts w:ascii="Arial" w:cs="Arial" w:eastAsia="Arial" w:hAnsi="Arial"/>
                <w:sz w:val="18"/>
                <w:szCs w:val="18"/>
                <w:color w:val="auto"/>
              </w:rPr>
              <w:t>Amortization expense</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409</w:t>
            </w:r>
          </w:p>
        </w:tc>
        <w:tc>
          <w:tcPr>
            <w:tcW w:w="280" w:type="dxa"/>
            <w:vAlign w:val="bottom"/>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407</w:t>
            </w:r>
          </w:p>
        </w:tc>
        <w:tc>
          <w:tcPr>
            <w:tcW w:w="380" w:type="dxa"/>
            <w:vAlign w:val="bottom"/>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810</w:t>
            </w:r>
          </w:p>
        </w:tc>
        <w:tc>
          <w:tcPr>
            <w:tcW w:w="280" w:type="dxa"/>
            <w:vAlign w:val="bottom"/>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808</w:t>
            </w:r>
          </w:p>
        </w:tc>
        <w:tc>
          <w:tcPr>
            <w:tcW w:w="0" w:type="dxa"/>
            <w:vAlign w:val="bottom"/>
          </w:tcPr>
          <w:p>
            <w:pPr>
              <w:spacing w:after="0"/>
              <w:rPr>
                <w:sz w:val="1"/>
                <w:szCs w:val="1"/>
                <w:color w:val="auto"/>
              </w:rPr>
            </w:pPr>
          </w:p>
        </w:tc>
      </w:tr>
      <w:tr>
        <w:trPr>
          <w:trHeight w:val="196"/>
        </w:trPr>
        <w:tc>
          <w:tcPr>
            <w:tcW w:w="550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1,925</w:t>
            </w:r>
          </w:p>
        </w:tc>
        <w:tc>
          <w:tcPr>
            <w:tcW w:w="280" w:type="dxa"/>
            <w:vAlign w:val="bottom"/>
          </w:tcPr>
          <w:p>
            <w:pPr>
              <w:spacing w:after="0"/>
              <w:rPr>
                <w:sz w:val="17"/>
                <w:szCs w:val="17"/>
                <w:color w:val="auto"/>
              </w:rPr>
            </w:pP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1,990</w:t>
            </w:r>
          </w:p>
        </w:tc>
        <w:tc>
          <w:tcPr>
            <w:tcW w:w="380" w:type="dxa"/>
            <w:vAlign w:val="bottom"/>
          </w:tcPr>
          <w:p>
            <w:pPr>
              <w:spacing w:after="0"/>
              <w:rPr>
                <w:sz w:val="17"/>
                <w:szCs w:val="17"/>
                <w:color w:val="auto"/>
              </w:rPr>
            </w:pPr>
          </w:p>
        </w:tc>
        <w:tc>
          <w:tcPr>
            <w:tcW w:w="11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3,855</w:t>
            </w:r>
          </w:p>
        </w:tc>
        <w:tc>
          <w:tcPr>
            <w:tcW w:w="280" w:type="dxa"/>
            <w:vAlign w:val="bottom"/>
          </w:tcPr>
          <w:p>
            <w:pPr>
              <w:spacing w:after="0"/>
              <w:rPr>
                <w:sz w:val="17"/>
                <w:szCs w:val="17"/>
                <w:color w:val="auto"/>
              </w:rPr>
            </w:pP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3,957</w:t>
            </w:r>
          </w:p>
        </w:tc>
        <w:tc>
          <w:tcPr>
            <w:tcW w:w="0" w:type="dxa"/>
            <w:vAlign w:val="bottom"/>
          </w:tcPr>
          <w:p>
            <w:pPr>
              <w:spacing w:after="0"/>
              <w:rPr>
                <w:sz w:val="1"/>
                <w:szCs w:val="1"/>
                <w:color w:val="auto"/>
              </w:rPr>
            </w:pPr>
          </w:p>
        </w:tc>
      </w:tr>
      <w:tr>
        <w:trPr>
          <w:trHeight w:val="232"/>
        </w:trPr>
        <w:tc>
          <w:tcPr>
            <w:tcW w:w="5500" w:type="dxa"/>
            <w:vAlign w:val="bottom"/>
            <w:vMerge w:val="continue"/>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3,079</w:t>
            </w:r>
          </w:p>
        </w:tc>
        <w:tc>
          <w:tcPr>
            <w:tcW w:w="28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3,435</w:t>
            </w:r>
          </w:p>
        </w:tc>
        <w:tc>
          <w:tcPr>
            <w:tcW w:w="38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5,837</w:t>
            </w:r>
          </w:p>
        </w:tc>
        <w:tc>
          <w:tcPr>
            <w:tcW w:w="28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6,502</w:t>
            </w:r>
          </w:p>
        </w:tc>
        <w:tc>
          <w:tcPr>
            <w:tcW w:w="0" w:type="dxa"/>
            <w:vAlign w:val="bottom"/>
          </w:tcPr>
          <w:p>
            <w:pPr>
              <w:spacing w:after="0"/>
              <w:rPr>
                <w:sz w:val="1"/>
                <w:szCs w:val="1"/>
                <w:color w:val="auto"/>
              </w:rPr>
            </w:pPr>
          </w:p>
        </w:tc>
      </w:tr>
      <w:tr>
        <w:trPr>
          <w:trHeight w:val="368"/>
        </w:trPr>
        <w:tc>
          <w:tcPr>
            <w:tcW w:w="5500" w:type="dxa"/>
            <w:vAlign w:val="bottom"/>
          </w:tcPr>
          <w:p>
            <w:pPr>
              <w:spacing w:after="0"/>
              <w:rPr>
                <w:sz w:val="20"/>
                <w:szCs w:val="20"/>
                <w:color w:val="auto"/>
              </w:rPr>
            </w:pPr>
            <w:r>
              <w:rPr>
                <w:rFonts w:ascii="Arial" w:cs="Arial" w:eastAsia="Arial" w:hAnsi="Arial"/>
                <w:sz w:val="18"/>
                <w:szCs w:val="18"/>
                <w:color w:val="auto"/>
              </w:rPr>
              <w:t>Other income (expense)</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(636)</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(1,289)</w:t>
            </w:r>
          </w:p>
        </w:tc>
        <w:tc>
          <w:tcPr>
            <w:tcW w:w="0" w:type="dxa"/>
            <w:vAlign w:val="bottom"/>
          </w:tcPr>
          <w:p>
            <w:pPr>
              <w:spacing w:after="0"/>
              <w:rPr>
                <w:sz w:val="1"/>
                <w:szCs w:val="1"/>
                <w:color w:val="auto"/>
              </w:rPr>
            </w:pPr>
          </w:p>
        </w:tc>
      </w:tr>
      <w:tr>
        <w:trPr>
          <w:trHeight w:val="181"/>
        </w:trPr>
        <w:tc>
          <w:tcPr>
            <w:tcW w:w="5500" w:type="dxa"/>
            <w:vAlign w:val="bottom"/>
          </w:tcPr>
          <w:p>
            <w:pPr>
              <w:ind w:left="180"/>
              <w:spacing w:after="0" w:line="181" w:lineRule="exact"/>
              <w:rPr>
                <w:sz w:val="20"/>
                <w:szCs w:val="20"/>
                <w:color w:val="auto"/>
              </w:rPr>
            </w:pPr>
            <w:r>
              <w:rPr>
                <w:rFonts w:ascii="Arial" w:cs="Arial" w:eastAsia="Arial" w:hAnsi="Arial"/>
                <w:sz w:val="18"/>
                <w:szCs w:val="18"/>
                <w:color w:val="auto"/>
              </w:rPr>
              <w:t>Interest expense</w:t>
            </w:r>
          </w:p>
        </w:tc>
        <w:tc>
          <w:tcPr>
            <w:tcW w:w="1140" w:type="dxa"/>
            <w:vAlign w:val="bottom"/>
          </w:tcPr>
          <w:p>
            <w:pPr>
              <w:jc w:val="right"/>
              <w:spacing w:after="0" w:line="181" w:lineRule="exact"/>
              <w:rPr>
                <w:sz w:val="20"/>
                <w:szCs w:val="20"/>
                <w:color w:val="auto"/>
              </w:rPr>
            </w:pPr>
            <w:r>
              <w:rPr>
                <w:rFonts w:ascii="Arial" w:cs="Arial" w:eastAsia="Arial" w:hAnsi="Arial"/>
                <w:sz w:val="18"/>
                <w:szCs w:val="18"/>
                <w:color w:val="auto"/>
              </w:rPr>
              <w:t>(625)</w:t>
            </w:r>
          </w:p>
        </w:tc>
        <w:tc>
          <w:tcPr>
            <w:tcW w:w="2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line="181" w:lineRule="exact"/>
              <w:rPr>
                <w:sz w:val="20"/>
                <w:szCs w:val="20"/>
                <w:color w:val="auto"/>
              </w:rPr>
            </w:pPr>
            <w:r>
              <w:rPr>
                <w:rFonts w:ascii="Arial" w:cs="Arial" w:eastAsia="Arial" w:hAnsi="Arial"/>
                <w:sz w:val="18"/>
                <w:szCs w:val="18"/>
                <w:color w:val="auto"/>
              </w:rPr>
              <w:t>(1,265)</w:t>
            </w:r>
          </w:p>
        </w:tc>
        <w:tc>
          <w:tcPr>
            <w:tcW w:w="2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00" w:type="dxa"/>
            <w:vAlign w:val="bottom"/>
          </w:tcPr>
          <w:p>
            <w:pPr>
              <w:ind w:left="180"/>
              <w:spacing w:after="0" w:line="202" w:lineRule="exact"/>
              <w:rPr>
                <w:sz w:val="20"/>
                <w:szCs w:val="20"/>
                <w:color w:val="auto"/>
              </w:rPr>
            </w:pPr>
            <w:r>
              <w:rPr>
                <w:rFonts w:ascii="Arial" w:cs="Arial" w:eastAsia="Arial" w:hAnsi="Arial"/>
                <w:sz w:val="18"/>
                <w:szCs w:val="18"/>
                <w:color w:val="auto"/>
              </w:rPr>
              <w:t>Investment income (loss), net</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w:t>
            </w:r>
          </w:p>
        </w:tc>
        <w:tc>
          <w:tcPr>
            <w:tcW w:w="28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13</w:t>
            </w:r>
          </w:p>
        </w:tc>
        <w:tc>
          <w:tcPr>
            <w:tcW w:w="380" w:type="dxa"/>
            <w:vAlign w:val="bottom"/>
          </w:tcPr>
          <w:p>
            <w:pPr>
              <w:spacing w:after="0"/>
              <w:rPr>
                <w:sz w:val="17"/>
                <w:szCs w:val="17"/>
                <w:color w:val="auto"/>
              </w:rPr>
            </w:pP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8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85</w:t>
            </w:r>
          </w:p>
        </w:tc>
        <w:tc>
          <w:tcPr>
            <w:tcW w:w="0" w:type="dxa"/>
            <w:vAlign w:val="bottom"/>
          </w:tcPr>
          <w:p>
            <w:pPr>
              <w:spacing w:after="0"/>
              <w:rPr>
                <w:sz w:val="1"/>
                <w:szCs w:val="1"/>
                <w:color w:val="auto"/>
              </w:rPr>
            </w:pPr>
          </w:p>
        </w:tc>
      </w:tr>
      <w:tr>
        <w:trPr>
          <w:trHeight w:val="203"/>
        </w:trPr>
        <w:tc>
          <w:tcPr>
            <w:tcW w:w="5500" w:type="dxa"/>
            <w:vAlign w:val="bottom"/>
          </w:tcPr>
          <w:p>
            <w:pPr>
              <w:ind w:left="18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w:t>
            </w:r>
          </w:p>
        </w:tc>
        <w:tc>
          <w:tcPr>
            <w:tcW w:w="28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23</w:t>
            </w:r>
          </w:p>
        </w:tc>
        <w:tc>
          <w:tcPr>
            <w:tcW w:w="380" w:type="dxa"/>
            <w:vAlign w:val="bottom"/>
          </w:tcPr>
          <w:p>
            <w:pPr>
              <w:spacing w:after="0"/>
              <w:rPr>
                <w:sz w:val="17"/>
                <w:szCs w:val="17"/>
                <w:color w:val="auto"/>
              </w:rPr>
            </w:pP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w:t>
            </w:r>
          </w:p>
        </w:tc>
        <w:tc>
          <w:tcPr>
            <w:tcW w:w="28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25"/>
        </w:trPr>
        <w:tc>
          <w:tcPr>
            <w:tcW w:w="550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w:t>
            </w:r>
          </w:p>
        </w:tc>
        <w:tc>
          <w:tcPr>
            <w:tcW w:w="3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196"/>
        </w:trPr>
        <w:tc>
          <w:tcPr>
            <w:tcW w:w="550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(635)</w:t>
            </w:r>
          </w:p>
        </w:tc>
        <w:tc>
          <w:tcPr>
            <w:tcW w:w="28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(643)</w:t>
            </w:r>
          </w:p>
        </w:tc>
        <w:tc>
          <w:tcPr>
            <w:tcW w:w="380" w:type="dxa"/>
            <w:vAlign w:val="bottom"/>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(1,196)</w:t>
            </w:r>
          </w:p>
        </w:tc>
        <w:tc>
          <w:tcPr>
            <w:tcW w:w="28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(1,140)</w:t>
            </w:r>
          </w:p>
        </w:tc>
        <w:tc>
          <w:tcPr>
            <w:tcW w:w="0" w:type="dxa"/>
            <w:vAlign w:val="bottom"/>
          </w:tcPr>
          <w:p>
            <w:pPr>
              <w:spacing w:after="0"/>
              <w:rPr>
                <w:sz w:val="1"/>
                <w:szCs w:val="1"/>
                <w:color w:val="auto"/>
              </w:rPr>
            </w:pPr>
          </w:p>
        </w:tc>
      </w:tr>
      <w:tr>
        <w:trPr>
          <w:trHeight w:val="412"/>
        </w:trPr>
        <w:tc>
          <w:tcPr>
            <w:tcW w:w="55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2,444</w:t>
            </w:r>
          </w:p>
        </w:tc>
        <w:tc>
          <w:tcPr>
            <w:tcW w:w="28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2,792</w:t>
            </w:r>
          </w:p>
        </w:tc>
        <w:tc>
          <w:tcPr>
            <w:tcW w:w="38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4,641</w:t>
            </w:r>
          </w:p>
        </w:tc>
        <w:tc>
          <w:tcPr>
            <w:tcW w:w="28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5,362</w:t>
            </w:r>
          </w:p>
        </w:tc>
        <w:tc>
          <w:tcPr>
            <w:tcW w:w="0" w:type="dxa"/>
            <w:vAlign w:val="bottom"/>
          </w:tcPr>
          <w:p>
            <w:pPr>
              <w:spacing w:after="0"/>
              <w:rPr>
                <w:sz w:val="1"/>
                <w:szCs w:val="1"/>
                <w:color w:val="auto"/>
              </w:rPr>
            </w:pPr>
          </w:p>
        </w:tc>
      </w:tr>
      <w:tr>
        <w:trPr>
          <w:trHeight w:val="392"/>
        </w:trPr>
        <w:tc>
          <w:tcPr>
            <w:tcW w:w="5500" w:type="dxa"/>
            <w:vAlign w:val="bottom"/>
          </w:tcPr>
          <w:p>
            <w:pPr>
              <w:spacing w:after="0"/>
              <w:rPr>
                <w:sz w:val="20"/>
                <w:szCs w:val="20"/>
                <w:color w:val="auto"/>
              </w:rPr>
            </w:pPr>
            <w:r>
              <w:rPr>
                <w:rFonts w:ascii="Arial" w:cs="Arial" w:eastAsia="Arial" w:hAnsi="Arial"/>
                <w:sz w:val="18"/>
                <w:szCs w:val="18"/>
                <w:color w:val="auto"/>
              </w:rPr>
              <w:t>Income tax expense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28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(1,048)</w:t>
            </w:r>
          </w:p>
        </w:tc>
        <w:tc>
          <w:tcPr>
            <w:tcW w:w="38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w:t>
            </w:r>
          </w:p>
        </w:tc>
        <w:tc>
          <w:tcPr>
            <w:tcW w:w="28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(1,973)</w:t>
            </w:r>
          </w:p>
        </w:tc>
        <w:tc>
          <w:tcPr>
            <w:tcW w:w="0" w:type="dxa"/>
            <w:vAlign w:val="bottom"/>
          </w:tcPr>
          <w:p>
            <w:pPr>
              <w:spacing w:after="0"/>
              <w:rPr>
                <w:sz w:val="1"/>
                <w:szCs w:val="1"/>
                <w:color w:val="auto"/>
              </w:rPr>
            </w:pPr>
          </w:p>
        </w:tc>
      </w:tr>
      <w:tr>
        <w:trPr>
          <w:trHeight w:val="412"/>
        </w:trPr>
        <w:tc>
          <w:tcPr>
            <w:tcW w:w="55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1,633</w:t>
            </w:r>
          </w:p>
        </w:tc>
        <w:tc>
          <w:tcPr>
            <w:tcW w:w="28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1,744</w:t>
            </w:r>
          </w:p>
        </w:tc>
        <w:tc>
          <w:tcPr>
            <w:tcW w:w="38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3,080</w:t>
            </w:r>
          </w:p>
        </w:tc>
        <w:tc>
          <w:tcPr>
            <w:tcW w:w="28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3,389</w:t>
            </w:r>
          </w:p>
        </w:tc>
        <w:tc>
          <w:tcPr>
            <w:tcW w:w="0" w:type="dxa"/>
            <w:vAlign w:val="bottom"/>
          </w:tcPr>
          <w:p>
            <w:pPr>
              <w:spacing w:after="0"/>
              <w:rPr>
                <w:sz w:val="1"/>
                <w:szCs w:val="1"/>
                <w:color w:val="auto"/>
              </w:rPr>
            </w:pPr>
          </w:p>
        </w:tc>
      </w:tr>
      <w:tr>
        <w:trPr>
          <w:trHeight w:val="391"/>
        </w:trPr>
        <w:tc>
          <w:tcPr>
            <w:tcW w:w="5500" w:type="dxa"/>
            <w:vAlign w:val="bottom"/>
          </w:tcPr>
          <w:p>
            <w:pPr>
              <w:ind w:left="180"/>
              <w:spacing w:after="0"/>
              <w:rPr>
                <w:sz w:val="20"/>
                <w:szCs w:val="20"/>
                <w:color w:val="auto"/>
              </w:rPr>
            </w:pPr>
            <w:r>
              <w:rPr>
                <w:rFonts w:ascii="Arial" w:cs="Arial" w:eastAsia="Arial" w:hAnsi="Arial"/>
                <w:sz w:val="18"/>
                <w:szCs w:val="18"/>
                <w:color w:val="auto"/>
              </w:rPr>
              <w:t>Net (income) loss attributable to noncontrolling interests and</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(218)</w:t>
            </w:r>
          </w:p>
        </w:tc>
        <w:tc>
          <w:tcPr>
            <w:tcW w:w="0" w:type="dxa"/>
            <w:vAlign w:val="bottom"/>
          </w:tcPr>
          <w:p>
            <w:pPr>
              <w:spacing w:after="0"/>
              <w:rPr>
                <w:sz w:val="1"/>
                <w:szCs w:val="1"/>
                <w:color w:val="auto"/>
              </w:rPr>
            </w:pPr>
          </w:p>
        </w:tc>
      </w:tr>
      <w:tr>
        <w:trPr>
          <w:trHeight w:val="217"/>
        </w:trPr>
        <w:tc>
          <w:tcPr>
            <w:tcW w:w="5500" w:type="dxa"/>
            <w:vAlign w:val="bottom"/>
          </w:tcPr>
          <w:p>
            <w:pPr>
              <w:ind w:left="360"/>
              <w:spacing w:after="0"/>
              <w:rPr>
                <w:sz w:val="20"/>
                <w:szCs w:val="20"/>
                <w:color w:val="auto"/>
              </w:rPr>
            </w:pPr>
            <w:r>
              <w:rPr>
                <w:rFonts w:ascii="Arial" w:cs="Arial" w:eastAsia="Arial" w:hAnsi="Arial"/>
                <w:sz w:val="18"/>
                <w:szCs w:val="18"/>
                <w:color w:val="auto"/>
              </w:rPr>
              <w:t>redeemable subsidiary preferred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(285)</w:t>
            </w:r>
          </w:p>
        </w:tc>
        <w:tc>
          <w:tcPr>
            <w:tcW w:w="2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(508)</w:t>
            </w:r>
          </w:p>
        </w:tc>
        <w:tc>
          <w:tcPr>
            <w:tcW w:w="2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500" w:type="dxa"/>
            <w:vAlign w:val="bottom"/>
            <w:vMerge w:val="restart"/>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11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00" w:type="dxa"/>
            <w:vAlign w:val="bottom"/>
            <w:vMerge w:val="continue"/>
          </w:tcPr>
          <w:p>
            <w:pPr>
              <w:spacing w:after="0"/>
              <w:rPr>
                <w:sz w:val="17"/>
                <w:szCs w:val="17"/>
                <w:color w:val="auto"/>
              </w:rPr>
            </w:pP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$1,348</w:t>
            </w:r>
          </w:p>
        </w:tc>
        <w:tc>
          <w:tcPr>
            <w:tcW w:w="280" w:type="dxa"/>
            <w:vAlign w:val="bottom"/>
          </w:tcPr>
          <w:p>
            <w:pPr>
              <w:spacing w:after="0"/>
              <w:rPr>
                <w:sz w:val="17"/>
                <w:szCs w:val="17"/>
                <w:color w:val="auto"/>
              </w:rPr>
            </w:pP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$1,734</w:t>
            </w:r>
          </w:p>
        </w:tc>
        <w:tc>
          <w:tcPr>
            <w:tcW w:w="380" w:type="dxa"/>
            <w:vAlign w:val="bottom"/>
          </w:tcPr>
          <w:p>
            <w:pPr>
              <w:spacing w:after="0"/>
              <w:rPr>
                <w:sz w:val="17"/>
                <w:szCs w:val="17"/>
                <w:color w:val="auto"/>
              </w:rPr>
            </w:pPr>
          </w:p>
        </w:tc>
        <w:tc>
          <w:tcPr>
            <w:tcW w:w="11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$2,572</w:t>
            </w:r>
          </w:p>
        </w:tc>
        <w:tc>
          <w:tcPr>
            <w:tcW w:w="280" w:type="dxa"/>
            <w:vAlign w:val="bottom"/>
          </w:tcPr>
          <w:p>
            <w:pPr>
              <w:spacing w:after="0"/>
              <w:rPr>
                <w:sz w:val="17"/>
                <w:szCs w:val="17"/>
                <w:color w:val="auto"/>
              </w:rPr>
            </w:pP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$3,171</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per common share attributable to Comcast</w:t>
            </w: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550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$0.65</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$1.19</w:t>
            </w:r>
          </w:p>
        </w:tc>
        <w:tc>
          <w:tcPr>
            <w:tcW w:w="0" w:type="dxa"/>
            <w:vAlign w:val="bottom"/>
          </w:tcPr>
          <w:p>
            <w:pPr>
              <w:spacing w:after="0"/>
              <w:rPr>
                <w:sz w:val="1"/>
                <w:szCs w:val="1"/>
                <w:color w:val="auto"/>
              </w:rPr>
            </w:pPr>
          </w:p>
        </w:tc>
      </w:tr>
      <w:tr>
        <w:trPr>
          <w:trHeight w:val="212"/>
        </w:trPr>
        <w:tc>
          <w:tcPr>
            <w:tcW w:w="5500" w:type="dxa"/>
            <w:vAlign w:val="bottom"/>
          </w:tcPr>
          <w:p>
            <w:pPr>
              <w:ind w:left="180"/>
              <w:spacing w:after="0"/>
              <w:rPr>
                <w:sz w:val="20"/>
                <w:szCs w:val="20"/>
                <w:color w:val="auto"/>
              </w:rPr>
            </w:pPr>
            <w:r>
              <w:rPr>
                <w:rFonts w:ascii="Arial" w:cs="Arial" w:eastAsia="Arial" w:hAnsi="Arial"/>
                <w:sz w:val="18"/>
                <w:szCs w:val="18"/>
                <w:b w:val="1"/>
                <w:bCs w:val="1"/>
                <w:color w:val="auto"/>
              </w:rPr>
              <w:t>Corporation shareholders</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$0.50</w:t>
            </w:r>
          </w:p>
        </w:tc>
        <w:tc>
          <w:tcPr>
            <w:tcW w:w="280" w:type="dxa"/>
            <w:vAlign w:val="bottom"/>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$0.94</w:t>
            </w:r>
          </w:p>
        </w:tc>
        <w:tc>
          <w:tcPr>
            <w:tcW w:w="280" w:type="dxa"/>
            <w:vAlign w:val="bottom"/>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b w:val="1"/>
                <w:bCs w:val="1"/>
                <w:color w:val="auto"/>
              </w:rPr>
              <w:t>Dividends declared per common share attributable to</w:t>
            </w: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550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$0.195</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$0.39</w:t>
            </w:r>
          </w:p>
        </w:tc>
        <w:tc>
          <w:tcPr>
            <w:tcW w:w="0" w:type="dxa"/>
            <w:vAlign w:val="bottom"/>
          </w:tcPr>
          <w:p>
            <w:pPr>
              <w:spacing w:after="0"/>
              <w:rPr>
                <w:sz w:val="1"/>
                <w:szCs w:val="1"/>
                <w:color w:val="auto"/>
              </w:rPr>
            </w:pPr>
          </w:p>
        </w:tc>
      </w:tr>
      <w:tr>
        <w:trPr>
          <w:trHeight w:val="212"/>
        </w:trPr>
        <w:tc>
          <w:tcPr>
            <w:tcW w:w="5500" w:type="dxa"/>
            <w:vAlign w:val="bottom"/>
          </w:tcPr>
          <w:p>
            <w:pPr>
              <w:ind w:left="180"/>
              <w:spacing w:after="0"/>
              <w:rPr>
                <w:sz w:val="20"/>
                <w:szCs w:val="20"/>
                <w:color w:val="auto"/>
              </w:rPr>
            </w:pPr>
            <w:r>
              <w:rPr>
                <w:rFonts w:ascii="Arial" w:cs="Arial" w:eastAsia="Arial" w:hAnsi="Arial"/>
                <w:sz w:val="18"/>
                <w:szCs w:val="18"/>
                <w:b w:val="1"/>
                <w:bCs w:val="1"/>
                <w:color w:val="auto"/>
              </w:rPr>
              <w:t>Comcast Corporation shareholders</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$0.1625</w:t>
            </w:r>
          </w:p>
        </w:tc>
        <w:tc>
          <w:tcPr>
            <w:tcW w:w="280" w:type="dxa"/>
            <w:vAlign w:val="bottom"/>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$0.325</w:t>
            </w:r>
          </w:p>
        </w:tc>
        <w:tc>
          <w:tcPr>
            <w:tcW w:w="280" w:type="dxa"/>
            <w:vAlign w:val="bottom"/>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5500" w:type="dxa"/>
            <w:vAlign w:val="bottom"/>
          </w:tcPr>
          <w:p>
            <w:pPr>
              <w:spacing w:after="0"/>
              <w:rPr>
                <w:sz w:val="20"/>
                <w:szCs w:val="20"/>
                <w:color w:val="auto"/>
              </w:rPr>
            </w:pPr>
            <w:r>
              <w:rPr>
                <w:rFonts w:ascii="Arial" w:cs="Arial" w:eastAsia="Arial" w:hAnsi="Arial"/>
                <w:sz w:val="18"/>
                <w:szCs w:val="18"/>
                <w:color w:val="auto"/>
              </w:rPr>
              <w:t>Diluted weighted-average number of common shares</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2,717</w:t>
            </w:r>
          </w:p>
        </w:tc>
        <w:tc>
          <w:tcPr>
            <w:tcW w:w="280" w:type="dxa"/>
            <w:vAlign w:val="bottom"/>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2,666</w:t>
            </w:r>
          </w:p>
        </w:tc>
        <w:tc>
          <w:tcPr>
            <w:tcW w:w="380" w:type="dxa"/>
            <w:vAlign w:val="bottom"/>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2,733</w:t>
            </w:r>
          </w:p>
        </w:tc>
        <w:tc>
          <w:tcPr>
            <w:tcW w:w="280" w:type="dxa"/>
            <w:vAlign w:val="bottom"/>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2,672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4032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5"/>
          <w:szCs w:val="25"/>
          <w:b w:val="1"/>
          <w:bCs w:val="1"/>
          <w:color w:val="808080"/>
        </w:rPr>
        <w:t>TABLE 2</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808080"/>
        </w:rPr>
        <w:t>Condensed Consolidated Balance Sheet (Unaudited)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640" w:type="dxa"/>
            <w:vAlign w:val="bottom"/>
          </w:tcPr>
          <w:p>
            <w:pPr>
              <w:spacing w:after="0"/>
              <w:rPr>
                <w:sz w:val="20"/>
                <w:szCs w:val="20"/>
                <w:color w:val="auto"/>
              </w:rPr>
            </w:pPr>
            <w:r>
              <w:rPr>
                <w:rFonts w:ascii="Arial" w:cs="Arial" w:eastAsia="Arial" w:hAnsi="Arial"/>
                <w:sz w:val="18"/>
                <w:szCs w:val="18"/>
                <w:color w:val="auto"/>
              </w:rPr>
              <w:t>(in millions)</w:t>
            </w:r>
          </w:p>
        </w:tc>
        <w:tc>
          <w:tcPr>
            <w:tcW w:w="1840" w:type="dxa"/>
            <w:vAlign w:val="bottom"/>
            <w:gridSpan w:val="2"/>
          </w:tcPr>
          <w:p>
            <w:pPr>
              <w:ind w:left="220"/>
              <w:spacing w:after="0"/>
              <w:rPr>
                <w:sz w:val="20"/>
                <w:szCs w:val="20"/>
                <w:color w:val="auto"/>
              </w:rPr>
            </w:pPr>
            <w:r>
              <w:rPr>
                <w:rFonts w:ascii="Arial" w:cs="Arial" w:eastAsia="Arial" w:hAnsi="Arial"/>
                <w:sz w:val="18"/>
                <w:szCs w:val="18"/>
                <w:color w:val="auto"/>
              </w:rPr>
              <w:t>December 31,</w:t>
            </w:r>
          </w:p>
        </w:tc>
        <w:tc>
          <w:tcPr>
            <w:tcW w:w="154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25"/>
        </w:trPr>
        <w:tc>
          <w:tcPr>
            <w:tcW w:w="76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5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2012</w:t>
            </w:r>
          </w:p>
        </w:tc>
        <w:tc>
          <w:tcPr>
            <w:tcW w:w="300" w:type="dxa"/>
            <w:vAlign w:val="bottom"/>
          </w:tcPr>
          <w:p>
            <w:pPr>
              <w:spacing w:after="0"/>
              <w:rPr>
                <w:sz w:val="19"/>
                <w:szCs w:val="19"/>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196"/>
        </w:trPr>
        <w:tc>
          <w:tcPr>
            <w:tcW w:w="764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7640" w:type="dxa"/>
            <w:vAlign w:val="bottom"/>
          </w:tcPr>
          <w:p>
            <w:pPr>
              <w:ind w:left="120"/>
              <w:spacing w:after="0"/>
              <w:rPr>
                <w:sz w:val="20"/>
                <w:szCs w:val="20"/>
                <w:color w:val="auto"/>
              </w:rPr>
            </w:pPr>
            <w:r>
              <w:rPr>
                <w:rFonts w:ascii="Arial" w:cs="Arial" w:eastAsia="Arial" w:hAnsi="Arial"/>
                <w:sz w:val="18"/>
                <w:szCs w:val="18"/>
                <w:color w:val="auto"/>
              </w:rPr>
              <w:t>Current Assets</w:t>
            </w: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$1,389</w:t>
            </w:r>
          </w:p>
        </w:tc>
        <w:tc>
          <w:tcPr>
            <w:tcW w:w="0" w:type="dxa"/>
            <w:vAlign w:val="bottom"/>
          </w:tcPr>
          <w:p>
            <w:pPr>
              <w:spacing w:after="0"/>
              <w:rPr>
                <w:sz w:val="1"/>
                <w:szCs w:val="1"/>
                <w:color w:val="auto"/>
              </w:rPr>
            </w:pPr>
          </w:p>
        </w:tc>
      </w:tr>
      <w:tr>
        <w:trPr>
          <w:trHeight w:val="181"/>
        </w:trPr>
        <w:tc>
          <w:tcPr>
            <w:tcW w:w="7640" w:type="dxa"/>
            <w:vAlign w:val="bottom"/>
          </w:tcPr>
          <w:p>
            <w:pPr>
              <w:ind w:left="280"/>
              <w:spacing w:after="0" w:line="181" w:lineRule="exact"/>
              <w:rPr>
                <w:sz w:val="20"/>
                <w:szCs w:val="20"/>
                <w:color w:val="auto"/>
              </w:rPr>
            </w:pPr>
            <w:r>
              <w:rPr>
                <w:rFonts w:ascii="Arial" w:cs="Arial" w:eastAsia="Arial" w:hAnsi="Arial"/>
                <w:sz w:val="18"/>
                <w:szCs w:val="18"/>
                <w:color w:val="auto"/>
              </w:rPr>
              <w:t>Cash and cash equivalents</w:t>
            </w:r>
          </w:p>
        </w:tc>
        <w:tc>
          <w:tcPr>
            <w:tcW w:w="1540" w:type="dxa"/>
            <w:vAlign w:val="bottom"/>
          </w:tcPr>
          <w:p>
            <w:pPr>
              <w:jc w:val="right"/>
              <w:spacing w:after="0" w:line="181" w:lineRule="exact"/>
              <w:rPr>
                <w:sz w:val="20"/>
                <w:szCs w:val="20"/>
                <w:color w:val="auto"/>
              </w:rPr>
            </w:pPr>
            <w:r>
              <w:rPr>
                <w:rFonts w:ascii="Arial" w:cs="Arial" w:eastAsia="Arial" w:hAnsi="Arial"/>
                <w:sz w:val="18"/>
                <w:szCs w:val="18"/>
                <w:color w:val="auto"/>
              </w:rPr>
              <w:t>$10,951</w:t>
            </w:r>
          </w:p>
        </w:tc>
        <w:tc>
          <w:tcPr>
            <w:tcW w:w="30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80"/>
              <w:spacing w:after="0" w:line="202" w:lineRule="exact"/>
              <w:rPr>
                <w:sz w:val="20"/>
                <w:szCs w:val="20"/>
                <w:color w:val="auto"/>
              </w:rPr>
            </w:pPr>
            <w:r>
              <w:rPr>
                <w:rFonts w:ascii="Arial" w:cs="Arial" w:eastAsia="Arial" w:hAnsi="Arial"/>
                <w:sz w:val="18"/>
                <w:szCs w:val="18"/>
                <w:color w:val="auto"/>
              </w:rPr>
              <w:t>Investments</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1,464</w:t>
            </w:r>
          </w:p>
        </w:tc>
        <w:tc>
          <w:tcPr>
            <w:tcW w:w="3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3,765</w:t>
            </w:r>
          </w:p>
        </w:tc>
        <w:tc>
          <w:tcPr>
            <w:tcW w:w="0" w:type="dxa"/>
            <w:vAlign w:val="bottom"/>
          </w:tcPr>
          <w:p>
            <w:pPr>
              <w:spacing w:after="0"/>
              <w:rPr>
                <w:sz w:val="1"/>
                <w:szCs w:val="1"/>
                <w:color w:val="auto"/>
              </w:rPr>
            </w:pPr>
          </w:p>
        </w:tc>
      </w:tr>
      <w:tr>
        <w:trPr>
          <w:trHeight w:val="203"/>
        </w:trPr>
        <w:tc>
          <w:tcPr>
            <w:tcW w:w="7640" w:type="dxa"/>
            <w:vAlign w:val="bottom"/>
          </w:tcPr>
          <w:p>
            <w:pPr>
              <w:ind w:left="280"/>
              <w:spacing w:after="0" w:line="202" w:lineRule="exact"/>
              <w:rPr>
                <w:sz w:val="20"/>
                <w:szCs w:val="20"/>
                <w:color w:val="auto"/>
              </w:rPr>
            </w:pPr>
            <w:r>
              <w:rPr>
                <w:rFonts w:ascii="Arial" w:cs="Arial" w:eastAsia="Arial" w:hAnsi="Arial"/>
                <w:sz w:val="18"/>
                <w:szCs w:val="18"/>
                <w:color w:val="auto"/>
              </w:rPr>
              <w:t>Receivables, net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5,521</w:t>
            </w:r>
          </w:p>
        </w:tc>
        <w:tc>
          <w:tcPr>
            <w:tcW w:w="3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5,507</w:t>
            </w:r>
          </w:p>
        </w:tc>
        <w:tc>
          <w:tcPr>
            <w:tcW w:w="0" w:type="dxa"/>
            <w:vAlign w:val="bottom"/>
          </w:tcPr>
          <w:p>
            <w:pPr>
              <w:spacing w:after="0"/>
              <w:rPr>
                <w:sz w:val="1"/>
                <w:szCs w:val="1"/>
                <w:color w:val="auto"/>
              </w:rPr>
            </w:pPr>
          </w:p>
        </w:tc>
      </w:tr>
      <w:tr>
        <w:trPr>
          <w:trHeight w:val="203"/>
        </w:trPr>
        <w:tc>
          <w:tcPr>
            <w:tcW w:w="7640" w:type="dxa"/>
            <w:vAlign w:val="bottom"/>
          </w:tcPr>
          <w:p>
            <w:pPr>
              <w:ind w:left="280"/>
              <w:spacing w:after="0" w:line="202" w:lineRule="exact"/>
              <w:rPr>
                <w:sz w:val="20"/>
                <w:szCs w:val="20"/>
                <w:color w:val="auto"/>
              </w:rPr>
            </w:pPr>
            <w:r>
              <w:rPr>
                <w:rFonts w:ascii="Arial" w:cs="Arial" w:eastAsia="Arial" w:hAnsi="Arial"/>
                <w:sz w:val="18"/>
                <w:szCs w:val="18"/>
                <w:color w:val="auto"/>
              </w:rPr>
              <w:t>Programming rights</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909</w:t>
            </w:r>
          </w:p>
        </w:tc>
        <w:tc>
          <w:tcPr>
            <w:tcW w:w="3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859</w:t>
            </w:r>
          </w:p>
        </w:tc>
        <w:tc>
          <w:tcPr>
            <w:tcW w:w="0" w:type="dxa"/>
            <w:vAlign w:val="bottom"/>
          </w:tcPr>
          <w:p>
            <w:pPr>
              <w:spacing w:after="0"/>
              <w:rPr>
                <w:sz w:val="1"/>
                <w:szCs w:val="1"/>
                <w:color w:val="auto"/>
              </w:rPr>
            </w:pPr>
          </w:p>
        </w:tc>
      </w:tr>
      <w:tr>
        <w:trPr>
          <w:trHeight w:val="225"/>
        </w:trPr>
        <w:tc>
          <w:tcPr>
            <w:tcW w:w="764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3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1,215</w:t>
            </w:r>
          </w:p>
        </w:tc>
        <w:tc>
          <w:tcPr>
            <w:tcW w:w="0" w:type="dxa"/>
            <w:vAlign w:val="bottom"/>
          </w:tcPr>
          <w:p>
            <w:pPr>
              <w:spacing w:after="0"/>
              <w:rPr>
                <w:sz w:val="1"/>
                <w:szCs w:val="1"/>
                <w:color w:val="auto"/>
              </w:rPr>
            </w:pPr>
          </w:p>
        </w:tc>
      </w:tr>
      <w:tr>
        <w:trPr>
          <w:trHeight w:val="196"/>
        </w:trPr>
        <w:tc>
          <w:tcPr>
            <w:tcW w:w="7640" w:type="dxa"/>
            <w:vAlign w:val="bottom"/>
          </w:tcPr>
          <w:p>
            <w:pPr>
              <w:ind w:left="420"/>
              <w:spacing w:after="0" w:line="196" w:lineRule="exact"/>
              <w:rPr>
                <w:sz w:val="20"/>
                <w:szCs w:val="20"/>
                <w:color w:val="auto"/>
              </w:rPr>
            </w:pPr>
            <w:r>
              <w:rPr>
                <w:rFonts w:ascii="Arial" w:cs="Arial" w:eastAsia="Arial" w:hAnsi="Arial"/>
                <w:sz w:val="18"/>
                <w:szCs w:val="18"/>
                <w:color w:val="auto"/>
              </w:rPr>
              <w:t>Total current assets</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19,991</w:t>
            </w:r>
          </w:p>
        </w:tc>
        <w:tc>
          <w:tcPr>
            <w:tcW w:w="300" w:type="dxa"/>
            <w:vAlign w:val="bottom"/>
          </w:tcPr>
          <w:p>
            <w:pPr>
              <w:spacing w:after="0"/>
              <w:rPr>
                <w:sz w:val="17"/>
                <w:szCs w:val="17"/>
                <w:color w:val="auto"/>
              </w:rPr>
            </w:pP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12,735</w:t>
            </w:r>
          </w:p>
        </w:tc>
        <w:tc>
          <w:tcPr>
            <w:tcW w:w="0" w:type="dxa"/>
            <w:vAlign w:val="bottom"/>
          </w:tcPr>
          <w:p>
            <w:pPr>
              <w:spacing w:after="0"/>
              <w:rPr>
                <w:sz w:val="1"/>
                <w:szCs w:val="1"/>
                <w:color w:val="auto"/>
              </w:rPr>
            </w:pPr>
          </w:p>
        </w:tc>
      </w:tr>
      <w:tr>
        <w:trPr>
          <w:trHeight w:val="412"/>
        </w:trPr>
        <w:tc>
          <w:tcPr>
            <w:tcW w:w="7640" w:type="dxa"/>
            <w:vAlign w:val="bottom"/>
          </w:tcPr>
          <w:p>
            <w:pPr>
              <w:ind w:left="180"/>
              <w:spacing w:after="0"/>
              <w:rPr>
                <w:sz w:val="20"/>
                <w:szCs w:val="20"/>
                <w:color w:val="auto"/>
              </w:rPr>
            </w:pPr>
            <w:r>
              <w:rPr>
                <w:rFonts w:ascii="Arial" w:cs="Arial" w:eastAsia="Arial" w:hAnsi="Arial"/>
                <w:sz w:val="18"/>
                <w:szCs w:val="18"/>
                <w:color w:val="auto"/>
              </w:rPr>
              <w:t>Film and television costs</w:t>
            </w:r>
          </w:p>
        </w:tc>
        <w:tc>
          <w:tcPr>
            <w:tcW w:w="1540" w:type="dxa"/>
            <w:vAlign w:val="bottom"/>
          </w:tcPr>
          <w:p>
            <w:pPr>
              <w:jc w:val="right"/>
              <w:spacing w:after="0"/>
              <w:rPr>
                <w:sz w:val="20"/>
                <w:szCs w:val="20"/>
                <w:color w:val="auto"/>
              </w:rPr>
            </w:pPr>
            <w:r>
              <w:rPr>
                <w:rFonts w:ascii="Arial" w:cs="Arial" w:eastAsia="Arial" w:hAnsi="Arial"/>
                <w:sz w:val="18"/>
                <w:szCs w:val="18"/>
                <w:color w:val="auto"/>
              </w:rPr>
              <w:t>5,054</w:t>
            </w:r>
          </w:p>
        </w:tc>
        <w:tc>
          <w:tcPr>
            <w:tcW w:w="3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4,340</w:t>
            </w:r>
          </w:p>
        </w:tc>
        <w:tc>
          <w:tcPr>
            <w:tcW w:w="0" w:type="dxa"/>
            <w:vAlign w:val="bottom"/>
          </w:tcPr>
          <w:p>
            <w:pPr>
              <w:spacing w:after="0"/>
              <w:rPr>
                <w:sz w:val="1"/>
                <w:szCs w:val="1"/>
                <w:color w:val="auto"/>
              </w:rPr>
            </w:pPr>
          </w:p>
        </w:tc>
      </w:tr>
      <w:tr>
        <w:trPr>
          <w:trHeight w:val="405"/>
        </w:trPr>
        <w:tc>
          <w:tcPr>
            <w:tcW w:w="764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1540" w:type="dxa"/>
            <w:vAlign w:val="bottom"/>
          </w:tcPr>
          <w:p>
            <w:pPr>
              <w:jc w:val="right"/>
              <w:spacing w:after="0"/>
              <w:rPr>
                <w:sz w:val="20"/>
                <w:szCs w:val="20"/>
                <w:color w:val="auto"/>
              </w:rPr>
            </w:pPr>
            <w:r>
              <w:rPr>
                <w:rFonts w:ascii="Arial" w:cs="Arial" w:eastAsia="Arial" w:hAnsi="Arial"/>
                <w:sz w:val="18"/>
                <w:szCs w:val="18"/>
                <w:color w:val="auto"/>
              </w:rPr>
              <w:t>6,325</w:t>
            </w:r>
          </w:p>
        </w:tc>
        <w:tc>
          <w:tcPr>
            <w:tcW w:w="3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5,299</w:t>
            </w:r>
          </w:p>
        </w:tc>
        <w:tc>
          <w:tcPr>
            <w:tcW w:w="0" w:type="dxa"/>
            <w:vAlign w:val="bottom"/>
          </w:tcPr>
          <w:p>
            <w:pPr>
              <w:spacing w:after="0"/>
              <w:rPr>
                <w:sz w:val="1"/>
                <w:szCs w:val="1"/>
                <w:color w:val="auto"/>
              </w:rPr>
            </w:pPr>
          </w:p>
        </w:tc>
      </w:tr>
      <w:tr>
        <w:trPr>
          <w:trHeight w:val="405"/>
        </w:trPr>
        <w:tc>
          <w:tcPr>
            <w:tcW w:w="764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540" w:type="dxa"/>
            <w:vAlign w:val="bottom"/>
          </w:tcPr>
          <w:p>
            <w:pPr>
              <w:jc w:val="right"/>
              <w:spacing w:after="0"/>
              <w:rPr>
                <w:sz w:val="20"/>
                <w:szCs w:val="20"/>
                <w:color w:val="auto"/>
              </w:rPr>
            </w:pPr>
            <w:r>
              <w:rPr>
                <w:rFonts w:ascii="Arial" w:cs="Arial" w:eastAsia="Arial" w:hAnsi="Arial"/>
                <w:sz w:val="18"/>
                <w:szCs w:val="18"/>
                <w:color w:val="auto"/>
              </w:rPr>
              <w:t>27,232</w:t>
            </w:r>
          </w:p>
        </w:tc>
        <w:tc>
          <w:tcPr>
            <w:tcW w:w="3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28,255</w:t>
            </w:r>
          </w:p>
        </w:tc>
        <w:tc>
          <w:tcPr>
            <w:tcW w:w="0" w:type="dxa"/>
            <w:vAlign w:val="bottom"/>
          </w:tcPr>
          <w:p>
            <w:pPr>
              <w:spacing w:after="0"/>
              <w:rPr>
                <w:sz w:val="1"/>
                <w:szCs w:val="1"/>
                <w:color w:val="auto"/>
              </w:rPr>
            </w:pPr>
          </w:p>
        </w:tc>
      </w:tr>
      <w:tr>
        <w:trPr>
          <w:trHeight w:val="405"/>
        </w:trPr>
        <w:tc>
          <w:tcPr>
            <w:tcW w:w="7640" w:type="dxa"/>
            <w:vAlign w:val="bottom"/>
          </w:tcPr>
          <w:p>
            <w:pPr>
              <w:ind w:left="180"/>
              <w:spacing w:after="0"/>
              <w:rPr>
                <w:sz w:val="20"/>
                <w:szCs w:val="20"/>
                <w:color w:val="auto"/>
              </w:rPr>
            </w:pPr>
            <w:r>
              <w:rPr>
                <w:rFonts w:ascii="Arial" w:cs="Arial" w:eastAsia="Arial" w:hAnsi="Arial"/>
                <w:sz w:val="18"/>
                <w:szCs w:val="18"/>
                <w:color w:val="auto"/>
              </w:rPr>
              <w:t>Franchise rights</w:t>
            </w:r>
          </w:p>
        </w:tc>
        <w:tc>
          <w:tcPr>
            <w:tcW w:w="1540" w:type="dxa"/>
            <w:vAlign w:val="bottom"/>
          </w:tcPr>
          <w:p>
            <w:pPr>
              <w:jc w:val="right"/>
              <w:spacing w:after="0"/>
              <w:rPr>
                <w:sz w:val="20"/>
                <w:szCs w:val="20"/>
                <w:color w:val="auto"/>
              </w:rPr>
            </w:pPr>
            <w:r>
              <w:rPr>
                <w:rFonts w:ascii="Arial" w:cs="Arial" w:eastAsia="Arial" w:hAnsi="Arial"/>
                <w:sz w:val="18"/>
                <w:szCs w:val="18"/>
                <w:color w:val="auto"/>
              </w:rPr>
              <w:t>59,364</w:t>
            </w:r>
          </w:p>
        </w:tc>
        <w:tc>
          <w:tcPr>
            <w:tcW w:w="3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59,364</w:t>
            </w:r>
          </w:p>
        </w:tc>
        <w:tc>
          <w:tcPr>
            <w:tcW w:w="0" w:type="dxa"/>
            <w:vAlign w:val="bottom"/>
          </w:tcPr>
          <w:p>
            <w:pPr>
              <w:spacing w:after="0"/>
              <w:rPr>
                <w:sz w:val="1"/>
                <w:szCs w:val="1"/>
                <w:color w:val="auto"/>
              </w:rPr>
            </w:pPr>
          </w:p>
        </w:tc>
      </w:tr>
      <w:tr>
        <w:trPr>
          <w:trHeight w:val="405"/>
        </w:trPr>
        <w:tc>
          <w:tcPr>
            <w:tcW w:w="76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540" w:type="dxa"/>
            <w:vAlign w:val="bottom"/>
          </w:tcPr>
          <w:p>
            <w:pPr>
              <w:jc w:val="right"/>
              <w:spacing w:after="0"/>
              <w:rPr>
                <w:sz w:val="20"/>
                <w:szCs w:val="20"/>
                <w:color w:val="auto"/>
              </w:rPr>
            </w:pPr>
            <w:r>
              <w:rPr>
                <w:rFonts w:ascii="Arial" w:cs="Arial" w:eastAsia="Arial" w:hAnsi="Arial"/>
                <w:sz w:val="18"/>
                <w:szCs w:val="18"/>
                <w:color w:val="auto"/>
              </w:rPr>
              <w:t>26,985</w:t>
            </w:r>
          </w:p>
        </w:tc>
        <w:tc>
          <w:tcPr>
            <w:tcW w:w="3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27,075</w:t>
            </w:r>
          </w:p>
        </w:tc>
        <w:tc>
          <w:tcPr>
            <w:tcW w:w="0" w:type="dxa"/>
            <w:vAlign w:val="bottom"/>
          </w:tcPr>
          <w:p>
            <w:pPr>
              <w:spacing w:after="0"/>
              <w:rPr>
                <w:sz w:val="1"/>
                <w:szCs w:val="1"/>
                <w:color w:val="auto"/>
              </w:rPr>
            </w:pPr>
          </w:p>
        </w:tc>
      </w:tr>
      <w:tr>
        <w:trPr>
          <w:trHeight w:val="405"/>
        </w:trPr>
        <w:tc>
          <w:tcPr>
            <w:tcW w:w="7640" w:type="dxa"/>
            <w:vAlign w:val="bottom"/>
          </w:tcPr>
          <w:p>
            <w:pPr>
              <w:ind w:left="180"/>
              <w:spacing w:after="0"/>
              <w:rPr>
                <w:sz w:val="20"/>
                <w:szCs w:val="20"/>
                <w:color w:val="auto"/>
              </w:rPr>
            </w:pPr>
            <w:r>
              <w:rPr>
                <w:rFonts w:ascii="Arial" w:cs="Arial" w:eastAsia="Arial" w:hAnsi="Arial"/>
                <w:sz w:val="18"/>
                <w:szCs w:val="18"/>
                <w:color w:val="auto"/>
              </w:rPr>
              <w:t>Other intangible assets, net</w:t>
            </w:r>
          </w:p>
        </w:tc>
        <w:tc>
          <w:tcPr>
            <w:tcW w:w="1540" w:type="dxa"/>
            <w:vAlign w:val="bottom"/>
          </w:tcPr>
          <w:p>
            <w:pPr>
              <w:jc w:val="right"/>
              <w:spacing w:after="0"/>
              <w:rPr>
                <w:sz w:val="20"/>
                <w:szCs w:val="20"/>
                <w:color w:val="auto"/>
              </w:rPr>
            </w:pPr>
            <w:r>
              <w:rPr>
                <w:rFonts w:ascii="Arial" w:cs="Arial" w:eastAsia="Arial" w:hAnsi="Arial"/>
                <w:sz w:val="18"/>
                <w:szCs w:val="18"/>
                <w:color w:val="auto"/>
              </w:rPr>
              <w:t>17,840</w:t>
            </w:r>
          </w:p>
        </w:tc>
        <w:tc>
          <w:tcPr>
            <w:tcW w:w="3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17,440</w:t>
            </w:r>
          </w:p>
        </w:tc>
        <w:tc>
          <w:tcPr>
            <w:tcW w:w="0" w:type="dxa"/>
            <w:vAlign w:val="bottom"/>
          </w:tcPr>
          <w:p>
            <w:pPr>
              <w:spacing w:after="0"/>
              <w:rPr>
                <w:sz w:val="1"/>
                <w:szCs w:val="1"/>
                <w:color w:val="auto"/>
              </w:rPr>
            </w:pPr>
          </w:p>
        </w:tc>
      </w:tr>
      <w:tr>
        <w:trPr>
          <w:trHeight w:val="392"/>
        </w:trPr>
        <w:tc>
          <w:tcPr>
            <w:tcW w:w="7640" w:type="dxa"/>
            <w:vAlign w:val="bottom"/>
          </w:tcPr>
          <w:p>
            <w:pPr>
              <w:ind w:left="180"/>
              <w:spacing w:after="0"/>
              <w:rPr>
                <w:sz w:val="20"/>
                <w:szCs w:val="20"/>
                <w:color w:val="auto"/>
              </w:rPr>
            </w:pPr>
            <w:r>
              <w:rPr>
                <w:rFonts w:ascii="Arial" w:cs="Arial" w:eastAsia="Arial" w:hAnsi="Arial"/>
                <w:sz w:val="18"/>
                <w:szCs w:val="18"/>
                <w:color w:val="auto"/>
              </w:rPr>
              <w:t>Other noncurrent assets, net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w:t>
            </w:r>
          </w:p>
        </w:tc>
        <w:tc>
          <w:tcPr>
            <w:tcW w:w="300" w:type="dxa"/>
            <w:vAlign w:val="bottom"/>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2,311</w:t>
            </w:r>
          </w:p>
        </w:tc>
        <w:tc>
          <w:tcPr>
            <w:tcW w:w="0" w:type="dxa"/>
            <w:vAlign w:val="bottom"/>
          </w:tcPr>
          <w:p>
            <w:pPr>
              <w:spacing w:after="0"/>
              <w:rPr>
                <w:sz w:val="1"/>
                <w:szCs w:val="1"/>
                <w:color w:val="auto"/>
              </w:rPr>
            </w:pPr>
          </w:p>
        </w:tc>
      </w:tr>
      <w:tr>
        <w:trPr>
          <w:trHeight w:val="399"/>
        </w:trPr>
        <w:tc>
          <w:tcPr>
            <w:tcW w:w="7640" w:type="dxa"/>
            <w:vAlign w:val="bottom"/>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$164,971</w:t>
            </w:r>
          </w:p>
        </w:tc>
        <w:tc>
          <w:tcPr>
            <w:tcW w:w="300" w:type="dxa"/>
            <w:vAlign w:val="bottom"/>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$156,819</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40" w:top="112" w:right="299" w:bottom="0" w:gutter="0" w:footer="0" w:header="0"/>
        </w:sectPr>
      </w:pPr>
    </w:p>
    <w:bookmarkStart w:id="7" w:name="page8"/>
    <w:bookmarkEnd w:id="7"/>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ind w:left="340"/>
              <w:spacing w:after="0"/>
              <w:rPr>
                <w:sz w:val="20"/>
                <w:szCs w:val="20"/>
                <w:color w:val="auto"/>
              </w:rPr>
            </w:pPr>
            <w:r>
              <w:rPr>
                <w:rFonts w:ascii="Arial" w:cs="Arial" w:eastAsia="Arial" w:hAnsi="Arial"/>
                <w:sz w:val="18"/>
                <w:szCs w:val="18"/>
                <w:b w:val="1"/>
                <w:bCs w:val="1"/>
                <w:color w:val="auto"/>
              </w:rPr>
              <w:t>LIABILITIES AND EQUITY</w:t>
            </w: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980" w:type="dxa"/>
            <w:vAlign w:val="bottom"/>
          </w:tcPr>
          <w:p>
            <w:pPr>
              <w:ind w:left="460"/>
              <w:spacing w:after="0"/>
              <w:rPr>
                <w:sz w:val="20"/>
                <w:szCs w:val="20"/>
                <w:color w:val="auto"/>
              </w:rPr>
            </w:pPr>
            <w:r>
              <w:rPr>
                <w:rFonts w:ascii="Arial" w:cs="Arial" w:eastAsia="Arial" w:hAnsi="Arial"/>
                <w:sz w:val="18"/>
                <w:szCs w:val="18"/>
                <w:color w:val="auto"/>
              </w:rPr>
              <w:t>Current Liabilities</w:t>
            </w: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$6,077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980" w:type="dxa"/>
            <w:vAlign w:val="bottom"/>
          </w:tcPr>
          <w:p>
            <w:pPr>
              <w:ind w:left="620"/>
              <w:spacing w:after="0" w:line="181" w:lineRule="exact"/>
              <w:rPr>
                <w:sz w:val="20"/>
                <w:szCs w:val="20"/>
                <w:color w:val="auto"/>
              </w:rPr>
            </w:pPr>
            <w:r>
              <w:rPr>
                <w:rFonts w:ascii="Arial" w:cs="Arial" w:eastAsia="Arial" w:hAnsi="Arial"/>
                <w:sz w:val="18"/>
                <w:szCs w:val="18"/>
                <w:color w:val="auto"/>
              </w:rPr>
              <w:t>Accounts payable and accrued expenses related to trade creditors</w:t>
            </w:r>
          </w:p>
        </w:tc>
        <w:tc>
          <w:tcPr>
            <w:tcW w:w="1540" w:type="dxa"/>
            <w:vAlign w:val="bottom"/>
          </w:tcPr>
          <w:p>
            <w:pPr>
              <w:jc w:val="right"/>
              <w:spacing w:after="0" w:line="181" w:lineRule="exact"/>
              <w:rPr>
                <w:sz w:val="20"/>
                <w:szCs w:val="20"/>
                <w:color w:val="auto"/>
              </w:rPr>
            </w:pPr>
            <w:r>
              <w:rPr>
                <w:rFonts w:ascii="Arial" w:cs="Arial" w:eastAsia="Arial" w:hAnsi="Arial"/>
                <w:sz w:val="18"/>
                <w:szCs w:val="18"/>
                <w:color w:val="auto"/>
              </w:rPr>
              <w:t>$6,206</w:t>
            </w:r>
          </w:p>
        </w:tc>
        <w:tc>
          <w:tcPr>
            <w:tcW w:w="30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980" w:type="dxa"/>
            <w:vAlign w:val="bottom"/>
          </w:tcPr>
          <w:p>
            <w:pPr>
              <w:ind w:left="620"/>
              <w:spacing w:after="0" w:line="202" w:lineRule="exact"/>
              <w:rPr>
                <w:sz w:val="20"/>
                <w:szCs w:val="20"/>
                <w:color w:val="auto"/>
              </w:rPr>
            </w:pPr>
            <w:r>
              <w:rPr>
                <w:rFonts w:ascii="Arial" w:cs="Arial" w:eastAsia="Arial" w:hAnsi="Arial"/>
                <w:sz w:val="18"/>
                <w:szCs w:val="18"/>
                <w:color w:val="auto"/>
              </w:rPr>
              <w:t>Accrued participations and residuals</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1,350</w:t>
            </w:r>
          </w:p>
        </w:tc>
        <w:tc>
          <w:tcPr>
            <w:tcW w:w="3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80" w:type="dxa"/>
            <w:vAlign w:val="bottom"/>
          </w:tcPr>
          <w:p>
            <w:pPr>
              <w:ind w:left="620"/>
              <w:spacing w:after="0" w:line="202" w:lineRule="exact"/>
              <w:rPr>
                <w:sz w:val="20"/>
                <w:szCs w:val="20"/>
                <w:color w:val="auto"/>
              </w:rPr>
            </w:pPr>
            <w:r>
              <w:rPr>
                <w:rFonts w:ascii="Arial" w:cs="Arial" w:eastAsia="Arial" w:hAnsi="Arial"/>
                <w:sz w:val="18"/>
                <w:szCs w:val="18"/>
                <w:color w:val="auto"/>
              </w:rPr>
              <w:t>Deferred revenue</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851</w:t>
            </w:r>
          </w:p>
        </w:tc>
        <w:tc>
          <w:tcPr>
            <w:tcW w:w="3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80" w:type="dxa"/>
            <w:vAlign w:val="bottom"/>
          </w:tcPr>
          <w:p>
            <w:pPr>
              <w:ind w:left="6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5,931</w:t>
            </w:r>
          </w:p>
        </w:tc>
        <w:tc>
          <w:tcPr>
            <w:tcW w:w="3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7,419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980" w:type="dxa"/>
            <w:vAlign w:val="bottom"/>
          </w:tcPr>
          <w:p>
            <w:pPr>
              <w:ind w:left="620"/>
              <w:spacing w:after="0"/>
              <w:rPr>
                <w:sz w:val="20"/>
                <w:szCs w:val="20"/>
                <w:color w:val="auto"/>
              </w:rPr>
            </w:pPr>
            <w:r>
              <w:rPr>
                <w:rFonts w:ascii="Arial" w:cs="Arial" w:eastAsia="Arial" w:hAnsi="Arial"/>
                <w:sz w:val="18"/>
                <w:szCs w:val="18"/>
                <w:color w:val="auto"/>
              </w:rPr>
              <w:t>Current portion of long-term debt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w:t>
            </w:r>
          </w:p>
        </w:tc>
        <w:tc>
          <w:tcPr>
            <w:tcW w:w="3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980" w:type="dxa"/>
            <w:vAlign w:val="bottom"/>
          </w:tcPr>
          <w:p>
            <w:pPr>
              <w:ind w:left="760"/>
              <w:spacing w:after="0" w:line="196" w:lineRule="exact"/>
              <w:rPr>
                <w:sz w:val="20"/>
                <w:szCs w:val="20"/>
                <w:color w:val="auto"/>
              </w:rPr>
            </w:pPr>
            <w:r>
              <w:rPr>
                <w:rFonts w:ascii="Arial" w:cs="Arial" w:eastAsia="Arial" w:hAnsi="Arial"/>
                <w:sz w:val="18"/>
                <w:szCs w:val="18"/>
                <w:color w:val="auto"/>
              </w:rPr>
              <w:t>Total current liabilities</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16,714</w:t>
            </w:r>
          </w:p>
        </w:tc>
        <w:tc>
          <w:tcPr>
            <w:tcW w:w="300" w:type="dxa"/>
            <w:vAlign w:val="bottom"/>
          </w:tcPr>
          <w:p>
            <w:pPr>
              <w:spacing w:after="0"/>
              <w:rPr>
                <w:sz w:val="17"/>
                <w:szCs w:val="17"/>
                <w:color w:val="auto"/>
              </w:rPr>
            </w:pP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18,602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980" w:type="dxa"/>
            <w:vAlign w:val="bottom"/>
          </w:tcPr>
          <w:p>
            <w:pPr>
              <w:ind w:left="520"/>
              <w:spacing w:after="0"/>
              <w:rPr>
                <w:sz w:val="20"/>
                <w:szCs w:val="20"/>
                <w:color w:val="auto"/>
              </w:rPr>
            </w:pPr>
            <w:r>
              <w:rPr>
                <w:rFonts w:ascii="Arial" w:cs="Arial" w:eastAsia="Arial" w:hAnsi="Arial"/>
                <w:sz w:val="18"/>
                <w:szCs w:val="18"/>
                <w:color w:val="auto"/>
              </w:rPr>
              <w:t>Long-term debt, less current portion</w:t>
            </w:r>
          </w:p>
        </w:tc>
        <w:tc>
          <w:tcPr>
            <w:tcW w:w="1540" w:type="dxa"/>
            <w:vAlign w:val="bottom"/>
          </w:tcPr>
          <w:p>
            <w:pPr>
              <w:jc w:val="right"/>
              <w:spacing w:after="0"/>
              <w:rPr>
                <w:sz w:val="20"/>
                <w:szCs w:val="20"/>
                <w:color w:val="auto"/>
              </w:rPr>
            </w:pPr>
            <w:r>
              <w:rPr>
                <w:rFonts w:ascii="Arial" w:cs="Arial" w:eastAsia="Arial" w:hAnsi="Arial"/>
                <w:sz w:val="18"/>
                <w:szCs w:val="18"/>
                <w:color w:val="auto"/>
              </w:rPr>
              <w:t>38,082</w:t>
            </w:r>
          </w:p>
        </w:tc>
        <w:tc>
          <w:tcPr>
            <w:tcW w:w="3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44,114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980" w:type="dxa"/>
            <w:vAlign w:val="bottom"/>
          </w:tcPr>
          <w:p>
            <w:pPr>
              <w:ind w:left="520"/>
              <w:spacing w:after="0"/>
              <w:rPr>
                <w:sz w:val="20"/>
                <w:szCs w:val="20"/>
                <w:color w:val="auto"/>
              </w:rPr>
            </w:pPr>
            <w:r>
              <w:rPr>
                <w:rFonts w:ascii="Arial" w:cs="Arial" w:eastAsia="Arial" w:hAnsi="Arial"/>
                <w:sz w:val="18"/>
                <w:szCs w:val="18"/>
                <w:color w:val="auto"/>
              </w:rPr>
              <w:t>Deferred income taxes</w:t>
            </w:r>
          </w:p>
        </w:tc>
        <w:tc>
          <w:tcPr>
            <w:tcW w:w="1540" w:type="dxa"/>
            <w:vAlign w:val="bottom"/>
          </w:tcPr>
          <w:p>
            <w:pPr>
              <w:jc w:val="right"/>
              <w:spacing w:after="0"/>
              <w:rPr>
                <w:sz w:val="20"/>
                <w:szCs w:val="20"/>
                <w:color w:val="auto"/>
              </w:rPr>
            </w:pPr>
            <w:r>
              <w:rPr>
                <w:rFonts w:ascii="Arial" w:cs="Arial" w:eastAsia="Arial" w:hAnsi="Arial"/>
                <w:sz w:val="18"/>
                <w:szCs w:val="18"/>
                <w:color w:val="auto"/>
              </w:rPr>
              <w:t>30,110</w:t>
            </w:r>
          </w:p>
        </w:tc>
        <w:tc>
          <w:tcPr>
            <w:tcW w:w="3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31,303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980" w:type="dxa"/>
            <w:vAlign w:val="bottom"/>
          </w:tcPr>
          <w:p>
            <w:pPr>
              <w:ind w:left="520"/>
              <w:spacing w:after="0"/>
              <w:rPr>
                <w:sz w:val="20"/>
                <w:szCs w:val="20"/>
                <w:color w:val="auto"/>
              </w:rPr>
            </w:pPr>
            <w:r>
              <w:rPr>
                <w:rFonts w:ascii="Arial" w:cs="Arial" w:eastAsia="Arial" w:hAnsi="Arial"/>
                <w:sz w:val="18"/>
                <w:szCs w:val="18"/>
                <w:color w:val="auto"/>
              </w:rPr>
              <w:t>Other noncurrent liabilities</w:t>
            </w:r>
          </w:p>
        </w:tc>
        <w:tc>
          <w:tcPr>
            <w:tcW w:w="1540" w:type="dxa"/>
            <w:vAlign w:val="bottom"/>
          </w:tcPr>
          <w:p>
            <w:pPr>
              <w:jc w:val="right"/>
              <w:spacing w:after="0"/>
              <w:rPr>
                <w:sz w:val="20"/>
                <w:szCs w:val="20"/>
                <w:color w:val="auto"/>
              </w:rPr>
            </w:pPr>
            <w:r>
              <w:rPr>
                <w:rFonts w:ascii="Arial" w:cs="Arial" w:eastAsia="Arial" w:hAnsi="Arial"/>
                <w:sz w:val="18"/>
                <w:szCs w:val="18"/>
                <w:color w:val="auto"/>
              </w:rPr>
              <w:t>13,271</w:t>
            </w:r>
          </w:p>
        </w:tc>
        <w:tc>
          <w:tcPr>
            <w:tcW w:w="3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12,461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980" w:type="dxa"/>
            <w:vAlign w:val="bottom"/>
          </w:tcPr>
          <w:p>
            <w:pPr>
              <w:ind w:left="520"/>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1540" w:type="dxa"/>
            <w:vAlign w:val="bottom"/>
          </w:tcPr>
          <w:p>
            <w:pPr>
              <w:jc w:val="right"/>
              <w:spacing w:after="0"/>
              <w:rPr>
                <w:sz w:val="20"/>
                <w:szCs w:val="20"/>
                <w:color w:val="auto"/>
              </w:rPr>
            </w:pPr>
            <w:r>
              <w:rPr>
                <w:rFonts w:ascii="Arial" w:cs="Arial" w:eastAsia="Arial" w:hAnsi="Arial"/>
                <w:sz w:val="18"/>
                <w:szCs w:val="18"/>
                <w:color w:val="auto"/>
              </w:rPr>
              <w:t>16,998</w:t>
            </w:r>
          </w:p>
        </w:tc>
        <w:tc>
          <w:tcPr>
            <w:tcW w:w="3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853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980" w:type="dxa"/>
            <w:vAlign w:val="bottom"/>
          </w:tcPr>
          <w:p>
            <w:pPr>
              <w:ind w:left="520"/>
              <w:spacing w:after="0"/>
              <w:rPr>
                <w:sz w:val="20"/>
                <w:szCs w:val="20"/>
                <w:color w:val="auto"/>
              </w:rPr>
            </w:pPr>
            <w:r>
              <w:rPr>
                <w:rFonts w:ascii="Arial" w:cs="Arial" w:eastAsia="Arial" w:hAnsi="Arial"/>
                <w:sz w:val="18"/>
                <w:szCs w:val="18"/>
                <w:color w:val="auto"/>
              </w:rPr>
              <w:t>Equity</w:t>
            </w: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49,091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980" w:type="dxa"/>
            <w:vAlign w:val="bottom"/>
          </w:tcPr>
          <w:p>
            <w:pPr>
              <w:ind w:left="700"/>
              <w:spacing w:after="0" w:line="181" w:lineRule="exact"/>
              <w:rPr>
                <w:sz w:val="20"/>
                <w:szCs w:val="20"/>
                <w:color w:val="auto"/>
              </w:rPr>
            </w:pPr>
            <w:r>
              <w:rPr>
                <w:rFonts w:ascii="Arial" w:cs="Arial" w:eastAsia="Arial" w:hAnsi="Arial"/>
                <w:sz w:val="18"/>
                <w:szCs w:val="18"/>
                <w:color w:val="auto"/>
              </w:rPr>
              <w:t>Comcast Corporation shareholders’ equity</w:t>
            </w:r>
          </w:p>
        </w:tc>
        <w:tc>
          <w:tcPr>
            <w:tcW w:w="1540" w:type="dxa"/>
            <w:vAlign w:val="bottom"/>
          </w:tcPr>
          <w:p>
            <w:pPr>
              <w:jc w:val="right"/>
              <w:spacing w:after="0" w:line="181" w:lineRule="exact"/>
              <w:rPr>
                <w:sz w:val="20"/>
                <w:szCs w:val="20"/>
                <w:color w:val="auto"/>
              </w:rPr>
            </w:pPr>
            <w:r>
              <w:rPr>
                <w:rFonts w:ascii="Arial" w:cs="Arial" w:eastAsia="Arial" w:hAnsi="Arial"/>
                <w:sz w:val="18"/>
                <w:szCs w:val="18"/>
                <w:color w:val="auto"/>
              </w:rPr>
              <w:t>49,356</w:t>
            </w:r>
          </w:p>
        </w:tc>
        <w:tc>
          <w:tcPr>
            <w:tcW w:w="30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980" w:type="dxa"/>
            <w:vAlign w:val="bottom"/>
          </w:tcPr>
          <w:p>
            <w:pPr>
              <w:ind w:left="700"/>
              <w:spacing w:after="0"/>
              <w:rPr>
                <w:sz w:val="20"/>
                <w:szCs w:val="20"/>
                <w:color w:val="auto"/>
              </w:rPr>
            </w:pPr>
            <w:r>
              <w:rPr>
                <w:rFonts w:ascii="Arial" w:cs="Arial" w:eastAsia="Arial" w:hAnsi="Arial"/>
                <w:sz w:val="18"/>
                <w:szCs w:val="18"/>
                <w:color w:val="auto"/>
              </w:rPr>
              <w:t>Noncontrolling interests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3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980" w:type="dxa"/>
            <w:vAlign w:val="bottom"/>
          </w:tcPr>
          <w:p>
            <w:pPr>
              <w:ind w:left="880"/>
              <w:spacing w:after="0" w:line="196" w:lineRule="exact"/>
              <w:rPr>
                <w:sz w:val="20"/>
                <w:szCs w:val="20"/>
                <w:color w:val="auto"/>
              </w:rPr>
            </w:pPr>
            <w:r>
              <w:rPr>
                <w:rFonts w:ascii="Arial" w:cs="Arial" w:eastAsia="Arial" w:hAnsi="Arial"/>
                <w:sz w:val="18"/>
                <w:szCs w:val="18"/>
                <w:color w:val="auto"/>
              </w:rPr>
              <w:t>Total equity</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49,796</w:t>
            </w:r>
          </w:p>
        </w:tc>
        <w:tc>
          <w:tcPr>
            <w:tcW w:w="300" w:type="dxa"/>
            <w:vAlign w:val="bottom"/>
          </w:tcPr>
          <w:p>
            <w:pPr>
              <w:spacing w:after="0"/>
              <w:rPr>
                <w:sz w:val="17"/>
                <w:szCs w:val="17"/>
                <w:color w:val="auto"/>
              </w:rPr>
            </w:pP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49,486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7980" w:type="dxa"/>
            <w:vAlign w:val="bottom"/>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$164,971</w:t>
            </w:r>
          </w:p>
        </w:tc>
        <w:tc>
          <w:tcPr>
            <w:tcW w:w="300" w:type="dxa"/>
            <w:vAlign w:val="bottom"/>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$156,819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980" w:type="dxa"/>
            <w:vAlign w:val="bottom"/>
            <w:vMerge w:val="restart"/>
          </w:tcPr>
          <w:p>
            <w:pPr>
              <w:ind w:left="5680"/>
              <w:spacing w:after="0"/>
              <w:rPr>
                <w:sz w:val="20"/>
                <w:szCs w:val="20"/>
                <w:color w:val="auto"/>
              </w:rPr>
            </w:pPr>
            <w:r>
              <w:rPr>
                <w:rFonts w:ascii="Arial" w:cs="Arial" w:eastAsia="Arial" w:hAnsi="Arial"/>
                <w:sz w:val="14"/>
                <w:szCs w:val="14"/>
                <w:color w:val="auto"/>
              </w:rPr>
              <w:t>8</w:t>
            </w: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798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7980" w:type="dxa"/>
            <w:vAlign w:val="bottom"/>
            <w:tcBorders>
              <w:bottom w:val="single" w:sz="8" w:color="010101"/>
            </w:tcBorders>
          </w:tcPr>
          <w:p>
            <w:pPr>
              <w:spacing w:after="0"/>
              <w:rPr>
                <w:sz w:val="10"/>
                <w:szCs w:val="10"/>
                <w:color w:val="auto"/>
              </w:rPr>
            </w:pPr>
          </w:p>
        </w:tc>
        <w:tc>
          <w:tcPr>
            <w:tcW w:w="1540" w:type="dxa"/>
            <w:vAlign w:val="bottom"/>
            <w:tcBorders>
              <w:bottom w:val="single" w:sz="8" w:color="010101"/>
            </w:tcBorders>
          </w:tcPr>
          <w:p>
            <w:pPr>
              <w:spacing w:after="0"/>
              <w:rPr>
                <w:sz w:val="10"/>
                <w:szCs w:val="10"/>
                <w:color w:val="auto"/>
              </w:rPr>
            </w:pPr>
          </w:p>
        </w:tc>
        <w:tc>
          <w:tcPr>
            <w:tcW w:w="300" w:type="dxa"/>
            <w:vAlign w:val="bottom"/>
            <w:tcBorders>
              <w:bottom w:val="single" w:sz="8" w:color="010101"/>
            </w:tcBorders>
          </w:tcPr>
          <w:p>
            <w:pPr>
              <w:spacing w:after="0"/>
              <w:rPr>
                <w:sz w:val="10"/>
                <w:szCs w:val="10"/>
                <w:color w:val="auto"/>
              </w:rPr>
            </w:pPr>
          </w:p>
        </w:tc>
        <w:tc>
          <w:tcPr>
            <w:tcW w:w="1540" w:type="dxa"/>
            <w:vAlign w:val="bottom"/>
            <w:tcBorders>
              <w:bottom w:val="single" w:sz="8" w:color="010101"/>
            </w:tcBorders>
          </w:tcPr>
          <w:p>
            <w:pPr>
              <w:spacing w:after="0"/>
              <w:rPr>
                <w:sz w:val="10"/>
                <w:szCs w:val="10"/>
                <w:color w:val="auto"/>
              </w:rPr>
            </w:pPr>
          </w:p>
        </w:tc>
        <w:tc>
          <w:tcPr>
            <w:tcW w:w="10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4032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0322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5"/>
          <w:szCs w:val="25"/>
          <w:b w:val="1"/>
          <w:bCs w:val="1"/>
          <w:color w:val="808080"/>
        </w:rPr>
        <w:t>TABLE 3</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808080"/>
        </w:rPr>
        <w:t>Consolidated Statement of Cash Flows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8320" w:type="dxa"/>
            <w:vAlign w:val="bottom"/>
          </w:tcPr>
          <w:p>
            <w:pPr>
              <w:spacing w:after="0"/>
              <w:rPr>
                <w:sz w:val="20"/>
                <w:szCs w:val="20"/>
                <w:color w:val="auto"/>
              </w:rPr>
            </w:pPr>
            <w:r>
              <w:rPr>
                <w:rFonts w:ascii="Arial" w:cs="Arial" w:eastAsia="Arial" w:hAnsi="Arial"/>
                <w:sz w:val="18"/>
                <w:szCs w:val="18"/>
                <w:color w:val="auto"/>
              </w:rPr>
              <w:t>(in millions)</w:t>
            </w:r>
          </w:p>
        </w:tc>
        <w:tc>
          <w:tcPr>
            <w:tcW w:w="27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225"/>
        </w:trPr>
        <w:tc>
          <w:tcPr>
            <w:tcW w:w="8320" w:type="dxa"/>
            <w:vAlign w:val="bottom"/>
          </w:tcPr>
          <w:p>
            <w:pPr>
              <w:spacing w:after="0"/>
              <w:rPr>
                <w:sz w:val="19"/>
                <w:szCs w:val="19"/>
                <w:color w:val="auto"/>
              </w:rPr>
            </w:pPr>
          </w:p>
        </w:tc>
        <w:tc>
          <w:tcPr>
            <w:tcW w:w="180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99"/>
              </w:rPr>
              <w:t>June 30,</w:t>
            </w:r>
          </w:p>
        </w:tc>
        <w:tc>
          <w:tcPr>
            <w:tcW w:w="9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03"/>
        </w:trPr>
        <w:tc>
          <w:tcPr>
            <w:tcW w:w="8320" w:type="dxa"/>
            <w:vAlign w:val="bottom"/>
          </w:tcPr>
          <w:p>
            <w:pPr>
              <w:spacing w:after="0"/>
              <w:rPr>
                <w:sz w:val="17"/>
                <w:szCs w:val="17"/>
                <w:color w:val="auto"/>
              </w:rPr>
            </w:pPr>
          </w:p>
        </w:tc>
        <w:tc>
          <w:tcPr>
            <w:tcW w:w="120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2012</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832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$3,389</w:t>
            </w:r>
          </w:p>
        </w:tc>
        <w:tc>
          <w:tcPr>
            <w:tcW w:w="0" w:type="dxa"/>
            <w:vAlign w:val="bottom"/>
          </w:tcPr>
          <w:p>
            <w:pPr>
              <w:spacing w:after="0"/>
              <w:rPr>
                <w:sz w:val="1"/>
                <w:szCs w:val="1"/>
                <w:color w:val="auto"/>
              </w:rPr>
            </w:pPr>
          </w:p>
        </w:tc>
      </w:tr>
      <w:tr>
        <w:trPr>
          <w:trHeight w:val="203"/>
        </w:trPr>
        <w:tc>
          <w:tcPr>
            <w:tcW w:w="8320" w:type="dxa"/>
            <w:vAlign w:val="bottom"/>
          </w:tcPr>
          <w:p>
            <w:pPr>
              <w:ind w:left="120"/>
              <w:spacing w:after="0" w:line="202" w:lineRule="exact"/>
              <w:rPr>
                <w:sz w:val="20"/>
                <w:szCs w:val="20"/>
                <w:color w:val="auto"/>
              </w:rPr>
            </w:pPr>
            <w:r>
              <w:rPr>
                <w:rFonts w:ascii="Arial" w:cs="Arial" w:eastAsia="Arial" w:hAnsi="Arial"/>
                <w:sz w:val="18"/>
                <w:szCs w:val="18"/>
                <w:color w:val="auto"/>
              </w:rPr>
              <w:t>Net income</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$3,080</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12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3,957</w:t>
            </w:r>
          </w:p>
        </w:tc>
        <w:tc>
          <w:tcPr>
            <w:tcW w:w="0" w:type="dxa"/>
            <w:vAlign w:val="bottom"/>
          </w:tcPr>
          <w:p>
            <w:pPr>
              <w:spacing w:after="0"/>
              <w:rPr>
                <w:sz w:val="1"/>
                <w:szCs w:val="1"/>
                <w:color w:val="auto"/>
              </w:rPr>
            </w:pPr>
          </w:p>
        </w:tc>
      </w:tr>
      <w:tr>
        <w:trPr>
          <w:trHeight w:val="181"/>
        </w:trPr>
        <w:tc>
          <w:tcPr>
            <w:tcW w:w="8320" w:type="dxa"/>
            <w:vAlign w:val="bottom"/>
          </w:tcPr>
          <w:p>
            <w:pPr>
              <w:ind w:left="280"/>
              <w:spacing w:after="0" w:line="181" w:lineRule="exact"/>
              <w:rPr>
                <w:sz w:val="20"/>
                <w:szCs w:val="20"/>
                <w:color w:val="auto"/>
              </w:rPr>
            </w:pPr>
            <w:r>
              <w:rPr>
                <w:rFonts w:ascii="Arial" w:cs="Arial" w:eastAsia="Arial" w:hAnsi="Arial"/>
                <w:sz w:val="18"/>
                <w:szCs w:val="18"/>
                <w:color w:val="auto"/>
              </w:rPr>
              <w:t>Depreciation and amortization</w:t>
            </w:r>
          </w:p>
        </w:tc>
        <w:tc>
          <w:tcPr>
            <w:tcW w:w="1200" w:type="dxa"/>
            <w:vAlign w:val="bottom"/>
          </w:tcPr>
          <w:p>
            <w:pPr>
              <w:jc w:val="right"/>
              <w:ind w:right="10"/>
              <w:spacing w:after="0" w:line="181" w:lineRule="exact"/>
              <w:rPr>
                <w:sz w:val="20"/>
                <w:szCs w:val="20"/>
                <w:color w:val="auto"/>
              </w:rPr>
            </w:pPr>
            <w:r>
              <w:rPr>
                <w:rFonts w:ascii="Arial" w:cs="Arial" w:eastAsia="Arial" w:hAnsi="Arial"/>
                <w:sz w:val="18"/>
                <w:szCs w:val="18"/>
                <w:color w:val="auto"/>
              </w:rPr>
              <w:t>3,855</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280"/>
              <w:spacing w:after="0" w:line="202" w:lineRule="exact"/>
              <w:rPr>
                <w:sz w:val="20"/>
                <w:szCs w:val="20"/>
                <w:color w:val="auto"/>
              </w:rPr>
            </w:pPr>
            <w:r>
              <w:rPr>
                <w:rFonts w:ascii="Arial" w:cs="Arial" w:eastAsia="Arial" w:hAnsi="Arial"/>
                <w:sz w:val="18"/>
                <w:szCs w:val="18"/>
                <w:color w:val="auto"/>
              </w:rPr>
              <w:t>Amortization of film and television costs</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4,156</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4,080</w:t>
            </w:r>
          </w:p>
        </w:tc>
        <w:tc>
          <w:tcPr>
            <w:tcW w:w="0" w:type="dxa"/>
            <w:vAlign w:val="bottom"/>
          </w:tcPr>
          <w:p>
            <w:pPr>
              <w:spacing w:after="0"/>
              <w:rPr>
                <w:sz w:val="1"/>
                <w:szCs w:val="1"/>
                <w:color w:val="auto"/>
              </w:rPr>
            </w:pPr>
          </w:p>
        </w:tc>
      </w:tr>
      <w:tr>
        <w:trPr>
          <w:trHeight w:val="203"/>
        </w:trPr>
        <w:tc>
          <w:tcPr>
            <w:tcW w:w="8320" w:type="dxa"/>
            <w:vAlign w:val="bottom"/>
          </w:tcPr>
          <w:p>
            <w:pPr>
              <w:ind w:left="280"/>
              <w:spacing w:after="0" w:line="202" w:lineRule="exact"/>
              <w:rPr>
                <w:sz w:val="20"/>
                <w:szCs w:val="20"/>
                <w:color w:val="auto"/>
              </w:rPr>
            </w:pPr>
            <w:r>
              <w:rPr>
                <w:rFonts w:ascii="Arial" w:cs="Arial" w:eastAsia="Arial" w:hAnsi="Arial"/>
                <w:sz w:val="18"/>
                <w:szCs w:val="18"/>
                <w:color w:val="auto"/>
              </w:rPr>
              <w:t>Share-based compensation</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189</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213</w:t>
            </w:r>
          </w:p>
        </w:tc>
        <w:tc>
          <w:tcPr>
            <w:tcW w:w="0" w:type="dxa"/>
            <w:vAlign w:val="bottom"/>
          </w:tcPr>
          <w:p>
            <w:pPr>
              <w:spacing w:after="0"/>
              <w:rPr>
                <w:sz w:val="1"/>
                <w:szCs w:val="1"/>
                <w:color w:val="auto"/>
              </w:rPr>
            </w:pPr>
          </w:p>
        </w:tc>
      </w:tr>
      <w:tr>
        <w:trPr>
          <w:trHeight w:val="203"/>
        </w:trPr>
        <w:tc>
          <w:tcPr>
            <w:tcW w:w="8320" w:type="dxa"/>
            <w:vAlign w:val="bottom"/>
          </w:tcPr>
          <w:p>
            <w:pPr>
              <w:ind w:left="280"/>
              <w:spacing w:after="0" w:line="202" w:lineRule="exact"/>
              <w:rPr>
                <w:sz w:val="20"/>
                <w:szCs w:val="20"/>
                <w:color w:val="auto"/>
              </w:rPr>
            </w:pPr>
            <w:r>
              <w:rPr>
                <w:rFonts w:ascii="Arial" w:cs="Arial" w:eastAsia="Arial" w:hAnsi="Arial"/>
                <w:sz w:val="18"/>
                <w:szCs w:val="18"/>
                <w:color w:val="auto"/>
              </w:rPr>
              <w:t>Noncash interest expense (income), net</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105</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81</w:t>
            </w:r>
          </w:p>
        </w:tc>
        <w:tc>
          <w:tcPr>
            <w:tcW w:w="0" w:type="dxa"/>
            <w:vAlign w:val="bottom"/>
          </w:tcPr>
          <w:p>
            <w:pPr>
              <w:spacing w:after="0"/>
              <w:rPr>
                <w:sz w:val="1"/>
                <w:szCs w:val="1"/>
                <w:color w:val="auto"/>
              </w:rPr>
            </w:pPr>
          </w:p>
        </w:tc>
      </w:tr>
      <w:tr>
        <w:trPr>
          <w:trHeight w:val="203"/>
        </w:trPr>
        <w:tc>
          <w:tcPr>
            <w:tcW w:w="8320" w:type="dxa"/>
            <w:vAlign w:val="bottom"/>
          </w:tcPr>
          <w:p>
            <w:pPr>
              <w:ind w:left="28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03"/>
        </w:trPr>
        <w:tc>
          <w:tcPr>
            <w:tcW w:w="8320" w:type="dxa"/>
            <w:vAlign w:val="bottom"/>
          </w:tcPr>
          <w:p>
            <w:pPr>
              <w:ind w:left="280"/>
              <w:spacing w:after="0" w:line="202" w:lineRule="exact"/>
              <w:rPr>
                <w:sz w:val="20"/>
                <w:szCs w:val="20"/>
                <w:color w:val="auto"/>
              </w:rPr>
            </w:pPr>
            <w:r>
              <w:rPr>
                <w:rFonts w:ascii="Arial" w:cs="Arial" w:eastAsia="Arial" w:hAnsi="Arial"/>
                <w:sz w:val="18"/>
                <w:szCs w:val="18"/>
                <w:color w:val="auto"/>
              </w:rPr>
              <w:t>Cash received from investees</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142</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03"/>
        </w:trPr>
        <w:tc>
          <w:tcPr>
            <w:tcW w:w="8320" w:type="dxa"/>
            <w:vAlign w:val="bottom"/>
          </w:tcPr>
          <w:p>
            <w:pPr>
              <w:ind w:left="280"/>
              <w:spacing w:after="0" w:line="202" w:lineRule="exact"/>
              <w:rPr>
                <w:sz w:val="20"/>
                <w:szCs w:val="20"/>
                <w:color w:val="auto"/>
              </w:rPr>
            </w:pPr>
            <w:r>
              <w:rPr>
                <w:rFonts w:ascii="Arial" w:cs="Arial" w:eastAsia="Arial" w:hAnsi="Arial"/>
                <w:sz w:val="18"/>
                <w:szCs w:val="18"/>
                <w:color w:val="auto"/>
              </w:rPr>
              <w:t>Net (gain) loss on investment activity and other</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25"/>
        </w:trPr>
        <w:tc>
          <w:tcPr>
            <w:tcW w:w="832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87</w:t>
            </w:r>
          </w:p>
        </w:tc>
        <w:tc>
          <w:tcPr>
            <w:tcW w:w="0" w:type="dxa"/>
            <w:vAlign w:val="bottom"/>
          </w:tcPr>
          <w:p>
            <w:pPr>
              <w:spacing w:after="0"/>
              <w:rPr>
                <w:sz w:val="1"/>
                <w:szCs w:val="1"/>
                <w:color w:val="auto"/>
              </w:rPr>
            </w:pPr>
          </w:p>
        </w:tc>
      </w:tr>
      <w:tr>
        <w:trPr>
          <w:trHeight w:val="203"/>
        </w:trPr>
        <w:tc>
          <w:tcPr>
            <w:tcW w:w="8320" w:type="dxa"/>
            <w:vAlign w:val="bottom"/>
          </w:tcPr>
          <w:p>
            <w:pPr>
              <w:ind w:left="120"/>
              <w:spacing w:after="0" w:line="202" w:lineRule="exact"/>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r>
        <w:trPr>
          <w:trHeight w:val="181"/>
        </w:trPr>
        <w:tc>
          <w:tcPr>
            <w:tcW w:w="8320" w:type="dxa"/>
            <w:vAlign w:val="bottom"/>
          </w:tcPr>
          <w:p>
            <w:pPr>
              <w:ind w:left="280"/>
              <w:spacing w:after="0" w:line="181" w:lineRule="exact"/>
              <w:rPr>
                <w:sz w:val="20"/>
                <w:szCs w:val="20"/>
                <w:color w:val="auto"/>
              </w:rPr>
            </w:pPr>
            <w:r>
              <w:rPr>
                <w:rFonts w:ascii="Arial" w:cs="Arial" w:eastAsia="Arial" w:hAnsi="Arial"/>
                <w:sz w:val="18"/>
                <w:szCs w:val="18"/>
                <w:color w:val="auto"/>
              </w:rPr>
              <w:t>Change in current and noncurrent receivables, net</w:t>
            </w:r>
          </w:p>
        </w:tc>
        <w:tc>
          <w:tcPr>
            <w:tcW w:w="1200" w:type="dxa"/>
            <w:vAlign w:val="bottom"/>
          </w:tcPr>
          <w:p>
            <w:pPr>
              <w:jc w:val="right"/>
              <w:spacing w:after="0" w:line="181" w:lineRule="exact"/>
              <w:rPr>
                <w:sz w:val="20"/>
                <w:szCs w:val="20"/>
                <w:color w:val="auto"/>
              </w:rPr>
            </w:pPr>
            <w:r>
              <w:rPr>
                <w:rFonts w:ascii="Arial" w:cs="Arial" w:eastAsia="Arial" w:hAnsi="Arial"/>
                <w:sz w:val="18"/>
                <w:szCs w:val="18"/>
                <w:color w:val="auto"/>
              </w:rPr>
              <w:t>(16)</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280"/>
              <w:spacing w:after="0" w:line="202" w:lineRule="exact"/>
              <w:rPr>
                <w:sz w:val="20"/>
                <w:szCs w:val="20"/>
                <w:color w:val="auto"/>
              </w:rPr>
            </w:pPr>
            <w:r>
              <w:rPr>
                <w:rFonts w:ascii="Arial" w:cs="Arial" w:eastAsia="Arial" w:hAnsi="Arial"/>
                <w:sz w:val="18"/>
                <w:szCs w:val="18"/>
                <w:color w:val="auto"/>
              </w:rPr>
              <w:t>Change in film and television costs</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(4,177)</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(3,330)</w:t>
            </w:r>
          </w:p>
        </w:tc>
        <w:tc>
          <w:tcPr>
            <w:tcW w:w="0" w:type="dxa"/>
            <w:vAlign w:val="bottom"/>
          </w:tcPr>
          <w:p>
            <w:pPr>
              <w:spacing w:after="0"/>
              <w:rPr>
                <w:sz w:val="1"/>
                <w:szCs w:val="1"/>
                <w:color w:val="auto"/>
              </w:rPr>
            </w:pPr>
          </w:p>
        </w:tc>
      </w:tr>
      <w:tr>
        <w:trPr>
          <w:trHeight w:val="203"/>
        </w:trPr>
        <w:tc>
          <w:tcPr>
            <w:tcW w:w="8320" w:type="dxa"/>
            <w:vAlign w:val="bottom"/>
          </w:tcPr>
          <w:p>
            <w:pPr>
              <w:ind w:left="280"/>
              <w:spacing w:after="0" w:line="202" w:lineRule="exact"/>
              <w:rPr>
                <w:sz w:val="20"/>
                <w:szCs w:val="20"/>
                <w:color w:val="auto"/>
              </w:rPr>
            </w:pPr>
            <w:r>
              <w:rPr>
                <w:rFonts w:ascii="Arial" w:cs="Arial" w:eastAsia="Arial" w:hAnsi="Arial"/>
                <w:sz w:val="18"/>
                <w:szCs w:val="18"/>
                <w:color w:val="auto"/>
              </w:rPr>
              <w:t>Change in accounts payable and accrued expenses related to trade creditors</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111</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(87)</w:t>
            </w:r>
          </w:p>
        </w:tc>
        <w:tc>
          <w:tcPr>
            <w:tcW w:w="0" w:type="dxa"/>
            <w:vAlign w:val="bottom"/>
          </w:tcPr>
          <w:p>
            <w:pPr>
              <w:spacing w:after="0"/>
              <w:rPr>
                <w:sz w:val="1"/>
                <w:szCs w:val="1"/>
                <w:color w:val="auto"/>
              </w:rPr>
            </w:pPr>
          </w:p>
        </w:tc>
      </w:tr>
      <w:tr>
        <w:trPr>
          <w:trHeight w:val="225"/>
        </w:trPr>
        <w:tc>
          <w:tcPr>
            <w:tcW w:w="8320" w:type="dxa"/>
            <w:vAlign w:val="bottom"/>
          </w:tcPr>
          <w:p>
            <w:pPr>
              <w:ind w:left="280"/>
              <w:spacing w:after="0"/>
              <w:rPr>
                <w:sz w:val="20"/>
                <w:szCs w:val="20"/>
                <w:color w:val="auto"/>
              </w:rPr>
            </w:pPr>
            <w:r>
              <w:rPr>
                <w:rFonts w:ascii="Arial" w:cs="Arial" w:eastAsia="Arial" w:hAnsi="Arial"/>
                <w:sz w:val="18"/>
                <w:szCs w:val="18"/>
                <w:color w:val="auto"/>
              </w:rPr>
              <w:t>Change in other operating assets and liabilities</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388</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w:t>
            </w:r>
          </w:p>
        </w:tc>
        <w:tc>
          <w:tcPr>
            <w:tcW w:w="0" w:type="dxa"/>
            <w:vAlign w:val="bottom"/>
          </w:tcPr>
          <w:p>
            <w:pPr>
              <w:spacing w:after="0"/>
              <w:rPr>
                <w:sz w:val="1"/>
                <w:szCs w:val="1"/>
                <w:color w:val="auto"/>
              </w:rPr>
            </w:pPr>
          </w:p>
        </w:tc>
      </w:tr>
      <w:tr>
        <w:trPr>
          <w:trHeight w:val="399"/>
        </w:trPr>
        <w:tc>
          <w:tcPr>
            <w:tcW w:w="8320" w:type="dxa"/>
            <w:vAlign w:val="bottom"/>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7,815</w:t>
            </w:r>
          </w:p>
        </w:tc>
        <w:tc>
          <w:tcPr>
            <w:tcW w:w="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7,685</w:t>
            </w:r>
          </w:p>
        </w:tc>
        <w:tc>
          <w:tcPr>
            <w:tcW w:w="0" w:type="dxa"/>
            <w:vAlign w:val="bottom"/>
          </w:tcPr>
          <w:p>
            <w:pPr>
              <w:spacing w:after="0"/>
              <w:rPr>
                <w:sz w:val="1"/>
                <w:szCs w:val="1"/>
                <w:color w:val="auto"/>
              </w:rPr>
            </w:pPr>
          </w:p>
        </w:tc>
      </w:tr>
      <w:tr>
        <w:trPr>
          <w:trHeight w:val="398"/>
        </w:trPr>
        <w:tc>
          <w:tcPr>
            <w:tcW w:w="83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(2,867)</w:t>
            </w:r>
          </w:p>
        </w:tc>
        <w:tc>
          <w:tcPr>
            <w:tcW w:w="0" w:type="dxa"/>
            <w:vAlign w:val="bottom"/>
          </w:tcPr>
          <w:p>
            <w:pPr>
              <w:spacing w:after="0"/>
              <w:rPr>
                <w:sz w:val="1"/>
                <w:szCs w:val="1"/>
                <w:color w:val="auto"/>
              </w:rPr>
            </w:pPr>
          </w:p>
        </w:tc>
      </w:tr>
      <w:tr>
        <w:trPr>
          <w:trHeight w:val="181"/>
        </w:trPr>
        <w:tc>
          <w:tcPr>
            <w:tcW w:w="8320" w:type="dxa"/>
            <w:vAlign w:val="bottom"/>
          </w:tcPr>
          <w:p>
            <w:pPr>
              <w:ind w:left="120"/>
              <w:spacing w:after="0" w:line="181" w:lineRule="exact"/>
              <w:rPr>
                <w:sz w:val="20"/>
                <w:szCs w:val="20"/>
                <w:color w:val="auto"/>
              </w:rPr>
            </w:pPr>
            <w:r>
              <w:rPr>
                <w:rFonts w:ascii="Arial" w:cs="Arial" w:eastAsia="Arial" w:hAnsi="Arial"/>
                <w:sz w:val="18"/>
                <w:szCs w:val="18"/>
                <w:color w:val="auto"/>
              </w:rPr>
              <w:t>Capital expenditures</w:t>
            </w:r>
          </w:p>
        </w:tc>
        <w:tc>
          <w:tcPr>
            <w:tcW w:w="1200" w:type="dxa"/>
            <w:vAlign w:val="bottom"/>
          </w:tcPr>
          <w:p>
            <w:pPr>
              <w:jc w:val="right"/>
              <w:spacing w:after="0" w:line="181" w:lineRule="exact"/>
              <w:rPr>
                <w:sz w:val="20"/>
                <w:szCs w:val="20"/>
                <w:color w:val="auto"/>
              </w:rPr>
            </w:pPr>
            <w:r>
              <w:rPr>
                <w:rFonts w:ascii="Arial" w:cs="Arial" w:eastAsia="Arial" w:hAnsi="Arial"/>
                <w:sz w:val="18"/>
                <w:szCs w:val="18"/>
                <w:color w:val="auto"/>
              </w:rPr>
              <w:t>(2,461)</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120"/>
              <w:spacing w:after="0" w:line="202" w:lineRule="exact"/>
              <w:rPr>
                <w:sz w:val="20"/>
                <w:szCs w:val="20"/>
                <w:color w:val="auto"/>
              </w:rPr>
            </w:pPr>
            <w:r>
              <w:rPr>
                <w:rFonts w:ascii="Arial" w:cs="Arial" w:eastAsia="Arial" w:hAnsi="Arial"/>
                <w:sz w:val="18"/>
                <w:szCs w:val="18"/>
                <w:color w:val="auto"/>
              </w:rPr>
              <w:t>Cash paid for intangible assets</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(414)</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(444)</w:t>
            </w:r>
          </w:p>
        </w:tc>
        <w:tc>
          <w:tcPr>
            <w:tcW w:w="0" w:type="dxa"/>
            <w:vAlign w:val="bottom"/>
          </w:tcPr>
          <w:p>
            <w:pPr>
              <w:spacing w:after="0"/>
              <w:rPr>
                <w:sz w:val="1"/>
                <w:szCs w:val="1"/>
                <w:color w:val="auto"/>
              </w:rPr>
            </w:pPr>
          </w:p>
        </w:tc>
      </w:tr>
      <w:tr>
        <w:trPr>
          <w:trHeight w:val="203"/>
        </w:trPr>
        <w:tc>
          <w:tcPr>
            <w:tcW w:w="8320" w:type="dxa"/>
            <w:vAlign w:val="bottom"/>
          </w:tcPr>
          <w:p>
            <w:pPr>
              <w:ind w:left="120"/>
              <w:spacing w:after="0" w:line="202" w:lineRule="exact"/>
              <w:rPr>
                <w:sz w:val="20"/>
                <w:szCs w:val="20"/>
                <w:color w:val="auto"/>
              </w:rPr>
            </w:pPr>
            <w:r>
              <w:rPr>
                <w:rFonts w:ascii="Arial" w:cs="Arial" w:eastAsia="Arial" w:hAnsi="Arial"/>
                <w:sz w:val="18"/>
                <w:szCs w:val="18"/>
                <w:color w:val="auto"/>
              </w:rPr>
              <w:t>Acquisition of 30 Rockefeller Plaza properties</w:t>
            </w:r>
          </w:p>
        </w:tc>
        <w:tc>
          <w:tcPr>
            <w:tcW w:w="12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(1,311)</w:t>
            </w:r>
          </w:p>
        </w:tc>
        <w:tc>
          <w:tcPr>
            <w:tcW w:w="0" w:type="dxa"/>
            <w:vAlign w:val="bottom"/>
          </w:tcPr>
          <w:p>
            <w:pPr>
              <w:spacing w:after="0"/>
              <w:rPr>
                <w:sz w:val="1"/>
                <w:szCs w:val="1"/>
                <w:color w:val="auto"/>
              </w:rPr>
            </w:pPr>
          </w:p>
        </w:tc>
      </w:tr>
      <w:tr>
        <w:trPr>
          <w:trHeight w:val="203"/>
        </w:trPr>
        <w:tc>
          <w:tcPr>
            <w:tcW w:w="8320" w:type="dxa"/>
            <w:vAlign w:val="bottom"/>
          </w:tcPr>
          <w:p>
            <w:pPr>
              <w:ind w:left="120"/>
              <w:spacing w:after="0" w:line="202" w:lineRule="exact"/>
              <w:rPr>
                <w:sz w:val="20"/>
                <w:szCs w:val="20"/>
                <w:color w:val="auto"/>
              </w:rPr>
            </w:pPr>
            <w:r>
              <w:rPr>
                <w:rFonts w:ascii="Arial" w:cs="Arial" w:eastAsia="Arial" w:hAnsi="Arial"/>
                <w:sz w:val="18"/>
                <w:szCs w:val="18"/>
                <w:color w:val="auto"/>
              </w:rPr>
              <w:t>Proceeds from sales of businesses and investments</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64</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03"/>
        </w:trPr>
        <w:tc>
          <w:tcPr>
            <w:tcW w:w="8320" w:type="dxa"/>
            <w:vAlign w:val="bottom"/>
          </w:tcPr>
          <w:p>
            <w:pPr>
              <w:ind w:left="120"/>
              <w:spacing w:after="0" w:line="202" w:lineRule="exact"/>
              <w:rPr>
                <w:sz w:val="20"/>
                <w:szCs w:val="20"/>
                <w:color w:val="auto"/>
              </w:rPr>
            </w:pPr>
            <w:r>
              <w:rPr>
                <w:rFonts w:ascii="Arial" w:cs="Arial" w:eastAsia="Arial" w:hAnsi="Arial"/>
                <w:sz w:val="18"/>
                <w:szCs w:val="18"/>
                <w:color w:val="auto"/>
              </w:rPr>
              <w:t>Return of capital from investees</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146</w:t>
            </w:r>
          </w:p>
        </w:tc>
        <w:tc>
          <w:tcPr>
            <w:tcW w:w="0" w:type="dxa"/>
            <w:vAlign w:val="bottom"/>
          </w:tcPr>
          <w:p>
            <w:pPr>
              <w:spacing w:after="0"/>
              <w:rPr>
                <w:sz w:val="1"/>
                <w:szCs w:val="1"/>
                <w:color w:val="auto"/>
              </w:rPr>
            </w:pPr>
          </w:p>
        </w:tc>
      </w:tr>
      <w:tr>
        <w:trPr>
          <w:trHeight w:val="203"/>
        </w:trPr>
        <w:tc>
          <w:tcPr>
            <w:tcW w:w="8320" w:type="dxa"/>
            <w:vAlign w:val="bottom"/>
          </w:tcPr>
          <w:p>
            <w:pPr>
              <w:ind w:left="120"/>
              <w:spacing w:after="0" w:line="202" w:lineRule="exact"/>
              <w:rPr>
                <w:sz w:val="20"/>
                <w:szCs w:val="20"/>
                <w:color w:val="auto"/>
              </w:rPr>
            </w:pPr>
            <w:r>
              <w:rPr>
                <w:rFonts w:ascii="Arial" w:cs="Arial" w:eastAsia="Arial" w:hAnsi="Arial"/>
                <w:sz w:val="18"/>
                <w:szCs w:val="18"/>
                <w:color w:val="auto"/>
              </w:rPr>
              <w:t>Purchases of investments</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(108)</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(641)</w:t>
            </w:r>
          </w:p>
        </w:tc>
        <w:tc>
          <w:tcPr>
            <w:tcW w:w="0" w:type="dxa"/>
            <w:vAlign w:val="bottom"/>
          </w:tcPr>
          <w:p>
            <w:pPr>
              <w:spacing w:after="0"/>
              <w:rPr>
                <w:sz w:val="1"/>
                <w:szCs w:val="1"/>
                <w:color w:val="auto"/>
              </w:rPr>
            </w:pPr>
          </w:p>
        </w:tc>
      </w:tr>
      <w:tr>
        <w:trPr>
          <w:trHeight w:val="225"/>
        </w:trPr>
        <w:tc>
          <w:tcPr>
            <w:tcW w:w="8320" w:type="dxa"/>
            <w:vAlign w:val="bottom"/>
          </w:tcPr>
          <w:p>
            <w:pPr>
              <w:ind w:left="12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66</w:t>
            </w:r>
          </w:p>
        </w:tc>
        <w:tc>
          <w:tcPr>
            <w:tcW w:w="0" w:type="dxa"/>
            <w:vAlign w:val="bottom"/>
          </w:tcPr>
          <w:p>
            <w:pPr>
              <w:spacing w:after="0"/>
              <w:rPr>
                <w:sz w:val="1"/>
                <w:szCs w:val="1"/>
                <w:color w:val="auto"/>
              </w:rPr>
            </w:pPr>
          </w:p>
        </w:tc>
      </w:tr>
      <w:tr>
        <w:trPr>
          <w:trHeight w:val="399"/>
        </w:trPr>
        <w:tc>
          <w:tcPr>
            <w:tcW w:w="8320" w:type="dxa"/>
            <w:vAlign w:val="bottom"/>
          </w:tcPr>
          <w:p>
            <w:pPr>
              <w:ind w:left="520"/>
              <w:spacing w:after="0"/>
              <w:rPr>
                <w:sz w:val="20"/>
                <w:szCs w:val="20"/>
                <w:color w:val="auto"/>
              </w:rPr>
            </w:pPr>
            <w:r>
              <w:rPr>
                <w:rFonts w:ascii="Arial" w:cs="Arial" w:eastAsia="Arial" w:hAnsi="Arial"/>
                <w:sz w:val="18"/>
                <w:szCs w:val="18"/>
                <w:color w:val="auto"/>
              </w:rPr>
              <w:t>Net cash provided by (used in) investing activities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w:t>
            </w:r>
          </w:p>
        </w:tc>
        <w:tc>
          <w:tcPr>
            <w:tcW w:w="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(4,960)</w:t>
            </w:r>
          </w:p>
        </w:tc>
        <w:tc>
          <w:tcPr>
            <w:tcW w:w="0" w:type="dxa"/>
            <w:vAlign w:val="bottom"/>
          </w:tcPr>
          <w:p>
            <w:pPr>
              <w:spacing w:after="0"/>
              <w:rPr>
                <w:sz w:val="1"/>
                <w:szCs w:val="1"/>
                <w:color w:val="auto"/>
              </w:rPr>
            </w:pPr>
          </w:p>
        </w:tc>
      </w:tr>
      <w:tr>
        <w:trPr>
          <w:trHeight w:val="398"/>
        </w:trPr>
        <w:tc>
          <w:tcPr>
            <w:tcW w:w="83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348</w:t>
            </w:r>
          </w:p>
        </w:tc>
        <w:tc>
          <w:tcPr>
            <w:tcW w:w="0" w:type="dxa"/>
            <w:vAlign w:val="bottom"/>
          </w:tcPr>
          <w:p>
            <w:pPr>
              <w:spacing w:after="0"/>
              <w:rPr>
                <w:sz w:val="1"/>
                <w:szCs w:val="1"/>
                <w:color w:val="auto"/>
              </w:rPr>
            </w:pPr>
          </w:p>
        </w:tc>
      </w:tr>
      <w:tr>
        <w:trPr>
          <w:trHeight w:val="181"/>
        </w:trPr>
        <w:tc>
          <w:tcPr>
            <w:tcW w:w="8320" w:type="dxa"/>
            <w:vAlign w:val="bottom"/>
          </w:tcPr>
          <w:p>
            <w:pPr>
              <w:ind w:left="120"/>
              <w:spacing w:after="0" w:line="181" w:lineRule="exact"/>
              <w:rPr>
                <w:sz w:val="20"/>
                <w:szCs w:val="20"/>
                <w:color w:val="auto"/>
              </w:rPr>
            </w:pPr>
            <w:r>
              <w:rPr>
                <w:rFonts w:ascii="Arial" w:cs="Arial" w:eastAsia="Arial" w:hAnsi="Arial"/>
                <w:sz w:val="18"/>
                <w:szCs w:val="18"/>
                <w:color w:val="auto"/>
              </w:rPr>
              <w:t>Proceeds from (repayments of) short-term borrowings, net</w:t>
            </w:r>
          </w:p>
        </w:tc>
        <w:tc>
          <w:tcPr>
            <w:tcW w:w="1200" w:type="dxa"/>
            <w:vAlign w:val="bottom"/>
          </w:tcPr>
          <w:p>
            <w:pPr>
              <w:jc w:val="right"/>
              <w:spacing w:after="0" w:line="181" w:lineRule="exact"/>
              <w:rPr>
                <w:sz w:val="20"/>
                <w:szCs w:val="20"/>
                <w:color w:val="auto"/>
              </w:rPr>
            </w:pPr>
            <w:r>
              <w:rPr>
                <w:rFonts w:ascii="Arial" w:cs="Arial" w:eastAsia="Arial" w:hAnsi="Arial"/>
                <w:sz w:val="18"/>
                <w:szCs w:val="18"/>
                <w:color w:val="auto"/>
              </w:rPr>
              <w:t>(554)</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120"/>
              <w:spacing w:after="0" w:line="202" w:lineRule="exact"/>
              <w:rPr>
                <w:sz w:val="20"/>
                <w:szCs w:val="20"/>
                <w:color w:val="auto"/>
              </w:rPr>
            </w:pPr>
            <w:r>
              <w:rPr>
                <w:rFonts w:ascii="Arial" w:cs="Arial" w:eastAsia="Arial" w:hAnsi="Arial"/>
                <w:sz w:val="18"/>
                <w:szCs w:val="18"/>
                <w:color w:val="auto"/>
              </w:rPr>
              <w:t>Proceeds from borrowings</w:t>
            </w:r>
          </w:p>
        </w:tc>
        <w:tc>
          <w:tcPr>
            <w:tcW w:w="12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2,933</w:t>
            </w:r>
          </w:p>
        </w:tc>
        <w:tc>
          <w:tcPr>
            <w:tcW w:w="0" w:type="dxa"/>
            <w:vAlign w:val="bottom"/>
          </w:tcPr>
          <w:p>
            <w:pPr>
              <w:spacing w:after="0"/>
              <w:rPr>
                <w:sz w:val="1"/>
                <w:szCs w:val="1"/>
                <w:color w:val="auto"/>
              </w:rPr>
            </w:pPr>
          </w:p>
        </w:tc>
      </w:tr>
      <w:tr>
        <w:trPr>
          <w:trHeight w:val="203"/>
        </w:trPr>
        <w:tc>
          <w:tcPr>
            <w:tcW w:w="8320" w:type="dxa"/>
            <w:vAlign w:val="bottom"/>
          </w:tcPr>
          <w:p>
            <w:pPr>
              <w:ind w:left="120"/>
              <w:spacing w:after="0" w:line="202" w:lineRule="exact"/>
              <w:rPr>
                <w:sz w:val="20"/>
                <w:szCs w:val="20"/>
                <w:color w:val="auto"/>
              </w:rPr>
            </w:pPr>
            <w:r>
              <w:rPr>
                <w:rFonts w:ascii="Arial" w:cs="Arial" w:eastAsia="Arial" w:hAnsi="Arial"/>
                <w:sz w:val="18"/>
                <w:szCs w:val="18"/>
                <w:color w:val="auto"/>
              </w:rPr>
              <w:t>Repurchases and repayments of debt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(1,692)</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(2,195)</w:t>
            </w:r>
          </w:p>
        </w:tc>
        <w:tc>
          <w:tcPr>
            <w:tcW w:w="0" w:type="dxa"/>
            <w:vAlign w:val="bottom"/>
          </w:tcPr>
          <w:p>
            <w:pPr>
              <w:spacing w:after="0"/>
              <w:rPr>
                <w:sz w:val="1"/>
                <w:szCs w:val="1"/>
                <w:color w:val="auto"/>
              </w:rPr>
            </w:pPr>
          </w:p>
        </w:tc>
      </w:tr>
      <w:tr>
        <w:trPr>
          <w:trHeight w:val="203"/>
        </w:trPr>
        <w:tc>
          <w:tcPr>
            <w:tcW w:w="8320" w:type="dxa"/>
            <w:vAlign w:val="bottom"/>
          </w:tcPr>
          <w:p>
            <w:pPr>
              <w:ind w:left="120"/>
              <w:spacing w:after="0" w:line="202" w:lineRule="exact"/>
              <w:rPr>
                <w:sz w:val="20"/>
                <w:szCs w:val="20"/>
                <w:color w:val="auto"/>
              </w:rPr>
            </w:pPr>
            <w:r>
              <w:rPr>
                <w:rFonts w:ascii="Arial" w:cs="Arial" w:eastAsia="Arial" w:hAnsi="Arial"/>
                <w:sz w:val="18"/>
                <w:szCs w:val="18"/>
                <w:color w:val="auto"/>
              </w:rPr>
              <w:t>Repurchases and retirements of common stock</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(1,500)</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3"/>
        </w:trPr>
        <w:tc>
          <w:tcPr>
            <w:tcW w:w="8320" w:type="dxa"/>
            <w:vAlign w:val="bottom"/>
          </w:tcPr>
          <w:p>
            <w:pPr>
              <w:ind w:left="120"/>
              <w:spacing w:after="0" w:line="202" w:lineRule="exact"/>
              <w:rPr>
                <w:sz w:val="20"/>
                <w:szCs w:val="20"/>
                <w:color w:val="auto"/>
              </w:rPr>
            </w:pPr>
            <w:r>
              <w:rPr>
                <w:rFonts w:ascii="Arial" w:cs="Arial" w:eastAsia="Arial" w:hAnsi="Arial"/>
                <w:sz w:val="18"/>
                <w:szCs w:val="18"/>
                <w:color w:val="auto"/>
              </w:rPr>
              <w:t>Dividends paid</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(741)</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(942)</w:t>
            </w:r>
          </w:p>
        </w:tc>
        <w:tc>
          <w:tcPr>
            <w:tcW w:w="0" w:type="dxa"/>
            <w:vAlign w:val="bottom"/>
          </w:tcPr>
          <w:p>
            <w:pPr>
              <w:spacing w:after="0"/>
              <w:rPr>
                <w:sz w:val="1"/>
                <w:szCs w:val="1"/>
                <w:color w:val="auto"/>
              </w:rPr>
            </w:pPr>
          </w:p>
        </w:tc>
      </w:tr>
      <w:tr>
        <w:trPr>
          <w:trHeight w:val="203"/>
        </w:trPr>
        <w:tc>
          <w:tcPr>
            <w:tcW w:w="8320" w:type="dxa"/>
            <w:vAlign w:val="bottom"/>
          </w:tcPr>
          <w:p>
            <w:pPr>
              <w:ind w:left="120"/>
              <w:spacing w:after="0" w:line="202" w:lineRule="exact"/>
              <w:rPr>
                <w:sz w:val="20"/>
                <w:szCs w:val="20"/>
                <w:color w:val="auto"/>
              </w:rPr>
            </w:pPr>
            <w:r>
              <w:rPr>
                <w:rFonts w:ascii="Arial" w:cs="Arial" w:eastAsia="Arial" w:hAnsi="Arial"/>
                <w:sz w:val="18"/>
                <w:szCs w:val="18"/>
                <w:color w:val="auto"/>
              </w:rPr>
              <w:t>Issuances of common stock</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184</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03"/>
        </w:trPr>
        <w:tc>
          <w:tcPr>
            <w:tcW w:w="8320" w:type="dxa"/>
            <w:vAlign w:val="bottom"/>
          </w:tcPr>
          <w:p>
            <w:pPr>
              <w:ind w:left="120"/>
              <w:spacing w:after="0" w:line="202" w:lineRule="exact"/>
              <w:rPr>
                <w:sz w:val="20"/>
                <w:szCs w:val="20"/>
                <w:color w:val="auto"/>
              </w:rPr>
            </w:pPr>
            <w:r>
              <w:rPr>
                <w:rFonts w:ascii="Arial" w:cs="Arial" w:eastAsia="Arial" w:hAnsi="Arial"/>
                <w:sz w:val="18"/>
                <w:szCs w:val="18"/>
                <w:color w:val="auto"/>
              </w:rPr>
              <w:t>Purchase of NBCUniversal noncontrolling common equity interest</w:t>
            </w:r>
          </w:p>
        </w:tc>
        <w:tc>
          <w:tcPr>
            <w:tcW w:w="12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(10,761)</w:t>
            </w:r>
          </w:p>
        </w:tc>
        <w:tc>
          <w:tcPr>
            <w:tcW w:w="0" w:type="dxa"/>
            <w:vAlign w:val="bottom"/>
          </w:tcPr>
          <w:p>
            <w:pPr>
              <w:spacing w:after="0"/>
              <w:rPr>
                <w:sz w:val="1"/>
                <w:szCs w:val="1"/>
                <w:color w:val="auto"/>
              </w:rPr>
            </w:pPr>
          </w:p>
        </w:tc>
      </w:tr>
      <w:tr>
        <w:trPr>
          <w:trHeight w:val="203"/>
        </w:trPr>
        <w:tc>
          <w:tcPr>
            <w:tcW w:w="8320" w:type="dxa"/>
            <w:vAlign w:val="bottom"/>
          </w:tcPr>
          <w:p>
            <w:pPr>
              <w:ind w:left="120"/>
              <w:spacing w:after="0" w:line="202" w:lineRule="exact"/>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(233)</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(116)</w:t>
            </w:r>
          </w:p>
        </w:tc>
        <w:tc>
          <w:tcPr>
            <w:tcW w:w="0" w:type="dxa"/>
            <w:vAlign w:val="bottom"/>
          </w:tcPr>
          <w:p>
            <w:pPr>
              <w:spacing w:after="0"/>
              <w:rPr>
                <w:sz w:val="1"/>
                <w:szCs w:val="1"/>
                <w:color w:val="auto"/>
              </w:rPr>
            </w:pPr>
          </w:p>
        </w:tc>
      </w:tr>
      <w:tr>
        <w:trPr>
          <w:trHeight w:val="239"/>
        </w:trPr>
        <w:tc>
          <w:tcPr>
            <w:tcW w:w="8320" w:type="dxa"/>
            <w:vAlign w:val="bottom"/>
          </w:tcPr>
          <w:p>
            <w:pPr>
              <w:ind w:left="120"/>
              <w:spacing w:after="0"/>
              <w:rPr>
                <w:sz w:val="20"/>
                <w:szCs w:val="20"/>
                <w:color w:val="auto"/>
              </w:rPr>
            </w:pPr>
            <w:r>
              <w:rPr>
                <w:rFonts w:ascii="Arial" w:cs="Arial" w:eastAsia="Arial" w:hAnsi="Arial"/>
                <w:sz w:val="18"/>
                <w:szCs w:val="18"/>
                <w:color w:val="auto"/>
              </w:rPr>
              <w:t>Settlement of Station Venture liability</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(602)</w:t>
            </w:r>
          </w:p>
        </w:tc>
        <w:tc>
          <w:tcPr>
            <w:tcW w:w="0" w:type="dxa"/>
            <w:vAlign w:val="bottom"/>
          </w:tcPr>
          <w:p>
            <w:pPr>
              <w:spacing w:after="0"/>
              <w:rPr>
                <w:sz w:val="1"/>
                <w:szCs w:val="1"/>
                <w:color w:val="auto"/>
              </w:rPr>
            </w:pPr>
          </w:p>
        </w:tc>
      </w:tr>
    </w:tbl>
    <w:p>
      <w:pPr>
        <w:sectPr>
          <w:pgSz w:w="11900" w:h="16911" w:orient="portrait"/>
          <w:cols w:equalWidth="0" w:num="1">
            <w:col w:w="11460"/>
          </w:cols>
          <w:pgMar w:left="240" w:top="118" w:right="199" w:bottom="0" w:gutter="0" w:footer="0" w:header="0"/>
        </w:sectPr>
      </w:pPr>
    </w:p>
    <w:bookmarkStart w:id="8" w:name="page9"/>
    <w:bookmarkEnd w:id="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40" w:type="dxa"/>
            <w:vAlign w:val="bottom"/>
          </w:tcPr>
          <w:p>
            <w:pPr>
              <w:ind w:left="460"/>
              <w:spacing w:after="0"/>
              <w:rPr>
                <w:sz w:val="20"/>
                <w:szCs w:val="20"/>
                <w:color w:val="auto"/>
              </w:rPr>
            </w:pPr>
            <w:r>
              <w:rPr>
                <w:rFonts w:ascii="Arial" w:cs="Arial" w:eastAsia="Arial" w:hAnsi="Arial"/>
                <w:sz w:val="18"/>
                <w:szCs w:val="18"/>
                <w:color w:val="auto"/>
              </w:rPr>
              <w:t>Other</w:t>
            </w:r>
          </w:p>
        </w:tc>
        <w:tc>
          <w:tcPr>
            <w:tcW w:w="3420" w:type="dxa"/>
            <w:vAlign w:val="bottom"/>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5240" w:type="dxa"/>
            <w:vAlign w:val="bottom"/>
          </w:tcPr>
          <w:p>
            <w:pPr>
              <w:ind w:left="860"/>
              <w:spacing w:after="0"/>
              <w:rPr>
                <w:sz w:val="20"/>
                <w:szCs w:val="20"/>
                <w:color w:val="auto"/>
              </w:rPr>
            </w:pPr>
            <w:r>
              <w:rPr>
                <w:rFonts w:ascii="Arial" w:cs="Arial" w:eastAsia="Arial" w:hAnsi="Arial"/>
                <w:sz w:val="18"/>
                <w:szCs w:val="18"/>
                <w:color w:val="auto"/>
              </w:rPr>
              <w:t>Net cash provided by (used in) financing activities</w:t>
            </w:r>
          </w:p>
        </w:tc>
        <w:tc>
          <w:tcPr>
            <w:tcW w:w="342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(4,505)</w:t>
            </w:r>
          </w:p>
        </w:tc>
        <w:tc>
          <w:tcPr>
            <w:tcW w:w="28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(12,287)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40" w:type="dxa"/>
            <w:vAlign w:val="bottom"/>
          </w:tcPr>
          <w:p>
            <w:pPr>
              <w:ind w:left="340"/>
              <w:spacing w:after="0"/>
              <w:rPr>
                <w:sz w:val="20"/>
                <w:szCs w:val="20"/>
                <w:color w:val="auto"/>
              </w:rPr>
            </w:pPr>
            <w:r>
              <w:rPr>
                <w:rFonts w:ascii="Arial" w:cs="Arial" w:eastAsia="Arial" w:hAnsi="Arial"/>
                <w:sz w:val="18"/>
                <w:szCs w:val="18"/>
                <w:color w:val="auto"/>
              </w:rPr>
              <w:t>Increase (decrease) in cash and cash equivalents</w:t>
            </w:r>
          </w:p>
        </w:tc>
        <w:tc>
          <w:tcPr>
            <w:tcW w:w="4620" w:type="dxa"/>
            <w:vAlign w:val="bottom"/>
            <w:gridSpan w:val="2"/>
          </w:tcPr>
          <w:p>
            <w:pPr>
              <w:jc w:val="right"/>
              <w:ind w:right="10"/>
              <w:spacing w:after="0"/>
              <w:rPr>
                <w:sz w:val="20"/>
                <w:szCs w:val="20"/>
                <w:color w:val="auto"/>
              </w:rPr>
            </w:pPr>
            <w:r>
              <w:rPr>
                <w:rFonts w:ascii="Arial" w:cs="Arial" w:eastAsia="Arial" w:hAnsi="Arial"/>
                <w:sz w:val="18"/>
                <w:szCs w:val="18"/>
                <w:color w:val="auto"/>
              </w:rPr>
              <w:t>481</w:t>
            </w: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(9,562)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240" w:type="dxa"/>
            <w:vAlign w:val="bottom"/>
          </w:tcPr>
          <w:p>
            <w:pPr>
              <w:ind w:left="340"/>
              <w:spacing w:after="0"/>
              <w:rPr>
                <w:sz w:val="20"/>
                <w:szCs w:val="20"/>
                <w:color w:val="auto"/>
              </w:rPr>
            </w:pPr>
            <w:r>
              <w:rPr>
                <w:rFonts w:ascii="Arial" w:cs="Arial" w:eastAsia="Arial" w:hAnsi="Arial"/>
                <w:sz w:val="18"/>
                <w:szCs w:val="18"/>
                <w:color w:val="auto"/>
              </w:rPr>
              <w:t>Cash and cash equivalents, beginning of period</w:t>
            </w:r>
          </w:p>
        </w:tc>
        <w:tc>
          <w:tcPr>
            <w:tcW w:w="3420" w:type="dxa"/>
            <w:vAlign w:val="bottom"/>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1,620</w:t>
            </w:r>
          </w:p>
        </w:tc>
        <w:tc>
          <w:tcPr>
            <w:tcW w:w="280" w:type="dxa"/>
            <w:vAlign w:val="bottom"/>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10,951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240" w:type="dxa"/>
            <w:vAlign w:val="bottom"/>
          </w:tcPr>
          <w:p>
            <w:pPr>
              <w:ind w:left="340"/>
              <w:spacing w:after="0"/>
              <w:rPr>
                <w:sz w:val="20"/>
                <w:szCs w:val="20"/>
                <w:color w:val="auto"/>
              </w:rPr>
            </w:pPr>
            <w:r>
              <w:rPr>
                <w:rFonts w:ascii="Arial" w:cs="Arial" w:eastAsia="Arial" w:hAnsi="Arial"/>
                <w:sz w:val="18"/>
                <w:szCs w:val="18"/>
                <w:b w:val="1"/>
                <w:bCs w:val="1"/>
                <w:color w:val="auto"/>
              </w:rPr>
              <w:t>Cash and cash equivalents, end of period</w:t>
            </w:r>
          </w:p>
        </w:tc>
        <w:tc>
          <w:tcPr>
            <w:tcW w:w="4620" w:type="dxa"/>
            <w:vAlign w:val="bottom"/>
            <w:gridSpan w:val="2"/>
          </w:tcPr>
          <w:p>
            <w:pPr>
              <w:jc w:val="right"/>
              <w:ind w:right="10"/>
              <w:spacing w:after="0"/>
              <w:rPr>
                <w:sz w:val="20"/>
                <w:szCs w:val="20"/>
                <w:color w:val="auto"/>
              </w:rPr>
            </w:pPr>
            <w:r>
              <w:rPr>
                <w:rFonts w:ascii="Arial" w:cs="Arial" w:eastAsia="Arial" w:hAnsi="Arial"/>
                <w:sz w:val="18"/>
                <w:szCs w:val="18"/>
                <w:color w:val="auto"/>
              </w:rPr>
              <w:t>$2,101</w:t>
            </w:r>
          </w:p>
        </w:tc>
        <w:tc>
          <w:tcPr>
            <w:tcW w:w="28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$1,389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420" w:type="dxa"/>
            <w:vAlign w:val="bottom"/>
            <w:vMerge w:val="restart"/>
          </w:tcPr>
          <w:p>
            <w:pPr>
              <w:jc w:val="right"/>
              <w:ind w:right="2816"/>
              <w:spacing w:after="0"/>
              <w:rPr>
                <w:sz w:val="20"/>
                <w:szCs w:val="20"/>
                <w:color w:val="auto"/>
              </w:rPr>
            </w:pPr>
            <w:r>
              <w:rPr>
                <w:rFonts w:ascii="Arial" w:cs="Arial" w:eastAsia="Arial" w:hAnsi="Arial"/>
                <w:sz w:val="14"/>
                <w:szCs w:val="14"/>
                <w:color w:val="auto"/>
              </w:rPr>
              <w:t>9</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524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240" w:type="dxa"/>
            <w:vAlign w:val="bottom"/>
            <w:tcBorders>
              <w:bottom w:val="single" w:sz="8" w:color="010101"/>
            </w:tcBorders>
          </w:tcPr>
          <w:p>
            <w:pPr>
              <w:spacing w:after="0"/>
              <w:rPr>
                <w:sz w:val="10"/>
                <w:szCs w:val="10"/>
                <w:color w:val="auto"/>
              </w:rPr>
            </w:pPr>
          </w:p>
        </w:tc>
        <w:tc>
          <w:tcPr>
            <w:tcW w:w="3420" w:type="dxa"/>
            <w:vAlign w:val="bottom"/>
            <w:tcBorders>
              <w:bottom w:val="single" w:sz="8" w:color="010101"/>
            </w:tcBorders>
          </w:tcPr>
          <w:p>
            <w:pPr>
              <w:spacing w:after="0"/>
              <w:rPr>
                <w:sz w:val="10"/>
                <w:szCs w:val="10"/>
                <w:color w:val="auto"/>
              </w:rPr>
            </w:pPr>
          </w:p>
        </w:tc>
        <w:tc>
          <w:tcPr>
            <w:tcW w:w="1200" w:type="dxa"/>
            <w:vAlign w:val="bottom"/>
            <w:tcBorders>
              <w:bottom w:val="single" w:sz="8" w:color="010101"/>
            </w:tcBorders>
          </w:tcPr>
          <w:p>
            <w:pPr>
              <w:spacing w:after="0"/>
              <w:rPr>
                <w:sz w:val="10"/>
                <w:szCs w:val="10"/>
                <w:color w:val="auto"/>
              </w:rPr>
            </w:pPr>
          </w:p>
        </w:tc>
        <w:tc>
          <w:tcPr>
            <w:tcW w:w="280" w:type="dxa"/>
            <w:vAlign w:val="bottom"/>
            <w:tcBorders>
              <w:bottom w:val="single" w:sz="8" w:color="010101"/>
            </w:tcBorders>
          </w:tcPr>
          <w:p>
            <w:pPr>
              <w:spacing w:after="0"/>
              <w:rPr>
                <w:sz w:val="10"/>
                <w:szCs w:val="10"/>
                <w:color w:val="auto"/>
              </w:rPr>
            </w:pPr>
          </w:p>
        </w:tc>
        <w:tc>
          <w:tcPr>
            <w:tcW w:w="1220" w:type="dxa"/>
            <w:vAlign w:val="bottom"/>
            <w:tcBorders>
              <w:bottom w:val="single" w:sz="8" w:color="010101"/>
            </w:tcBorders>
          </w:tcPr>
          <w:p>
            <w:pPr>
              <w:spacing w:after="0"/>
              <w:rPr>
                <w:sz w:val="10"/>
                <w:szCs w:val="10"/>
                <w:color w:val="auto"/>
              </w:rPr>
            </w:pPr>
          </w:p>
        </w:tc>
        <w:tc>
          <w:tcPr>
            <w:tcW w:w="10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9"/>
          <w:szCs w:val="29"/>
          <w:b w:val="1"/>
          <w:bCs w:val="1"/>
          <w:color w:val="808080"/>
        </w:rPr>
        <w:t>TABLE 4</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b w:val="1"/>
          <w:bCs w:val="1"/>
          <w:color w:val="808080"/>
        </w:rPr>
        <w:t>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4032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03225"/>
                    </a:xfrm>
                    <a:prstGeom prst="rect">
                      <a:avLst/>
                    </a:prstGeom>
                    <a:noFill/>
                  </pic:spPr>
                </pic:pic>
              </a:graphicData>
            </a:graphic>
          </wp:anchor>
        </w:drawing>
      </w:r>
    </w:p>
    <w:p>
      <w:pPr>
        <w:spacing w:after="0" w:line="199" w:lineRule="exact"/>
        <w:rPr>
          <w:sz w:val="20"/>
          <w:szCs w:val="20"/>
          <w:color w:val="auto"/>
        </w:rPr>
      </w:pPr>
    </w:p>
    <w:p>
      <w:pPr>
        <w:ind w:right="2380"/>
        <w:spacing w:after="0" w:line="261" w:lineRule="auto"/>
        <w:rPr>
          <w:sz w:val="20"/>
          <w:szCs w:val="20"/>
          <w:color w:val="auto"/>
        </w:rPr>
      </w:pPr>
      <w:r>
        <w:rPr>
          <w:rFonts w:ascii="Arial" w:cs="Arial" w:eastAsia="Arial" w:hAnsi="Arial"/>
          <w:sz w:val="22"/>
          <w:szCs w:val="22"/>
          <w:b w:val="1"/>
          <w:bCs w:val="1"/>
          <w:color w:val="808080"/>
        </w:rPr>
        <w:t>Alternate Presentation of Net Cash Provided by Operating Activities and Free Cash Flow (Unaudited)</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240" w:type="dxa"/>
            <w:vAlign w:val="bottom"/>
            <w:gridSpan w:val="3"/>
          </w:tcPr>
          <w:p>
            <w:pPr>
              <w:jc w:val="center"/>
              <w:ind w:left="648"/>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3"/>
          </w:tcPr>
          <w:p>
            <w:pPr>
              <w:jc w:val="center"/>
              <w:ind w:left="728"/>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3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020" w:type="dxa"/>
            <w:vAlign w:val="bottom"/>
            <w:vMerge w:val="restart"/>
          </w:tcPr>
          <w:p>
            <w:pPr>
              <w:jc w:val="right"/>
              <w:ind w:right="288"/>
              <w:spacing w:after="0"/>
              <w:rPr>
                <w:sz w:val="20"/>
                <w:szCs w:val="20"/>
                <w:color w:val="auto"/>
              </w:rPr>
            </w:pPr>
            <w:r>
              <w:rPr>
                <w:rFonts w:ascii="Arial" w:cs="Arial" w:eastAsia="Arial" w:hAnsi="Arial"/>
                <w:sz w:val="14"/>
                <w:szCs w:val="14"/>
                <w:color w:val="auto"/>
              </w:rPr>
              <w:t>2012</w:t>
            </w: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June 30,</w:t>
            </w:r>
          </w:p>
        </w:tc>
        <w:tc>
          <w:tcPr>
            <w:tcW w:w="7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restart"/>
          </w:tcPr>
          <w:p>
            <w:pPr>
              <w:jc w:val="right"/>
              <w:ind w:right="288"/>
              <w:spacing w:after="0"/>
              <w:rPr>
                <w:sz w:val="20"/>
                <w:szCs w:val="20"/>
                <w:color w:val="auto"/>
              </w:rPr>
            </w:pPr>
            <w:r>
              <w:rPr>
                <w:rFonts w:ascii="Arial" w:cs="Arial" w:eastAsia="Arial" w:hAnsi="Arial"/>
                <w:sz w:val="14"/>
                <w:szCs w:val="14"/>
                <w:color w:val="auto"/>
              </w:rPr>
              <w:t>2012</w:t>
            </w: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June 30,</w:t>
            </w:r>
          </w:p>
        </w:tc>
        <w:tc>
          <w:tcPr>
            <w:tcW w:w="8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47"/>
        </w:trPr>
        <w:tc>
          <w:tcPr>
            <w:tcW w:w="4320" w:type="dxa"/>
            <w:vAlign w:val="bottom"/>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line="143" w:lineRule="exact"/>
              <w:rPr>
                <w:sz w:val="20"/>
                <w:szCs w:val="20"/>
                <w:color w:val="auto"/>
              </w:rPr>
            </w:pPr>
            <w:r>
              <w:rPr>
                <w:rFonts w:ascii="Arial" w:cs="Arial" w:eastAsia="Arial" w:hAnsi="Arial"/>
                <w:sz w:val="14"/>
                <w:szCs w:val="14"/>
                <w:color w:val="auto"/>
              </w:rPr>
              <w:t>Operating income</w:t>
            </w:r>
          </w:p>
        </w:tc>
        <w:tc>
          <w:tcPr>
            <w:tcW w:w="1020" w:type="dxa"/>
            <w:vAlign w:val="bottom"/>
          </w:tcPr>
          <w:p>
            <w:pPr>
              <w:jc w:val="right"/>
              <w:ind w:right="8"/>
              <w:spacing w:after="0" w:line="143" w:lineRule="exact"/>
              <w:rPr>
                <w:sz w:val="20"/>
                <w:szCs w:val="20"/>
                <w:color w:val="auto"/>
              </w:rPr>
            </w:pPr>
            <w:r>
              <w:rPr>
                <w:rFonts w:ascii="Arial" w:cs="Arial" w:eastAsia="Arial" w:hAnsi="Arial"/>
                <w:sz w:val="14"/>
                <w:szCs w:val="14"/>
                <w:color w:val="auto"/>
              </w:rPr>
              <w:t>$3,079</w:t>
            </w: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ind w:right="8"/>
              <w:spacing w:after="0" w:line="143" w:lineRule="exact"/>
              <w:rPr>
                <w:sz w:val="20"/>
                <w:szCs w:val="20"/>
                <w:color w:val="auto"/>
              </w:rPr>
            </w:pPr>
            <w:r>
              <w:rPr>
                <w:rFonts w:ascii="Arial" w:cs="Arial" w:eastAsia="Arial" w:hAnsi="Arial"/>
                <w:sz w:val="14"/>
                <w:szCs w:val="14"/>
                <w:b w:val="1"/>
                <w:bCs w:val="1"/>
                <w:color w:val="auto"/>
              </w:rPr>
              <w:t>$3,435</w:t>
            </w: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spacing w:after="0" w:line="143" w:lineRule="exact"/>
              <w:rPr>
                <w:sz w:val="20"/>
                <w:szCs w:val="20"/>
                <w:color w:val="auto"/>
              </w:rPr>
            </w:pPr>
            <w:r>
              <w:rPr>
                <w:rFonts w:ascii="Arial" w:cs="Arial" w:eastAsia="Arial" w:hAnsi="Arial"/>
                <w:sz w:val="14"/>
                <w:szCs w:val="14"/>
                <w:color w:val="auto"/>
              </w:rPr>
              <w:t>$5,837</w:t>
            </w: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ind w:right="8"/>
              <w:spacing w:after="0" w:line="143" w:lineRule="exact"/>
              <w:rPr>
                <w:sz w:val="20"/>
                <w:szCs w:val="20"/>
                <w:color w:val="auto"/>
              </w:rPr>
            </w:pPr>
            <w:r>
              <w:rPr>
                <w:rFonts w:ascii="Arial" w:cs="Arial" w:eastAsia="Arial" w:hAnsi="Arial"/>
                <w:sz w:val="14"/>
                <w:szCs w:val="14"/>
                <w:b w:val="1"/>
                <w:bCs w:val="1"/>
                <w:color w:val="auto"/>
              </w:rPr>
              <w:t>$6,502</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1,925</w:t>
            </w:r>
          </w:p>
        </w:tc>
        <w:tc>
          <w:tcPr>
            <w:tcW w:w="9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1,990</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3,855</w:t>
            </w:r>
          </w:p>
        </w:tc>
        <w:tc>
          <w:tcPr>
            <w:tcW w:w="9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3,957</w:t>
            </w:r>
          </w:p>
        </w:tc>
        <w:tc>
          <w:tcPr>
            <w:tcW w:w="0" w:type="dxa"/>
            <w:vAlign w:val="bottom"/>
          </w:tcPr>
          <w:p>
            <w:pPr>
              <w:spacing w:after="0"/>
              <w:rPr>
                <w:sz w:val="1"/>
                <w:szCs w:val="1"/>
                <w:color w:val="auto"/>
              </w:rPr>
            </w:pPr>
          </w:p>
        </w:tc>
      </w:tr>
      <w:tr>
        <w:trPr>
          <w:trHeight w:val="142"/>
        </w:trPr>
        <w:tc>
          <w:tcPr>
            <w:tcW w:w="4320" w:type="dxa"/>
            <w:vAlign w:val="bottom"/>
          </w:tcPr>
          <w:p>
            <w:pPr>
              <w:spacing w:after="0" w:line="143" w:lineRule="exact"/>
              <w:rPr>
                <w:sz w:val="20"/>
                <w:szCs w:val="20"/>
                <w:color w:val="auto"/>
              </w:rPr>
            </w:pPr>
            <w:r>
              <w:rPr>
                <w:rFonts w:ascii="Arial" w:cs="Arial" w:eastAsia="Arial" w:hAnsi="Arial"/>
                <w:sz w:val="14"/>
                <w:szCs w:val="14"/>
                <w:color w:val="auto"/>
              </w:rPr>
              <w:t>Operating income before depreciation and amortization</w:t>
            </w:r>
          </w:p>
        </w:tc>
        <w:tc>
          <w:tcPr>
            <w:tcW w:w="1020" w:type="dxa"/>
            <w:vAlign w:val="bottom"/>
          </w:tcPr>
          <w:p>
            <w:pPr>
              <w:jc w:val="right"/>
              <w:ind w:right="8"/>
              <w:spacing w:after="0" w:line="143" w:lineRule="exact"/>
              <w:rPr>
                <w:sz w:val="20"/>
                <w:szCs w:val="20"/>
                <w:color w:val="auto"/>
              </w:rPr>
            </w:pPr>
            <w:r>
              <w:rPr>
                <w:rFonts w:ascii="Arial" w:cs="Arial" w:eastAsia="Arial" w:hAnsi="Arial"/>
                <w:sz w:val="14"/>
                <w:szCs w:val="14"/>
                <w:color w:val="auto"/>
              </w:rPr>
              <w:t>5,004</w:t>
            </w: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ind w:right="8"/>
              <w:spacing w:after="0" w:line="143" w:lineRule="exact"/>
              <w:rPr>
                <w:sz w:val="20"/>
                <w:szCs w:val="20"/>
                <w:color w:val="auto"/>
              </w:rPr>
            </w:pPr>
            <w:r>
              <w:rPr>
                <w:rFonts w:ascii="Arial" w:cs="Arial" w:eastAsia="Arial" w:hAnsi="Arial"/>
                <w:sz w:val="14"/>
                <w:szCs w:val="14"/>
                <w:b w:val="1"/>
                <w:bCs w:val="1"/>
                <w:color w:val="auto"/>
              </w:rPr>
              <w:t>5,425</w:t>
            </w: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spacing w:after="0" w:line="143" w:lineRule="exact"/>
              <w:rPr>
                <w:sz w:val="20"/>
                <w:szCs w:val="20"/>
                <w:color w:val="auto"/>
              </w:rPr>
            </w:pPr>
            <w:r>
              <w:rPr>
                <w:rFonts w:ascii="Arial" w:cs="Arial" w:eastAsia="Arial" w:hAnsi="Arial"/>
                <w:sz w:val="14"/>
                <w:szCs w:val="14"/>
                <w:color w:val="auto"/>
              </w:rPr>
              <w:t>9,692</w:t>
            </w: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ind w:right="8"/>
              <w:spacing w:after="0" w:line="143" w:lineRule="exact"/>
              <w:rPr>
                <w:sz w:val="20"/>
                <w:szCs w:val="20"/>
                <w:color w:val="auto"/>
              </w:rPr>
            </w:pPr>
            <w:r>
              <w:rPr>
                <w:rFonts w:ascii="Arial" w:cs="Arial" w:eastAsia="Arial" w:hAnsi="Arial"/>
                <w:sz w:val="14"/>
                <w:szCs w:val="14"/>
                <w:b w:val="1"/>
                <w:bCs w:val="1"/>
                <w:color w:val="auto"/>
              </w:rPr>
              <w:t>10,459</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20"/>
                <w:szCs w:val="20"/>
                <w:color w:val="auto"/>
              </w:rPr>
            </w:pPr>
            <w:r>
              <w:rPr>
                <w:rFonts w:ascii="Arial" w:cs="Arial" w:eastAsia="Arial" w:hAnsi="Arial"/>
                <w:sz w:val="14"/>
                <w:szCs w:val="14"/>
                <w:color w:val="auto"/>
              </w:rPr>
              <w:t>Noncash share-based compensation expense</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rPr>
              <w:t>111</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189</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213</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w:t>
            </w:r>
          </w:p>
        </w:tc>
        <w:tc>
          <w:tcPr>
            <w:tcW w:w="9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49</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9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418</w:t>
            </w:r>
          </w:p>
        </w:tc>
        <w:tc>
          <w:tcPr>
            <w:tcW w:w="0" w:type="dxa"/>
            <w:vAlign w:val="bottom"/>
          </w:tcPr>
          <w:p>
            <w:pPr>
              <w:spacing w:after="0"/>
              <w:rPr>
                <w:sz w:val="1"/>
                <w:szCs w:val="1"/>
                <w:color w:val="auto"/>
              </w:rPr>
            </w:pPr>
          </w:p>
        </w:tc>
      </w:tr>
      <w:tr>
        <w:trPr>
          <w:trHeight w:val="142"/>
        </w:trPr>
        <w:tc>
          <w:tcPr>
            <w:tcW w:w="4320" w:type="dxa"/>
            <w:vAlign w:val="bottom"/>
          </w:tcPr>
          <w:p>
            <w:pPr>
              <w:spacing w:after="0" w:line="143" w:lineRule="exact"/>
              <w:rPr>
                <w:sz w:val="20"/>
                <w:szCs w:val="20"/>
                <w:color w:val="auto"/>
              </w:rPr>
            </w:pPr>
            <w:r>
              <w:rPr>
                <w:rFonts w:ascii="Arial" w:cs="Arial" w:eastAsia="Arial" w:hAnsi="Arial"/>
                <w:sz w:val="14"/>
                <w:szCs w:val="14"/>
                <w:color w:val="auto"/>
              </w:rPr>
              <w:t>Cash basis operating income</w:t>
            </w:r>
          </w:p>
        </w:tc>
        <w:tc>
          <w:tcPr>
            <w:tcW w:w="1020" w:type="dxa"/>
            <w:vAlign w:val="bottom"/>
          </w:tcPr>
          <w:p>
            <w:pPr>
              <w:jc w:val="right"/>
              <w:ind w:right="8"/>
              <w:spacing w:after="0" w:line="143" w:lineRule="exact"/>
              <w:rPr>
                <w:sz w:val="20"/>
                <w:szCs w:val="20"/>
                <w:color w:val="auto"/>
              </w:rPr>
            </w:pPr>
            <w:r>
              <w:rPr>
                <w:rFonts w:ascii="Arial" w:cs="Arial" w:eastAsia="Arial" w:hAnsi="Arial"/>
                <w:sz w:val="14"/>
                <w:szCs w:val="14"/>
                <w:color w:val="auto"/>
              </w:rPr>
              <w:t>4,799</w:t>
            </w: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ind w:right="8"/>
              <w:spacing w:after="0" w:line="143" w:lineRule="exact"/>
              <w:rPr>
                <w:sz w:val="20"/>
                <w:szCs w:val="20"/>
                <w:color w:val="auto"/>
              </w:rPr>
            </w:pPr>
            <w:r>
              <w:rPr>
                <w:rFonts w:ascii="Arial" w:cs="Arial" w:eastAsia="Arial" w:hAnsi="Arial"/>
                <w:sz w:val="14"/>
                <w:szCs w:val="14"/>
                <w:b w:val="1"/>
                <w:bCs w:val="1"/>
                <w:color w:val="auto"/>
              </w:rPr>
              <w:t>5,585</w:t>
            </w: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spacing w:after="0" w:line="143" w:lineRule="exact"/>
              <w:rPr>
                <w:sz w:val="20"/>
                <w:szCs w:val="20"/>
                <w:color w:val="auto"/>
              </w:rPr>
            </w:pPr>
            <w:r>
              <w:rPr>
                <w:rFonts w:ascii="Arial" w:cs="Arial" w:eastAsia="Arial" w:hAnsi="Arial"/>
                <w:sz w:val="14"/>
                <w:szCs w:val="14"/>
                <w:color w:val="auto"/>
              </w:rPr>
              <w:t>9,922</w:t>
            </w: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ind w:right="8"/>
              <w:spacing w:after="0" w:line="143" w:lineRule="exact"/>
              <w:rPr>
                <w:sz w:val="20"/>
                <w:szCs w:val="20"/>
                <w:color w:val="auto"/>
              </w:rPr>
            </w:pPr>
            <w:r>
              <w:rPr>
                <w:rFonts w:ascii="Arial" w:cs="Arial" w:eastAsia="Arial" w:hAnsi="Arial"/>
                <w:sz w:val="14"/>
                <w:szCs w:val="14"/>
                <w:b w:val="1"/>
                <w:bCs w:val="1"/>
                <w:color w:val="auto"/>
              </w:rPr>
              <w:t>11,090</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20"/>
                <w:szCs w:val="20"/>
                <w:color w:val="auto"/>
              </w:rPr>
            </w:pPr>
            <w:r>
              <w:rPr>
                <w:rFonts w:ascii="Arial" w:cs="Arial" w:eastAsia="Arial" w:hAnsi="Arial"/>
                <w:sz w:val="14"/>
                <w:szCs w:val="14"/>
                <w:color w:val="auto"/>
              </w:rPr>
              <w:t>Payments of interest</w:t>
            </w:r>
          </w:p>
        </w:tc>
        <w:tc>
          <w:tcPr>
            <w:tcW w:w="1020" w:type="dxa"/>
            <w:vAlign w:val="bottom"/>
          </w:tcPr>
          <w:p>
            <w:pPr>
              <w:jc w:val="right"/>
              <w:spacing w:after="0"/>
              <w:rPr>
                <w:sz w:val="20"/>
                <w:szCs w:val="20"/>
                <w:color w:val="auto"/>
              </w:rPr>
            </w:pPr>
            <w:r>
              <w:rPr>
                <w:rFonts w:ascii="Arial" w:cs="Arial" w:eastAsia="Arial" w:hAnsi="Arial"/>
                <w:sz w:val="14"/>
                <w:szCs w:val="14"/>
                <w:color w:val="auto"/>
              </w:rPr>
              <w:t>(544)</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(515)</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(1,158)</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(1,132)</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20"/>
                <w:szCs w:val="20"/>
                <w:color w:val="auto"/>
              </w:rPr>
            </w:pPr>
            <w:r>
              <w:rPr>
                <w:rFonts w:ascii="Arial" w:cs="Arial" w:eastAsia="Arial" w:hAnsi="Arial"/>
                <w:sz w:val="14"/>
                <w:szCs w:val="14"/>
                <w:color w:val="auto"/>
              </w:rPr>
              <w:t>Payments of income taxes</w:t>
            </w:r>
          </w:p>
        </w:tc>
        <w:tc>
          <w:tcPr>
            <w:tcW w:w="1020" w:type="dxa"/>
            <w:vAlign w:val="bottom"/>
          </w:tcPr>
          <w:p>
            <w:pPr>
              <w:jc w:val="right"/>
              <w:spacing w:after="0"/>
              <w:rPr>
                <w:sz w:val="20"/>
                <w:szCs w:val="20"/>
                <w:color w:val="auto"/>
              </w:rPr>
            </w:pPr>
            <w:r>
              <w:rPr>
                <w:rFonts w:ascii="Arial" w:cs="Arial" w:eastAsia="Arial" w:hAnsi="Arial"/>
                <w:sz w:val="14"/>
                <w:szCs w:val="14"/>
                <w:color w:val="auto"/>
              </w:rPr>
              <w:t>(904)</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(1,761)</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(1,022)</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(2,222)</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20"/>
                <w:szCs w:val="20"/>
                <w:color w:val="auto"/>
              </w:rPr>
            </w:pPr>
            <w:r>
              <w:rPr>
                <w:rFonts w:ascii="Arial" w:cs="Arial" w:eastAsia="Arial" w:hAnsi="Arial"/>
                <w:sz w:val="14"/>
                <w:szCs w:val="14"/>
                <w:color w:val="auto"/>
              </w:rPr>
              <w:t>Proceeds from investments and other</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77</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rPr>
              <w:t>60</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152</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96</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20"/>
                <w:szCs w:val="20"/>
                <w:color w:val="auto"/>
              </w:rPr>
            </w:pPr>
            <w:r>
              <w:rPr>
                <w:rFonts w:ascii="Arial" w:cs="Arial" w:eastAsia="Arial" w:hAnsi="Arial"/>
                <w:sz w:val="14"/>
                <w:szCs w:val="14"/>
                <w:color w:val="auto"/>
              </w:rPr>
              <w:t>Excess tax benefits under share-based compensation</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9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9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(147)</w:t>
            </w:r>
          </w:p>
        </w:tc>
        <w:tc>
          <w:tcPr>
            <w:tcW w:w="0" w:type="dxa"/>
            <w:vAlign w:val="bottom"/>
          </w:tcPr>
          <w:p>
            <w:pPr>
              <w:spacing w:after="0"/>
              <w:rPr>
                <w:sz w:val="1"/>
                <w:szCs w:val="1"/>
                <w:color w:val="auto"/>
              </w:rPr>
            </w:pPr>
          </w:p>
        </w:tc>
      </w:tr>
      <w:tr>
        <w:trPr>
          <w:trHeight w:val="156"/>
        </w:trPr>
        <w:tc>
          <w:tcPr>
            <w:tcW w:w="4320" w:type="dxa"/>
            <w:vAlign w:val="bottom"/>
          </w:tcPr>
          <w:p>
            <w:pPr>
              <w:spacing w:after="0" w:line="155" w:lineRule="exact"/>
              <w:rPr>
                <w:sz w:val="20"/>
                <w:szCs w:val="20"/>
                <w:color w:val="auto"/>
              </w:rPr>
            </w:pPr>
            <w:r>
              <w:rPr>
                <w:rFonts w:ascii="Arial" w:cs="Arial" w:eastAsia="Arial" w:hAnsi="Arial"/>
                <w:sz w:val="14"/>
                <w:szCs w:val="14"/>
                <w:b w:val="1"/>
                <w:bCs w:val="1"/>
                <w:color w:val="auto"/>
              </w:rPr>
              <w:t>Net Cash Provided by Operating Activities</w:t>
            </w:r>
          </w:p>
        </w:tc>
        <w:tc>
          <w:tcPr>
            <w:tcW w:w="10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$3,422</w:t>
            </w:r>
          </w:p>
        </w:tc>
        <w:tc>
          <w:tcPr>
            <w:tcW w:w="9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$3,316</w:t>
            </w:r>
          </w:p>
        </w:tc>
        <w:tc>
          <w:tcPr>
            <w:tcW w:w="1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$7,815</w:t>
            </w:r>
          </w:p>
        </w:tc>
        <w:tc>
          <w:tcPr>
            <w:tcW w:w="9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$7,685</w:t>
            </w:r>
          </w:p>
        </w:tc>
        <w:tc>
          <w:tcPr>
            <w:tcW w:w="0" w:type="dxa"/>
            <w:vAlign w:val="bottom"/>
          </w:tcPr>
          <w:p>
            <w:pPr>
              <w:spacing w:after="0"/>
              <w:rPr>
                <w:sz w:val="1"/>
                <w:szCs w:val="1"/>
                <w:color w:val="auto"/>
              </w:rPr>
            </w:pPr>
          </w:p>
        </w:tc>
      </w:tr>
      <w:tr>
        <w:trPr>
          <w:trHeight w:val="142"/>
        </w:trPr>
        <w:tc>
          <w:tcPr>
            <w:tcW w:w="4320" w:type="dxa"/>
            <w:vAlign w:val="bottom"/>
          </w:tcPr>
          <w:p>
            <w:pPr>
              <w:spacing w:after="0" w:line="143" w:lineRule="exact"/>
              <w:rPr>
                <w:sz w:val="20"/>
                <w:szCs w:val="20"/>
                <w:color w:val="auto"/>
              </w:rPr>
            </w:pPr>
            <w:r>
              <w:rPr>
                <w:rFonts w:ascii="Arial" w:cs="Arial" w:eastAsia="Arial" w:hAnsi="Arial"/>
                <w:sz w:val="14"/>
                <w:szCs w:val="14"/>
                <w:color w:val="auto"/>
              </w:rPr>
              <w:t>Capital expenditures</w:t>
            </w:r>
          </w:p>
        </w:tc>
        <w:tc>
          <w:tcPr>
            <w:tcW w:w="1020" w:type="dxa"/>
            <w:vAlign w:val="bottom"/>
          </w:tcPr>
          <w:p>
            <w:pPr>
              <w:jc w:val="right"/>
              <w:spacing w:after="0" w:line="143" w:lineRule="exact"/>
              <w:rPr>
                <w:sz w:val="20"/>
                <w:szCs w:val="20"/>
                <w:color w:val="auto"/>
              </w:rPr>
            </w:pPr>
            <w:r>
              <w:rPr>
                <w:rFonts w:ascii="Arial" w:cs="Arial" w:eastAsia="Arial" w:hAnsi="Arial"/>
                <w:sz w:val="14"/>
                <w:szCs w:val="14"/>
                <w:color w:val="auto"/>
              </w:rPr>
              <w:t>(1,287)</w:t>
            </w: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(1,506)</w:t>
            </w: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spacing w:after="0" w:line="143" w:lineRule="exact"/>
              <w:rPr>
                <w:sz w:val="20"/>
                <w:szCs w:val="20"/>
                <w:color w:val="auto"/>
              </w:rPr>
            </w:pPr>
            <w:r>
              <w:rPr>
                <w:rFonts w:ascii="Arial" w:cs="Arial" w:eastAsia="Arial" w:hAnsi="Arial"/>
                <w:sz w:val="14"/>
                <w:szCs w:val="14"/>
                <w:color w:val="auto"/>
              </w:rPr>
              <w:t>(2,461)</w:t>
            </w: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(2,867)</w:t>
            </w:r>
          </w:p>
        </w:tc>
        <w:tc>
          <w:tcPr>
            <w:tcW w:w="0" w:type="dxa"/>
            <w:vAlign w:val="bottom"/>
          </w:tcPr>
          <w:p>
            <w:pPr>
              <w:spacing w:after="0"/>
              <w:rPr>
                <w:sz w:val="1"/>
                <w:szCs w:val="1"/>
                <w:color w:val="auto"/>
              </w:rPr>
            </w:pPr>
          </w:p>
        </w:tc>
      </w:tr>
      <w:tr>
        <w:trPr>
          <w:trHeight w:val="180"/>
        </w:trPr>
        <w:tc>
          <w:tcPr>
            <w:tcW w:w="432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1020" w:type="dxa"/>
            <w:vAlign w:val="bottom"/>
          </w:tcPr>
          <w:p>
            <w:pPr>
              <w:jc w:val="right"/>
              <w:spacing w:after="0"/>
              <w:rPr>
                <w:sz w:val="20"/>
                <w:szCs w:val="20"/>
                <w:color w:val="auto"/>
              </w:rPr>
            </w:pPr>
            <w:r>
              <w:rPr>
                <w:rFonts w:ascii="Arial" w:cs="Arial" w:eastAsia="Arial" w:hAnsi="Arial"/>
                <w:sz w:val="14"/>
                <w:szCs w:val="14"/>
                <w:color w:val="auto"/>
              </w:rPr>
              <w:t>(230)</w:t>
            </w: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(262)</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(414)</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(444)</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20"/>
                <w:szCs w:val="20"/>
                <w:color w:val="auto"/>
              </w:rPr>
            </w:pPr>
            <w:r>
              <w:rPr>
                <w:rFonts w:ascii="Arial" w:cs="Arial" w:eastAsia="Arial" w:hAnsi="Arial"/>
                <w:sz w:val="14"/>
                <w:szCs w:val="14"/>
                <w:color w:val="auto"/>
              </w:rPr>
              <w:t>Distributions to noncontrolling interests and dividends for</w:t>
            </w: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(67)</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(116)</w:t>
            </w:r>
          </w:p>
        </w:tc>
        <w:tc>
          <w:tcPr>
            <w:tcW w:w="0" w:type="dxa"/>
            <w:vAlign w:val="bottom"/>
          </w:tcPr>
          <w:p>
            <w:pPr>
              <w:spacing w:after="0"/>
              <w:rPr>
                <w:sz w:val="1"/>
                <w:szCs w:val="1"/>
                <w:color w:val="auto"/>
              </w:rPr>
            </w:pPr>
          </w:p>
        </w:tc>
      </w:tr>
      <w:tr>
        <w:trPr>
          <w:trHeight w:val="144"/>
        </w:trPr>
        <w:tc>
          <w:tcPr>
            <w:tcW w:w="4320" w:type="dxa"/>
            <w:vAlign w:val="bottom"/>
          </w:tcPr>
          <w:p>
            <w:pPr>
              <w:spacing w:after="0" w:line="144" w:lineRule="exact"/>
              <w:rPr>
                <w:sz w:val="20"/>
                <w:szCs w:val="20"/>
                <w:color w:val="auto"/>
              </w:rPr>
            </w:pPr>
            <w:r>
              <w:rPr>
                <w:rFonts w:ascii="Arial" w:cs="Arial" w:eastAsia="Arial" w:hAnsi="Arial"/>
                <w:sz w:val="14"/>
                <w:szCs w:val="14"/>
                <w:color w:val="auto"/>
              </w:rPr>
              <w:t>redeemable subsidiary preferred stock</w:t>
            </w:r>
          </w:p>
        </w:tc>
        <w:tc>
          <w:tcPr>
            <w:tcW w:w="1020" w:type="dxa"/>
            <w:vAlign w:val="bottom"/>
          </w:tcPr>
          <w:p>
            <w:pPr>
              <w:jc w:val="right"/>
              <w:spacing w:after="0" w:line="144" w:lineRule="exact"/>
              <w:rPr>
                <w:sz w:val="20"/>
                <w:szCs w:val="20"/>
                <w:color w:val="auto"/>
              </w:rPr>
            </w:pPr>
            <w:r>
              <w:rPr>
                <w:rFonts w:ascii="Arial" w:cs="Arial" w:eastAsia="Arial" w:hAnsi="Arial"/>
                <w:sz w:val="14"/>
                <w:szCs w:val="14"/>
                <w:color w:val="auto"/>
              </w:rPr>
              <w:t>(175)</w:t>
            </w: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spacing w:after="0" w:line="144" w:lineRule="exact"/>
              <w:rPr>
                <w:sz w:val="20"/>
                <w:szCs w:val="20"/>
                <w:color w:val="auto"/>
              </w:rPr>
            </w:pPr>
            <w:r>
              <w:rPr>
                <w:rFonts w:ascii="Arial" w:cs="Arial" w:eastAsia="Arial" w:hAnsi="Arial"/>
                <w:sz w:val="14"/>
                <w:szCs w:val="14"/>
                <w:color w:val="auto"/>
              </w:rPr>
              <w:t>(233)</w:t>
            </w: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320" w:type="dxa"/>
            <w:vAlign w:val="bottom"/>
          </w:tcPr>
          <w:p>
            <w:pPr>
              <w:spacing w:after="0"/>
              <w:rPr>
                <w:sz w:val="20"/>
                <w:szCs w:val="20"/>
                <w:color w:val="auto"/>
              </w:rPr>
            </w:pPr>
            <w:r>
              <w:rPr>
                <w:rFonts w:ascii="Arial" w:cs="Arial" w:eastAsia="Arial" w:hAnsi="Arial"/>
                <w:sz w:val="14"/>
                <w:szCs w:val="14"/>
                <w:color w:val="auto"/>
              </w:rPr>
              <w:t>Nonoperating items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9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479</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9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840</w:t>
            </w:r>
          </w:p>
        </w:tc>
        <w:tc>
          <w:tcPr>
            <w:tcW w:w="0" w:type="dxa"/>
            <w:vAlign w:val="bottom"/>
          </w:tcPr>
          <w:p>
            <w:pPr>
              <w:spacing w:after="0"/>
              <w:rPr>
                <w:sz w:val="1"/>
                <w:szCs w:val="1"/>
                <w:color w:val="auto"/>
              </w:rPr>
            </w:pPr>
          </w:p>
        </w:tc>
      </w:tr>
      <w:tr>
        <w:trPr>
          <w:trHeight w:val="142"/>
        </w:trPr>
        <w:tc>
          <w:tcPr>
            <w:tcW w:w="4320" w:type="dxa"/>
            <w:vAlign w:val="bottom"/>
          </w:tcPr>
          <w:p>
            <w:pPr>
              <w:spacing w:after="0" w:line="143" w:lineRule="exact"/>
              <w:rPr>
                <w:sz w:val="20"/>
                <w:szCs w:val="20"/>
                <w:color w:val="auto"/>
              </w:rPr>
            </w:pPr>
            <w:r>
              <w:rPr>
                <w:rFonts w:ascii="Arial" w:cs="Arial" w:eastAsia="Arial" w:hAnsi="Arial"/>
                <w:sz w:val="14"/>
                <w:szCs w:val="14"/>
                <w:color w:val="auto"/>
              </w:rPr>
              <w:t>Free Cash Flow (including economic stimulus packages)</w:t>
            </w:r>
          </w:p>
        </w:tc>
        <w:tc>
          <w:tcPr>
            <w:tcW w:w="1020" w:type="dxa"/>
            <w:vAlign w:val="bottom"/>
          </w:tcPr>
          <w:p>
            <w:pPr>
              <w:jc w:val="right"/>
              <w:ind w:right="8"/>
              <w:spacing w:after="0" w:line="143" w:lineRule="exact"/>
              <w:rPr>
                <w:sz w:val="20"/>
                <w:szCs w:val="20"/>
                <w:color w:val="auto"/>
              </w:rPr>
            </w:pPr>
            <w:r>
              <w:rPr>
                <w:rFonts w:ascii="Arial" w:cs="Arial" w:eastAsia="Arial" w:hAnsi="Arial"/>
                <w:sz w:val="14"/>
                <w:szCs w:val="14"/>
                <w:color w:val="auto"/>
              </w:rPr>
              <w:t>$1,721</w:t>
            </w: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ind w:right="8"/>
              <w:spacing w:after="0" w:line="143" w:lineRule="exact"/>
              <w:rPr>
                <w:sz w:val="20"/>
                <w:szCs w:val="20"/>
                <w:color w:val="auto"/>
              </w:rPr>
            </w:pPr>
            <w:r>
              <w:rPr>
                <w:rFonts w:ascii="Arial" w:cs="Arial" w:eastAsia="Arial" w:hAnsi="Arial"/>
                <w:sz w:val="14"/>
                <w:szCs w:val="14"/>
                <w:b w:val="1"/>
                <w:bCs w:val="1"/>
                <w:color w:val="auto"/>
              </w:rPr>
              <w:t>$1,960</w:t>
            </w: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spacing w:after="0" w:line="143" w:lineRule="exact"/>
              <w:rPr>
                <w:sz w:val="20"/>
                <w:szCs w:val="20"/>
                <w:color w:val="auto"/>
              </w:rPr>
            </w:pPr>
            <w:r>
              <w:rPr>
                <w:rFonts w:ascii="Arial" w:cs="Arial" w:eastAsia="Arial" w:hAnsi="Arial"/>
                <w:sz w:val="14"/>
                <w:szCs w:val="14"/>
                <w:color w:val="auto"/>
              </w:rPr>
              <w:t>$4,760</w:t>
            </w: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ind w:right="8"/>
              <w:spacing w:after="0" w:line="143" w:lineRule="exact"/>
              <w:rPr>
                <w:sz w:val="20"/>
                <w:szCs w:val="20"/>
                <w:color w:val="auto"/>
              </w:rPr>
            </w:pPr>
            <w:r>
              <w:rPr>
                <w:rFonts w:ascii="Arial" w:cs="Arial" w:eastAsia="Arial" w:hAnsi="Arial"/>
                <w:sz w:val="14"/>
                <w:szCs w:val="14"/>
                <w:b w:val="1"/>
                <w:bCs w:val="1"/>
                <w:color w:val="auto"/>
              </w:rPr>
              <w:t>$5,098</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20"/>
                <w:szCs w:val="20"/>
                <w:color w:val="auto"/>
              </w:rPr>
            </w:pPr>
            <w:r>
              <w:rPr>
                <w:rFonts w:ascii="Arial" w:cs="Arial" w:eastAsia="Arial" w:hAnsi="Arial"/>
                <w:sz w:val="14"/>
                <w:szCs w:val="14"/>
                <w:color w:val="auto"/>
              </w:rPr>
              <w:t>Economic stimulus packages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9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9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156"/>
        </w:trPr>
        <w:tc>
          <w:tcPr>
            <w:tcW w:w="4320" w:type="dxa"/>
            <w:vAlign w:val="bottom"/>
          </w:tcPr>
          <w:p>
            <w:pPr>
              <w:spacing w:after="0" w:line="155" w:lineRule="exact"/>
              <w:rPr>
                <w:sz w:val="20"/>
                <w:szCs w:val="20"/>
                <w:color w:val="auto"/>
              </w:rPr>
            </w:pPr>
            <w:r>
              <w:rPr>
                <w:rFonts w:ascii="Arial" w:cs="Arial" w:eastAsia="Arial" w:hAnsi="Arial"/>
                <w:sz w:val="14"/>
                <w:szCs w:val="14"/>
                <w:b w:val="1"/>
                <w:bCs w:val="1"/>
                <w:color w:val="auto"/>
              </w:rPr>
              <w:t>Total Free Cash Flow</w:t>
            </w:r>
          </w:p>
        </w:tc>
        <w:tc>
          <w:tcPr>
            <w:tcW w:w="10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$1,554</w:t>
            </w:r>
          </w:p>
        </w:tc>
        <w:tc>
          <w:tcPr>
            <w:tcW w:w="9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$1,948</w:t>
            </w:r>
          </w:p>
        </w:tc>
        <w:tc>
          <w:tcPr>
            <w:tcW w:w="1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$4,593</w:t>
            </w:r>
          </w:p>
        </w:tc>
        <w:tc>
          <w:tcPr>
            <w:tcW w:w="9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$5,086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color w:val="808080"/>
        </w:rPr>
        <w:t>Reconciliation of EPS Excluding Gain Related to Sale of Wireless Spectrum Licenses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2660" w:type="dxa"/>
            <w:vAlign w:val="bottom"/>
            <w:gridSpan w:val="5"/>
          </w:tcPr>
          <w:p>
            <w:pPr>
              <w:jc w:val="center"/>
              <w:ind w:left="528"/>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60" w:type="dxa"/>
            <w:vAlign w:val="bottom"/>
            <w:gridSpan w:val="3"/>
          </w:tcPr>
          <w:p>
            <w:pPr>
              <w:ind w:left="20"/>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gridSpan w:val="3"/>
          </w:tcPr>
          <w:p>
            <w:pPr>
              <w:jc w:val="center"/>
              <w:ind w:left="268"/>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60" w:type="dxa"/>
            <w:vAlign w:val="bottom"/>
            <w:gridSpan w:val="3"/>
          </w:tcPr>
          <w:p>
            <w:pPr>
              <w:jc w:val="right"/>
              <w:ind w:right="648"/>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4260" w:type="dxa"/>
            <w:vAlign w:val="bottom"/>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260" w:type="dxa"/>
            <w:vAlign w:val="bottom"/>
            <w:vMerge w:val="continue"/>
          </w:tcPr>
          <w:p>
            <w:pPr>
              <w:spacing w:after="0"/>
              <w:rPr>
                <w:sz w:val="13"/>
                <w:szCs w:val="13"/>
                <w:color w:val="auto"/>
              </w:rPr>
            </w:pPr>
          </w:p>
        </w:tc>
        <w:tc>
          <w:tcPr>
            <w:tcW w:w="980" w:type="dxa"/>
            <w:vAlign w:val="bottom"/>
            <w:vMerge w:val="restart"/>
          </w:tcPr>
          <w:p>
            <w:pPr>
              <w:jc w:val="right"/>
              <w:ind w:right="508"/>
              <w:spacing w:after="0"/>
              <w:rPr>
                <w:sz w:val="20"/>
                <w:szCs w:val="20"/>
                <w:color w:val="auto"/>
              </w:rPr>
            </w:pPr>
            <w:r>
              <w:rPr>
                <w:rFonts w:ascii="Arial" w:cs="Arial" w:eastAsia="Arial" w:hAnsi="Arial"/>
                <w:sz w:val="14"/>
                <w:szCs w:val="14"/>
                <w:color w:val="auto"/>
              </w:rPr>
              <w:t>$</w:t>
            </w: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color w:val="auto"/>
              </w:rPr>
              <w:t xml:space="preserve">EPS </w:t>
            </w:r>
            <w:r>
              <w:rPr>
                <w:rFonts w:ascii="Arial" w:cs="Arial" w:eastAsia="Arial" w:hAnsi="Arial"/>
                <w:sz w:val="8"/>
                <w:szCs w:val="8"/>
                <w:color w:val="auto"/>
              </w:rPr>
              <w:t>(1)</w:t>
            </w:r>
          </w:p>
        </w:tc>
        <w:tc>
          <w:tcPr>
            <w:tcW w:w="72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w:t>
            </w:r>
          </w:p>
        </w:tc>
        <w:tc>
          <w:tcPr>
            <w:tcW w:w="7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EPS </w:t>
            </w:r>
            <w:r>
              <w:rPr>
                <w:rFonts w:ascii="Arial" w:cs="Arial" w:eastAsia="Arial" w:hAnsi="Arial"/>
                <w:sz w:val="8"/>
                <w:szCs w:val="8"/>
                <w:b w:val="1"/>
                <w:bCs w:val="1"/>
                <w:color w:val="auto"/>
              </w:rPr>
              <w:t>(1)</w:t>
            </w:r>
          </w:p>
        </w:tc>
        <w:tc>
          <w:tcPr>
            <w:tcW w:w="140" w:type="dxa"/>
            <w:vAlign w:val="bottom"/>
          </w:tcPr>
          <w:p>
            <w:pPr>
              <w:spacing w:after="0"/>
              <w:rPr>
                <w:sz w:val="13"/>
                <w:szCs w:val="13"/>
                <w:color w:val="auto"/>
              </w:rPr>
            </w:pPr>
          </w:p>
        </w:tc>
        <w:tc>
          <w:tcPr>
            <w:tcW w:w="940" w:type="dxa"/>
            <w:vAlign w:val="bottom"/>
            <w:vMerge w:val="restart"/>
          </w:tcPr>
          <w:p>
            <w:pPr>
              <w:jc w:val="right"/>
              <w:ind w:right="488"/>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color w:val="auto"/>
              </w:rPr>
              <w:t xml:space="preserve">EPS </w:t>
            </w:r>
            <w:r>
              <w:rPr>
                <w:rFonts w:ascii="Arial" w:cs="Arial" w:eastAsia="Arial" w:hAnsi="Arial"/>
                <w:sz w:val="8"/>
                <w:szCs w:val="8"/>
                <w:color w:val="auto"/>
              </w:rPr>
              <w:t>(1)</w:t>
            </w:r>
          </w:p>
        </w:tc>
        <w:tc>
          <w:tcPr>
            <w:tcW w:w="96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 xml:space="preserve">EPS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47"/>
        </w:trPr>
        <w:tc>
          <w:tcPr>
            <w:tcW w:w="42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Borders>
              <w:right w:val="single" w:sz="8" w:color="auto"/>
            </w:tcBorders>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4260" w:type="dxa"/>
            <w:vAlign w:val="bottom"/>
          </w:tcPr>
          <w:p>
            <w:pPr>
              <w:spacing w:after="0"/>
              <w:rPr>
                <w:sz w:val="20"/>
                <w:szCs w:val="20"/>
                <w:color w:val="auto"/>
              </w:rPr>
            </w:pPr>
            <w:r>
              <w:rPr>
                <w:rFonts w:ascii="Arial" w:cs="Arial" w:eastAsia="Arial" w:hAnsi="Arial"/>
                <w:sz w:val="14"/>
                <w:szCs w:val="14"/>
                <w:color w:val="auto"/>
              </w:rPr>
              <w:t>Net income attributable to Comcast Corporation</w:t>
            </w:r>
          </w:p>
        </w:tc>
        <w:tc>
          <w:tcPr>
            <w:tcW w:w="98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rPr>
              <w:t>$1,348</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$0.50</w:t>
            </w: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$1,734</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$0.65</w:t>
            </w:r>
          </w:p>
        </w:tc>
        <w:tc>
          <w:tcPr>
            <w:tcW w:w="18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$2,572</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$0.94</w:t>
            </w:r>
          </w:p>
        </w:tc>
        <w:tc>
          <w:tcPr>
            <w:tcW w:w="100" w:type="dxa"/>
            <w:vAlign w:val="bottom"/>
          </w:tcPr>
          <w:p>
            <w:pPr>
              <w:spacing w:after="0"/>
              <w:rPr>
                <w:sz w:val="24"/>
                <w:szCs w:val="24"/>
                <w:color w:val="auto"/>
              </w:rPr>
            </w:pPr>
          </w:p>
        </w:tc>
        <w:tc>
          <w:tcPr>
            <w:tcW w:w="96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$3,171</w:t>
            </w:r>
          </w:p>
        </w:tc>
        <w:tc>
          <w:tcPr>
            <w:tcW w:w="5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$1.19</w:t>
            </w:r>
          </w:p>
        </w:tc>
        <w:tc>
          <w:tcPr>
            <w:tcW w:w="0" w:type="dxa"/>
            <w:vAlign w:val="bottom"/>
          </w:tcPr>
          <w:p>
            <w:pPr>
              <w:spacing w:after="0"/>
              <w:rPr>
                <w:sz w:val="1"/>
                <w:szCs w:val="1"/>
                <w:color w:val="auto"/>
              </w:rPr>
            </w:pPr>
          </w:p>
        </w:tc>
      </w:tr>
      <w:tr>
        <w:trPr>
          <w:trHeight w:val="186"/>
        </w:trPr>
        <w:tc>
          <w:tcPr>
            <w:tcW w:w="4260" w:type="dxa"/>
            <w:vAlign w:val="bottom"/>
          </w:tcPr>
          <w:p>
            <w:pPr>
              <w:spacing w:after="0"/>
              <w:rPr>
                <w:sz w:val="20"/>
                <w:szCs w:val="20"/>
                <w:color w:val="auto"/>
              </w:rPr>
            </w:pPr>
            <w:r>
              <w:rPr>
                <w:rFonts w:ascii="Arial" w:cs="Arial" w:eastAsia="Arial" w:hAnsi="Arial"/>
                <w:sz w:val="14"/>
                <w:szCs w:val="14"/>
                <w:i w:val="1"/>
                <w:iCs w:val="1"/>
                <w:color w:val="auto"/>
              </w:rPr>
              <w:t>Growth %</w:t>
            </w: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ind w:right="188"/>
              <w:spacing w:after="0"/>
              <w:rPr>
                <w:sz w:val="20"/>
                <w:szCs w:val="20"/>
                <w:color w:val="auto"/>
              </w:rPr>
            </w:pPr>
            <w:r>
              <w:rPr>
                <w:rFonts w:ascii="Arial" w:cs="Arial" w:eastAsia="Arial" w:hAnsi="Arial"/>
                <w:sz w:val="14"/>
                <w:szCs w:val="14"/>
                <w:i w:val="1"/>
                <w:iCs w:val="1"/>
                <w:color w:val="auto"/>
              </w:rPr>
              <w:t>28.6%</w:t>
            </w:r>
          </w:p>
        </w:tc>
        <w:tc>
          <w:tcPr>
            <w:tcW w:w="600" w:type="dxa"/>
            <w:vAlign w:val="bottom"/>
          </w:tcPr>
          <w:p>
            <w:pPr>
              <w:jc w:val="right"/>
              <w:spacing w:after="0"/>
              <w:rPr>
                <w:sz w:val="20"/>
                <w:szCs w:val="20"/>
                <w:color w:val="auto"/>
              </w:rPr>
            </w:pPr>
            <w:r>
              <w:rPr>
                <w:rFonts w:ascii="Arial" w:cs="Arial" w:eastAsia="Arial" w:hAnsi="Arial"/>
                <w:sz w:val="14"/>
                <w:szCs w:val="14"/>
                <w:i w:val="1"/>
                <w:iCs w:val="1"/>
                <w:color w:val="auto"/>
              </w:rPr>
              <w:t>30.0%</w:t>
            </w: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248"/>
              <w:spacing w:after="0"/>
              <w:rPr>
                <w:sz w:val="20"/>
                <w:szCs w:val="20"/>
                <w:color w:val="auto"/>
              </w:rPr>
            </w:pPr>
            <w:r>
              <w:rPr>
                <w:rFonts w:ascii="Arial" w:cs="Arial" w:eastAsia="Arial" w:hAnsi="Arial"/>
                <w:sz w:val="14"/>
                <w:szCs w:val="14"/>
                <w:i w:val="1"/>
                <w:iCs w:val="1"/>
                <w:color w:val="auto"/>
              </w:rPr>
              <w:t>23.3%</w:t>
            </w:r>
          </w:p>
        </w:tc>
        <w:tc>
          <w:tcPr>
            <w:tcW w:w="580" w:type="dxa"/>
            <w:vAlign w:val="bottom"/>
          </w:tcPr>
          <w:p>
            <w:pPr>
              <w:jc w:val="right"/>
              <w:ind w:right="8"/>
              <w:spacing w:after="0"/>
              <w:rPr>
                <w:sz w:val="20"/>
                <w:szCs w:val="20"/>
                <w:color w:val="auto"/>
              </w:rPr>
            </w:pPr>
            <w:r>
              <w:rPr>
                <w:rFonts w:ascii="Arial" w:cs="Arial" w:eastAsia="Arial" w:hAnsi="Arial"/>
                <w:sz w:val="14"/>
                <w:szCs w:val="14"/>
                <w:i w:val="1"/>
                <w:iCs w:val="1"/>
                <w:color w:val="auto"/>
              </w:rPr>
              <w:t>26.6%</w:t>
            </w:r>
          </w:p>
        </w:tc>
        <w:tc>
          <w:tcPr>
            <w:tcW w:w="0" w:type="dxa"/>
            <w:vAlign w:val="bottom"/>
          </w:tcPr>
          <w:p>
            <w:pPr>
              <w:spacing w:after="0"/>
              <w:rPr>
                <w:sz w:val="1"/>
                <w:szCs w:val="1"/>
                <w:color w:val="auto"/>
              </w:rPr>
            </w:pPr>
          </w:p>
        </w:tc>
      </w:tr>
      <w:tr>
        <w:trPr>
          <w:trHeight w:val="324"/>
        </w:trPr>
        <w:tc>
          <w:tcPr>
            <w:tcW w:w="4260" w:type="dxa"/>
            <w:vAlign w:val="bottom"/>
          </w:tcPr>
          <w:p>
            <w:pPr>
              <w:ind w:left="260"/>
              <w:spacing w:after="0"/>
              <w:rPr>
                <w:sz w:val="20"/>
                <w:szCs w:val="20"/>
                <w:color w:val="auto"/>
              </w:rPr>
            </w:pPr>
            <w:r>
              <w:rPr>
                <w:rFonts w:ascii="Arial" w:cs="Arial" w:eastAsia="Arial" w:hAnsi="Arial"/>
                <w:sz w:val="14"/>
                <w:szCs w:val="14"/>
                <w:color w:val="auto"/>
              </w:rPr>
              <w:t>Gain on sale of wireless spectrum licenses</w:t>
            </w:r>
            <w:r>
              <w:rPr>
                <w:rFonts w:ascii="Arial" w:cs="Arial" w:eastAsia="Arial" w:hAnsi="Arial"/>
                <w:sz w:val="8"/>
                <w:szCs w:val="8"/>
                <w:color w:val="auto"/>
              </w:rPr>
              <w:t>(2)</w:t>
            </w:r>
          </w:p>
        </w:tc>
        <w:tc>
          <w:tcPr>
            <w:tcW w:w="9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38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8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60" w:type="dxa"/>
            <w:vAlign w:val="bottom"/>
          </w:tcPr>
          <w:p>
            <w:pPr>
              <w:jc w:val="right"/>
              <w:ind w:right="248"/>
              <w:spacing w:after="0"/>
              <w:rPr>
                <w:sz w:val="20"/>
                <w:szCs w:val="20"/>
                <w:color w:val="auto"/>
              </w:rPr>
            </w:pPr>
            <w:r>
              <w:rPr>
                <w:rFonts w:ascii="Arial" w:cs="Arial" w:eastAsia="Arial" w:hAnsi="Arial"/>
                <w:sz w:val="14"/>
                <w:szCs w:val="14"/>
                <w:b w:val="1"/>
                <w:bCs w:val="1"/>
                <w:color w:val="auto"/>
              </w:rPr>
              <w:t>(67)</w:t>
            </w:r>
          </w:p>
        </w:tc>
        <w:tc>
          <w:tcPr>
            <w:tcW w:w="580" w:type="dxa"/>
            <w:vAlign w:val="bottom"/>
          </w:tcPr>
          <w:p>
            <w:pPr>
              <w:jc w:val="right"/>
              <w:ind w:right="8"/>
              <w:spacing w:after="0"/>
              <w:rPr>
                <w:sz w:val="20"/>
                <w:szCs w:val="20"/>
                <w:color w:val="auto"/>
              </w:rPr>
            </w:pPr>
            <w:r>
              <w:rPr>
                <w:rFonts w:ascii="Arial" w:cs="Arial" w:eastAsia="Arial" w:hAnsi="Arial"/>
                <w:sz w:val="14"/>
                <w:szCs w:val="14"/>
                <w:b w:val="1"/>
                <w:bCs w:val="1"/>
                <w:color w:val="auto"/>
              </w:rPr>
              <w:t>(0.03)</w:t>
            </w:r>
          </w:p>
        </w:tc>
        <w:tc>
          <w:tcPr>
            <w:tcW w:w="0" w:type="dxa"/>
            <w:vAlign w:val="bottom"/>
          </w:tcPr>
          <w:p>
            <w:pPr>
              <w:spacing w:after="0"/>
              <w:rPr>
                <w:sz w:val="1"/>
                <w:szCs w:val="1"/>
                <w:color w:val="auto"/>
              </w:rPr>
            </w:pPr>
          </w:p>
        </w:tc>
      </w:tr>
      <w:tr>
        <w:trPr>
          <w:trHeight w:val="309"/>
        </w:trPr>
        <w:tc>
          <w:tcPr>
            <w:tcW w:w="4260" w:type="dxa"/>
            <w:vAlign w:val="bottom"/>
          </w:tcPr>
          <w:p>
            <w:pPr>
              <w:spacing w:after="0"/>
              <w:rPr>
                <w:sz w:val="20"/>
                <w:szCs w:val="20"/>
                <w:color w:val="auto"/>
              </w:rPr>
            </w:pPr>
            <w:r>
              <w:rPr>
                <w:rFonts w:ascii="Arial" w:cs="Arial" w:eastAsia="Arial" w:hAnsi="Arial"/>
                <w:sz w:val="14"/>
                <w:szCs w:val="14"/>
                <w:color w:val="auto"/>
              </w:rPr>
              <w:t>Net income attributable to Comcast Corporation</w:t>
            </w:r>
          </w:p>
        </w:tc>
        <w:tc>
          <w:tcPr>
            <w:tcW w:w="9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60" w:type="dxa"/>
            <w:vAlign w:val="bottom"/>
          </w:tcPr>
          <w:p>
            <w:pPr>
              <w:ind w:left="120"/>
              <w:spacing w:after="0"/>
              <w:rPr>
                <w:sz w:val="20"/>
                <w:szCs w:val="20"/>
                <w:color w:val="auto"/>
              </w:rPr>
            </w:pPr>
            <w:r>
              <w:rPr>
                <w:rFonts w:ascii="Arial" w:cs="Arial" w:eastAsia="Arial" w:hAnsi="Arial"/>
                <w:sz w:val="14"/>
                <w:szCs w:val="14"/>
                <w:color w:val="auto"/>
              </w:rPr>
              <w:t>(excluding gain related to sale of wireless spectrum licenses)</w:t>
            </w:r>
          </w:p>
        </w:tc>
        <w:tc>
          <w:tcPr>
            <w:tcW w:w="9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$1,348</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$0.50</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$1,734</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$0.65</w:t>
            </w: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$2,572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$0.94</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$3,104</w:t>
            </w: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$1.16</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4"/>
                <w:szCs w:val="14"/>
                <w:i w:val="1"/>
                <w:iCs w:val="1"/>
                <w:color w:val="auto"/>
              </w:rPr>
              <w:t>Growth %</w:t>
            </w: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6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ind w:right="188"/>
              <w:spacing w:after="0" w:line="143" w:lineRule="exact"/>
              <w:rPr>
                <w:sz w:val="20"/>
                <w:szCs w:val="20"/>
                <w:color w:val="auto"/>
              </w:rPr>
            </w:pPr>
            <w:r>
              <w:rPr>
                <w:rFonts w:ascii="Arial" w:cs="Arial" w:eastAsia="Arial" w:hAnsi="Arial"/>
                <w:sz w:val="14"/>
                <w:szCs w:val="14"/>
                <w:i w:val="1"/>
                <w:iCs w:val="1"/>
                <w:color w:val="auto"/>
              </w:rPr>
              <w:t>28.6%</w:t>
            </w:r>
          </w:p>
        </w:tc>
        <w:tc>
          <w:tcPr>
            <w:tcW w:w="600" w:type="dxa"/>
            <w:vAlign w:val="bottom"/>
          </w:tcPr>
          <w:p>
            <w:pPr>
              <w:jc w:val="right"/>
              <w:spacing w:after="0" w:line="143" w:lineRule="exact"/>
              <w:rPr>
                <w:sz w:val="20"/>
                <w:szCs w:val="20"/>
                <w:color w:val="auto"/>
              </w:rPr>
            </w:pPr>
            <w:r>
              <w:rPr>
                <w:rFonts w:ascii="Arial" w:cs="Arial" w:eastAsia="Arial" w:hAnsi="Arial"/>
                <w:sz w:val="14"/>
                <w:szCs w:val="14"/>
                <w:i w:val="1"/>
                <w:iCs w:val="1"/>
                <w:color w:val="auto"/>
              </w:rPr>
              <w:t>30.0%</w:t>
            </w: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248"/>
              <w:spacing w:after="0" w:line="143" w:lineRule="exact"/>
              <w:rPr>
                <w:sz w:val="20"/>
                <w:szCs w:val="20"/>
                <w:color w:val="auto"/>
              </w:rPr>
            </w:pPr>
            <w:r>
              <w:rPr>
                <w:rFonts w:ascii="Arial" w:cs="Arial" w:eastAsia="Arial" w:hAnsi="Arial"/>
                <w:sz w:val="14"/>
                <w:szCs w:val="14"/>
                <w:i w:val="1"/>
                <w:iCs w:val="1"/>
                <w:color w:val="auto"/>
              </w:rPr>
              <w:t>20.7%</w:t>
            </w:r>
          </w:p>
        </w:tc>
        <w:tc>
          <w:tcPr>
            <w:tcW w:w="580" w:type="dxa"/>
            <w:vAlign w:val="bottom"/>
          </w:tcPr>
          <w:p>
            <w:pPr>
              <w:jc w:val="right"/>
              <w:ind w:right="8"/>
              <w:spacing w:after="0" w:line="143" w:lineRule="exact"/>
              <w:rPr>
                <w:sz w:val="20"/>
                <w:szCs w:val="20"/>
                <w:color w:val="auto"/>
              </w:rPr>
            </w:pPr>
            <w:r>
              <w:rPr>
                <w:rFonts w:ascii="Arial" w:cs="Arial" w:eastAsia="Arial" w:hAnsi="Arial"/>
                <w:sz w:val="14"/>
                <w:szCs w:val="14"/>
                <w:i w:val="1"/>
                <w:iCs w:val="1"/>
                <w:color w:val="auto"/>
              </w:rPr>
              <w:t>23.4%</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Based on diluted weighted-average number of common shares for the respective periods as presented in Table 1.</w:t>
      </w:r>
    </w:p>
    <w:p>
      <w:pPr>
        <w:spacing w:after="0" w:line="1" w:lineRule="exact"/>
        <w:rPr>
          <w:rFonts w:ascii="Arial" w:cs="Arial" w:eastAsia="Arial" w:hAnsi="Arial"/>
          <w:sz w:val="14"/>
          <w:szCs w:val="14"/>
          <w:color w:val="auto"/>
        </w:rPr>
      </w:pPr>
    </w:p>
    <w:p>
      <w:pPr>
        <w:ind w:left="260" w:right="340" w:hanging="252"/>
        <w:spacing w:after="0" w:line="258" w:lineRule="auto"/>
        <w:tabs>
          <w:tab w:leader="none" w:pos="252" w:val="left"/>
        </w:tabs>
        <w:numPr>
          <w:ilvl w:val="0"/>
          <w:numId w:val="3"/>
        </w:numPr>
        <w:rPr>
          <w:rFonts w:ascii="Arial" w:cs="Arial" w:eastAsia="Arial" w:hAnsi="Arial"/>
          <w:sz w:val="14"/>
          <w:szCs w:val="14"/>
          <w:color w:val="auto"/>
        </w:rPr>
      </w:pPr>
      <w:r>
        <w:rPr>
          <w:rFonts w:ascii="Arial" w:cs="Arial" w:eastAsia="Arial" w:hAnsi="Arial"/>
          <w:sz w:val="14"/>
          <w:szCs w:val="14"/>
          <w:color w:val="auto"/>
        </w:rPr>
        <w:t>2013 year to date Net income attributable to Comcast Corporation includes $108 million of other income, $67 million net of tax, resulting from a gain on the sale of wireless spectrum licenses.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xml:space="preserve"> Minor differences may exist due to rounding.</w:t>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7"/>
          <w:szCs w:val="27"/>
          <w:b w:val="1"/>
          <w:bCs w:val="1"/>
          <w:color w:val="808080"/>
        </w:rPr>
        <w:t>TABLE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4032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0322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808080"/>
        </w:rPr>
        <w:t>Reconciliation of Consolidated Revenue Excluding Super Bowl (Unaudited)</w:t>
      </w:r>
    </w:p>
    <w:p>
      <w:pPr>
        <w:spacing w:after="0" w:line="103" w:lineRule="exact"/>
        <w:rPr>
          <w:sz w:val="20"/>
          <w:szCs w:val="20"/>
          <w:color w:val="auto"/>
        </w:rPr>
      </w:pPr>
    </w:p>
    <w:tbl>
      <w:tblPr>
        <w:tblLayout w:type="fixed"/>
        <w:tblInd w:w="260" w:type="dxa"/>
        <w:tblCellMar>
          <w:top w:w="0" w:type="dxa"/>
          <w:left w:w="0" w:type="dxa"/>
          <w:bottom w:w="0" w:type="dxa"/>
          <w:right w:w="0" w:type="dxa"/>
        </w:tblCellMar>
      </w:tblPr>
      <w:tr>
        <w:trPr>
          <w:trHeight w:val="27"/>
        </w:trPr>
        <w:tc>
          <w:tcPr>
            <w:tcW w:w="3480" w:type="dxa"/>
            <w:vAlign w:val="bottom"/>
          </w:tcPr>
          <w:p>
            <w:pPr>
              <w:spacing w:after="0"/>
              <w:rPr>
                <w:sz w:val="2"/>
                <w:szCs w:val="2"/>
                <w:color w:val="auto"/>
              </w:rPr>
            </w:pPr>
          </w:p>
        </w:tc>
        <w:tc>
          <w:tcPr>
            <w:tcW w:w="3740" w:type="dxa"/>
            <w:vAlign w:val="bottom"/>
            <w:gridSpan w:val="6"/>
            <w:vMerge w:val="restart"/>
          </w:tcPr>
          <w:p>
            <w:pPr>
              <w:jc w:val="center"/>
              <w:ind w:right="160"/>
              <w:spacing w:after="0"/>
              <w:rPr>
                <w:sz w:val="20"/>
                <w:szCs w:val="20"/>
                <w:color w:val="auto"/>
              </w:rPr>
            </w:pPr>
            <w:r>
              <w:rPr>
                <w:rFonts w:ascii="Arial" w:cs="Arial" w:eastAsia="Arial" w:hAnsi="Arial"/>
                <w:sz w:val="18"/>
                <w:szCs w:val="18"/>
                <w:b w:val="1"/>
                <w:bCs w:val="1"/>
                <w:color w:val="auto"/>
                <w:w w:val="99"/>
              </w:rPr>
              <w:t>Three Months Ended</w:t>
            </w:r>
          </w:p>
        </w:tc>
        <w:tc>
          <w:tcPr>
            <w:tcW w:w="2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1600" w:type="dxa"/>
            <w:vAlign w:val="bottom"/>
            <w:gridSpan w:val="5"/>
            <w:vMerge w:val="restart"/>
          </w:tcPr>
          <w:p>
            <w:pPr>
              <w:jc w:val="center"/>
              <w:spacing w:after="0"/>
              <w:rPr>
                <w:sz w:val="20"/>
                <w:szCs w:val="20"/>
                <w:color w:val="auto"/>
              </w:rPr>
            </w:pPr>
            <w:r>
              <w:rPr>
                <w:rFonts w:ascii="Arial" w:cs="Arial" w:eastAsia="Arial" w:hAnsi="Arial"/>
                <w:sz w:val="18"/>
                <w:szCs w:val="18"/>
                <w:b w:val="1"/>
                <w:bCs w:val="1"/>
                <w:color w:val="auto"/>
                <w:w w:val="99"/>
              </w:rPr>
              <w:t>Six Months Ended</w:t>
            </w: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480" w:type="dxa"/>
            <w:vAlign w:val="bottom"/>
          </w:tcPr>
          <w:p>
            <w:pPr>
              <w:spacing w:after="0"/>
              <w:rPr>
                <w:sz w:val="15"/>
                <w:szCs w:val="15"/>
                <w:color w:val="auto"/>
              </w:rPr>
            </w:pPr>
          </w:p>
        </w:tc>
        <w:tc>
          <w:tcPr>
            <w:tcW w:w="3740" w:type="dxa"/>
            <w:vAlign w:val="bottom"/>
            <w:gridSpan w:val="6"/>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4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1600" w:type="dxa"/>
            <w:vAlign w:val="bottom"/>
            <w:gridSpan w:val="5"/>
            <w:vMerge w:val="continue"/>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9"/>
              </w:rPr>
              <w:t>June 30,</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9"/>
              </w:rPr>
              <w:t>June 30,</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480" w:type="dxa"/>
            <w:vAlign w:val="bottom"/>
          </w:tcPr>
          <w:p>
            <w:pPr>
              <w:spacing w:after="0"/>
              <w:rPr>
                <w:sz w:val="20"/>
                <w:szCs w:val="20"/>
                <w:color w:val="auto"/>
              </w:rPr>
            </w:pPr>
            <w:r>
              <w:rPr>
                <w:rFonts w:ascii="Arial" w:cs="Arial" w:eastAsia="Arial" w:hAnsi="Arial"/>
                <w:sz w:val="18"/>
                <w:szCs w:val="18"/>
                <w:color w:val="auto"/>
              </w:rPr>
              <w:t>(in millions)</w:t>
            </w: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2013</w:t>
            </w:r>
          </w:p>
        </w:tc>
        <w:tc>
          <w:tcPr>
            <w:tcW w:w="240" w:type="dxa"/>
            <w:vAlign w:val="bottom"/>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Growth %</w:t>
            </w:r>
          </w:p>
        </w:tc>
        <w:tc>
          <w:tcPr>
            <w:tcW w:w="160" w:type="dxa"/>
            <w:vAlign w:val="bottom"/>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2012</w:t>
            </w:r>
          </w:p>
        </w:tc>
        <w:tc>
          <w:tcPr>
            <w:tcW w:w="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2013</w:t>
            </w:r>
          </w:p>
        </w:tc>
        <w:tc>
          <w:tcPr>
            <w:tcW w:w="2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Growth %</w:t>
            </w:r>
          </w:p>
        </w:tc>
        <w:tc>
          <w:tcPr>
            <w:tcW w:w="0" w:type="dxa"/>
            <w:vAlign w:val="bottom"/>
          </w:tcPr>
          <w:p>
            <w:pPr>
              <w:spacing w:after="0"/>
              <w:rPr>
                <w:sz w:val="1"/>
                <w:szCs w:val="1"/>
                <w:color w:val="auto"/>
              </w:rPr>
            </w:pPr>
          </w:p>
        </w:tc>
      </w:tr>
      <w:tr>
        <w:trPr>
          <w:trHeight w:val="412"/>
        </w:trPr>
        <w:tc>
          <w:tcPr>
            <w:tcW w:w="3480" w:type="dxa"/>
            <w:vAlign w:val="bottom"/>
          </w:tcPr>
          <w:p>
            <w:pPr>
              <w:spacing w:after="0"/>
              <w:rPr>
                <w:sz w:val="20"/>
                <w:szCs w:val="20"/>
                <w:color w:val="auto"/>
              </w:rPr>
            </w:pPr>
            <w:r>
              <w:rPr>
                <w:rFonts w:ascii="Arial" w:cs="Arial" w:eastAsia="Arial" w:hAnsi="Arial"/>
                <w:sz w:val="18"/>
                <w:szCs w:val="18"/>
                <w:color w:val="auto"/>
              </w:rPr>
              <w:t>Revenue</w:t>
            </w:r>
          </w:p>
        </w:tc>
        <w:tc>
          <w:tcPr>
            <w:tcW w:w="1040" w:type="dxa"/>
            <w:vAlign w:val="bottom"/>
          </w:tcPr>
          <w:p>
            <w:pPr>
              <w:jc w:val="right"/>
              <w:spacing w:after="0"/>
              <w:rPr>
                <w:sz w:val="20"/>
                <w:szCs w:val="20"/>
                <w:color w:val="auto"/>
              </w:rPr>
            </w:pPr>
            <w:r>
              <w:rPr>
                <w:rFonts w:ascii="Arial" w:cs="Arial" w:eastAsia="Arial" w:hAnsi="Arial"/>
                <w:sz w:val="18"/>
                <w:szCs w:val="18"/>
                <w:color w:val="auto"/>
              </w:rPr>
              <w:t>$15,211</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$16,270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$30,089</w:t>
            </w: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$31,580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92"/>
        </w:trPr>
        <w:tc>
          <w:tcPr>
            <w:tcW w:w="3480" w:type="dxa"/>
            <w:vAlign w:val="bottom"/>
          </w:tcPr>
          <w:p>
            <w:pPr>
              <w:spacing w:after="0"/>
              <w:rPr>
                <w:sz w:val="20"/>
                <w:szCs w:val="20"/>
                <w:color w:val="auto"/>
              </w:rPr>
            </w:pPr>
            <w:r>
              <w:rPr>
                <w:rFonts w:ascii="Arial" w:cs="Arial" w:eastAsia="Arial" w:hAnsi="Arial"/>
                <w:sz w:val="18"/>
                <w:szCs w:val="18"/>
                <w:color w:val="auto"/>
              </w:rPr>
              <w:t>Super Bowl</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(259)</w:t>
            </w: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348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top w:val="single" w:sz="8" w:color="auto"/>
            </w:tcBorders>
            <w:shd w:val="clear" w:color="auto" w:fill="000000"/>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18" w:right="199" w:bottom="0" w:gutter="0" w:footer="0" w:header="0"/>
        </w:sectPr>
      </w:pPr>
    </w:p>
    <w:bookmarkStart w:id="9" w:name="page10"/>
    <w:bookmarkEnd w:id="9"/>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3480" w:type="dxa"/>
            <w:vAlign w:val="bottom"/>
          </w:tcPr>
          <w:p>
            <w:pPr>
              <w:spacing w:after="0"/>
              <w:rPr>
                <w:sz w:val="20"/>
                <w:szCs w:val="20"/>
                <w:color w:val="auto"/>
              </w:rPr>
            </w:pPr>
            <w:r>
              <w:rPr>
                <w:rFonts w:ascii="Arial" w:cs="Arial" w:eastAsia="Arial" w:hAnsi="Arial"/>
                <w:sz w:val="18"/>
                <w:szCs w:val="18"/>
                <w:color w:val="auto"/>
              </w:rPr>
              <w:t>Revenue excluding Super Bowl</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$15,211</w:t>
            </w:r>
          </w:p>
        </w:tc>
        <w:tc>
          <w:tcPr>
            <w:tcW w:w="22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$16,270</w:t>
            </w:r>
          </w:p>
        </w:tc>
        <w:tc>
          <w:tcPr>
            <w:tcW w:w="14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$29,830</w:t>
            </w:r>
          </w:p>
        </w:tc>
        <w:tc>
          <w:tcPr>
            <w:tcW w:w="22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$31,580</w:t>
            </w:r>
          </w:p>
        </w:tc>
        <w:tc>
          <w:tcPr>
            <w:tcW w:w="12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34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b w:val="1"/>
          <w:bCs w:val="1"/>
          <w:color w:val="808080"/>
        </w:rPr>
        <w:t>Reconciliation of Consolidated NBCUniversal Revenue Excluding Super Bowl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3" w:lineRule="exact"/>
        <w:rPr>
          <w:sz w:val="20"/>
          <w:szCs w:val="20"/>
          <w:color w:val="auto"/>
        </w:rPr>
      </w:pPr>
    </w:p>
    <w:tbl>
      <w:tblPr>
        <w:tblLayout w:type="fixed"/>
        <w:tblInd w:w="260" w:type="dxa"/>
        <w:tblCellMar>
          <w:top w:w="0" w:type="dxa"/>
          <w:left w:w="0" w:type="dxa"/>
          <w:bottom w:w="0" w:type="dxa"/>
          <w:right w:w="0" w:type="dxa"/>
        </w:tblCellMar>
      </w:tblPr>
      <w:tr>
        <w:trPr>
          <w:trHeight w:val="27"/>
        </w:trPr>
        <w:tc>
          <w:tcPr>
            <w:tcW w:w="3480" w:type="dxa"/>
            <w:vAlign w:val="bottom"/>
          </w:tcPr>
          <w:p>
            <w:pPr>
              <w:spacing w:after="0"/>
              <w:rPr>
                <w:sz w:val="2"/>
                <w:szCs w:val="2"/>
                <w:color w:val="auto"/>
              </w:rPr>
            </w:pPr>
          </w:p>
        </w:tc>
        <w:tc>
          <w:tcPr>
            <w:tcW w:w="3780" w:type="dxa"/>
            <w:vAlign w:val="bottom"/>
            <w:gridSpan w:val="6"/>
            <w:vMerge w:val="restart"/>
          </w:tcPr>
          <w:p>
            <w:pPr>
              <w:jc w:val="center"/>
              <w:ind w:right="160"/>
              <w:spacing w:after="0"/>
              <w:rPr>
                <w:sz w:val="20"/>
                <w:szCs w:val="20"/>
                <w:color w:val="auto"/>
              </w:rPr>
            </w:pPr>
            <w:r>
              <w:rPr>
                <w:rFonts w:ascii="Arial" w:cs="Arial" w:eastAsia="Arial" w:hAnsi="Arial"/>
                <w:sz w:val="18"/>
                <w:szCs w:val="18"/>
                <w:b w:val="1"/>
                <w:bCs w:val="1"/>
                <w:color w:val="auto"/>
                <w:w w:val="99"/>
              </w:rPr>
              <w:t>Three Months Ended</w:t>
            </w:r>
          </w:p>
        </w:tc>
        <w:tc>
          <w:tcPr>
            <w:tcW w:w="2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1580" w:type="dxa"/>
            <w:vAlign w:val="bottom"/>
            <w:gridSpan w:val="5"/>
            <w:vMerge w:val="restart"/>
          </w:tcPr>
          <w:p>
            <w:pPr>
              <w:jc w:val="center"/>
              <w:ind w:right="20"/>
              <w:spacing w:after="0"/>
              <w:rPr>
                <w:sz w:val="20"/>
                <w:szCs w:val="20"/>
                <w:color w:val="auto"/>
              </w:rPr>
            </w:pPr>
            <w:r>
              <w:rPr>
                <w:rFonts w:ascii="Arial" w:cs="Arial" w:eastAsia="Arial" w:hAnsi="Arial"/>
                <w:sz w:val="18"/>
                <w:szCs w:val="18"/>
                <w:b w:val="1"/>
                <w:bCs w:val="1"/>
                <w:color w:val="auto"/>
                <w:w w:val="99"/>
              </w:rPr>
              <w:t>Six Months Ended</w:t>
            </w: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480" w:type="dxa"/>
            <w:vAlign w:val="bottom"/>
          </w:tcPr>
          <w:p>
            <w:pPr>
              <w:spacing w:after="0"/>
              <w:rPr>
                <w:sz w:val="15"/>
                <w:szCs w:val="15"/>
                <w:color w:val="auto"/>
              </w:rPr>
            </w:pPr>
          </w:p>
        </w:tc>
        <w:tc>
          <w:tcPr>
            <w:tcW w:w="3780" w:type="dxa"/>
            <w:vAlign w:val="bottom"/>
            <w:gridSpan w:val="6"/>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4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1580" w:type="dxa"/>
            <w:vAlign w:val="bottom"/>
            <w:gridSpan w:val="5"/>
            <w:vMerge w:val="continue"/>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9"/>
              </w:rPr>
              <w:t>June 30,</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9"/>
              </w:rPr>
              <w:t>June 30,</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480" w:type="dxa"/>
            <w:vAlign w:val="bottom"/>
          </w:tcPr>
          <w:p>
            <w:pPr>
              <w:spacing w:after="0"/>
              <w:rPr>
                <w:sz w:val="20"/>
                <w:szCs w:val="20"/>
                <w:color w:val="auto"/>
              </w:rPr>
            </w:pPr>
            <w:r>
              <w:rPr>
                <w:rFonts w:ascii="Arial" w:cs="Arial" w:eastAsia="Arial" w:hAnsi="Arial"/>
                <w:sz w:val="18"/>
                <w:szCs w:val="18"/>
                <w:color w:val="auto"/>
              </w:rPr>
              <w:t>(in millions)</w:t>
            </w: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2012</w:t>
            </w:r>
          </w:p>
        </w:tc>
        <w:tc>
          <w:tcPr>
            <w:tcW w:w="26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2013</w:t>
            </w:r>
          </w:p>
        </w:tc>
        <w:tc>
          <w:tcPr>
            <w:tcW w:w="240" w:type="dxa"/>
            <w:vAlign w:val="bottom"/>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Growth %</w:t>
            </w:r>
          </w:p>
        </w:tc>
        <w:tc>
          <w:tcPr>
            <w:tcW w:w="160" w:type="dxa"/>
            <w:vAlign w:val="bottom"/>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2012</w:t>
            </w:r>
          </w:p>
        </w:tc>
        <w:tc>
          <w:tcPr>
            <w:tcW w:w="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2013</w:t>
            </w:r>
          </w:p>
        </w:tc>
        <w:tc>
          <w:tcPr>
            <w:tcW w:w="2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Growth %</w:t>
            </w:r>
          </w:p>
        </w:tc>
        <w:tc>
          <w:tcPr>
            <w:tcW w:w="0" w:type="dxa"/>
            <w:vAlign w:val="bottom"/>
          </w:tcPr>
          <w:p>
            <w:pPr>
              <w:spacing w:after="0"/>
              <w:rPr>
                <w:sz w:val="1"/>
                <w:szCs w:val="1"/>
                <w:color w:val="auto"/>
              </w:rPr>
            </w:pPr>
          </w:p>
        </w:tc>
      </w:tr>
      <w:tr>
        <w:trPr>
          <w:trHeight w:val="412"/>
        </w:trPr>
        <w:tc>
          <w:tcPr>
            <w:tcW w:w="3480" w:type="dxa"/>
            <w:vAlign w:val="bottom"/>
          </w:tcPr>
          <w:p>
            <w:pPr>
              <w:spacing w:after="0"/>
              <w:rPr>
                <w:sz w:val="20"/>
                <w:szCs w:val="20"/>
                <w:color w:val="auto"/>
              </w:rPr>
            </w:pPr>
            <w:r>
              <w:rPr>
                <w:rFonts w:ascii="Arial" w:cs="Arial" w:eastAsia="Arial" w:hAnsi="Arial"/>
                <w:sz w:val="18"/>
                <w:szCs w:val="18"/>
                <w:color w:val="auto"/>
              </w:rPr>
              <w:t>Revenue</w:t>
            </w:r>
          </w:p>
        </w:tc>
        <w:tc>
          <w:tcPr>
            <w:tcW w:w="1040" w:type="dxa"/>
            <w:vAlign w:val="bottom"/>
          </w:tcPr>
          <w:p>
            <w:pPr>
              <w:jc w:val="right"/>
              <w:spacing w:after="0"/>
              <w:rPr>
                <w:sz w:val="20"/>
                <w:szCs w:val="20"/>
                <w:color w:val="auto"/>
              </w:rPr>
            </w:pPr>
            <w:r>
              <w:rPr>
                <w:rFonts w:ascii="Arial" w:cs="Arial" w:eastAsia="Arial" w:hAnsi="Arial"/>
                <w:sz w:val="18"/>
                <w:szCs w:val="18"/>
                <w:color w:val="auto"/>
              </w:rPr>
              <w:t>$5,504</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$5,995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$10,976</w:t>
            </w: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$11,335</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92"/>
        </w:trPr>
        <w:tc>
          <w:tcPr>
            <w:tcW w:w="3480" w:type="dxa"/>
            <w:vAlign w:val="bottom"/>
          </w:tcPr>
          <w:p>
            <w:pPr>
              <w:spacing w:after="0"/>
              <w:rPr>
                <w:sz w:val="20"/>
                <w:szCs w:val="20"/>
                <w:color w:val="auto"/>
              </w:rPr>
            </w:pPr>
            <w:r>
              <w:rPr>
                <w:rFonts w:ascii="Arial" w:cs="Arial" w:eastAsia="Arial" w:hAnsi="Arial"/>
                <w:sz w:val="18"/>
                <w:szCs w:val="18"/>
                <w:color w:val="auto"/>
              </w:rPr>
              <w:t>Super Bowl</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80" w:type="dxa"/>
            <w:vAlign w:val="bottom"/>
          </w:tcPr>
          <w:p>
            <w:pPr>
              <w:spacing w:after="0"/>
              <w:rPr>
                <w:sz w:val="20"/>
                <w:szCs w:val="20"/>
                <w:color w:val="auto"/>
              </w:rPr>
            </w:pPr>
            <w:r>
              <w:rPr>
                <w:rFonts w:ascii="Arial" w:cs="Arial" w:eastAsia="Arial" w:hAnsi="Arial"/>
                <w:sz w:val="18"/>
                <w:szCs w:val="18"/>
                <w:color w:val="auto"/>
              </w:rPr>
              <w:t>Revenue excluding Super Bowl</w:t>
            </w:r>
          </w:p>
        </w:tc>
        <w:tc>
          <w:tcPr>
            <w:tcW w:w="1040" w:type="dxa"/>
            <w:vAlign w:val="bottom"/>
          </w:tcPr>
          <w:p>
            <w:pPr>
              <w:jc w:val="right"/>
              <w:spacing w:after="0"/>
              <w:rPr>
                <w:sz w:val="20"/>
                <w:szCs w:val="20"/>
                <w:color w:val="auto"/>
              </w:rPr>
            </w:pPr>
            <w:r>
              <w:rPr>
                <w:rFonts w:ascii="Arial" w:cs="Arial" w:eastAsia="Arial" w:hAnsi="Arial"/>
                <w:sz w:val="18"/>
                <w:szCs w:val="18"/>
                <w:color w:val="auto"/>
              </w:rPr>
              <w:t>$5,504</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$5,995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$10,717</w:t>
            </w: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$11,335</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b w:val="1"/>
          <w:bCs w:val="1"/>
          <w:color w:val="808080"/>
        </w:rPr>
        <w:t>Reconciliation of Broadcast Television Revenue Excluding Super Bowl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3" w:lineRule="exact"/>
        <w:rPr>
          <w:sz w:val="20"/>
          <w:szCs w:val="20"/>
          <w:color w:val="auto"/>
        </w:rPr>
      </w:pPr>
    </w:p>
    <w:tbl>
      <w:tblPr>
        <w:tblLayout w:type="fixed"/>
        <w:tblInd w:w="260" w:type="dxa"/>
        <w:tblCellMar>
          <w:top w:w="0" w:type="dxa"/>
          <w:left w:w="0" w:type="dxa"/>
          <w:bottom w:w="0" w:type="dxa"/>
          <w:right w:w="0" w:type="dxa"/>
        </w:tblCellMar>
      </w:tblPr>
      <w:tr>
        <w:trPr>
          <w:trHeight w:val="27"/>
        </w:trPr>
        <w:tc>
          <w:tcPr>
            <w:tcW w:w="3480" w:type="dxa"/>
            <w:vAlign w:val="bottom"/>
          </w:tcPr>
          <w:p>
            <w:pPr>
              <w:spacing w:after="0"/>
              <w:rPr>
                <w:sz w:val="2"/>
                <w:szCs w:val="2"/>
                <w:color w:val="auto"/>
              </w:rPr>
            </w:pPr>
          </w:p>
        </w:tc>
        <w:tc>
          <w:tcPr>
            <w:tcW w:w="3780" w:type="dxa"/>
            <w:vAlign w:val="bottom"/>
            <w:gridSpan w:val="6"/>
            <w:vMerge w:val="restart"/>
          </w:tcPr>
          <w:p>
            <w:pPr>
              <w:jc w:val="center"/>
              <w:ind w:right="160"/>
              <w:spacing w:after="0"/>
              <w:rPr>
                <w:sz w:val="20"/>
                <w:szCs w:val="20"/>
                <w:color w:val="auto"/>
              </w:rPr>
            </w:pPr>
            <w:r>
              <w:rPr>
                <w:rFonts w:ascii="Arial" w:cs="Arial" w:eastAsia="Arial" w:hAnsi="Arial"/>
                <w:sz w:val="18"/>
                <w:szCs w:val="18"/>
                <w:b w:val="1"/>
                <w:bCs w:val="1"/>
                <w:color w:val="auto"/>
                <w:w w:val="99"/>
              </w:rPr>
              <w:t>Three Months Ended</w:t>
            </w:r>
          </w:p>
        </w:tc>
        <w:tc>
          <w:tcPr>
            <w:tcW w:w="2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1580" w:type="dxa"/>
            <w:vAlign w:val="bottom"/>
            <w:gridSpan w:val="5"/>
            <w:vMerge w:val="restart"/>
          </w:tcPr>
          <w:p>
            <w:pPr>
              <w:jc w:val="center"/>
              <w:ind w:right="20"/>
              <w:spacing w:after="0"/>
              <w:rPr>
                <w:sz w:val="20"/>
                <w:szCs w:val="20"/>
                <w:color w:val="auto"/>
              </w:rPr>
            </w:pPr>
            <w:r>
              <w:rPr>
                <w:rFonts w:ascii="Arial" w:cs="Arial" w:eastAsia="Arial" w:hAnsi="Arial"/>
                <w:sz w:val="18"/>
                <w:szCs w:val="18"/>
                <w:b w:val="1"/>
                <w:bCs w:val="1"/>
                <w:color w:val="auto"/>
                <w:w w:val="99"/>
              </w:rPr>
              <w:t>Six Months Ended</w:t>
            </w: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480" w:type="dxa"/>
            <w:vAlign w:val="bottom"/>
          </w:tcPr>
          <w:p>
            <w:pPr>
              <w:spacing w:after="0"/>
              <w:rPr>
                <w:sz w:val="15"/>
                <w:szCs w:val="15"/>
                <w:color w:val="auto"/>
              </w:rPr>
            </w:pPr>
          </w:p>
        </w:tc>
        <w:tc>
          <w:tcPr>
            <w:tcW w:w="3780" w:type="dxa"/>
            <w:vAlign w:val="bottom"/>
            <w:gridSpan w:val="6"/>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4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1580" w:type="dxa"/>
            <w:vAlign w:val="bottom"/>
            <w:gridSpan w:val="5"/>
            <w:vMerge w:val="continue"/>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9"/>
              </w:rPr>
              <w:t>June 30,</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9"/>
              </w:rPr>
              <w:t>June 30,</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480" w:type="dxa"/>
            <w:vAlign w:val="bottom"/>
          </w:tcPr>
          <w:p>
            <w:pPr>
              <w:spacing w:after="0"/>
              <w:rPr>
                <w:sz w:val="20"/>
                <w:szCs w:val="20"/>
                <w:color w:val="auto"/>
              </w:rPr>
            </w:pPr>
            <w:r>
              <w:rPr>
                <w:rFonts w:ascii="Arial" w:cs="Arial" w:eastAsia="Arial" w:hAnsi="Arial"/>
                <w:sz w:val="18"/>
                <w:szCs w:val="18"/>
                <w:color w:val="auto"/>
              </w:rPr>
              <w:t>(in millions)</w:t>
            </w: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2012</w:t>
            </w:r>
          </w:p>
        </w:tc>
        <w:tc>
          <w:tcPr>
            <w:tcW w:w="24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2013</w:t>
            </w:r>
          </w:p>
        </w:tc>
        <w:tc>
          <w:tcPr>
            <w:tcW w:w="240" w:type="dxa"/>
            <w:vAlign w:val="bottom"/>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Growth %</w:t>
            </w:r>
          </w:p>
        </w:tc>
        <w:tc>
          <w:tcPr>
            <w:tcW w:w="180" w:type="dxa"/>
            <w:vAlign w:val="bottom"/>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2012</w:t>
            </w:r>
          </w:p>
        </w:tc>
        <w:tc>
          <w:tcPr>
            <w:tcW w:w="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2013</w:t>
            </w:r>
          </w:p>
        </w:tc>
        <w:tc>
          <w:tcPr>
            <w:tcW w:w="2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Growth %</w:t>
            </w:r>
          </w:p>
        </w:tc>
        <w:tc>
          <w:tcPr>
            <w:tcW w:w="0" w:type="dxa"/>
            <w:vAlign w:val="bottom"/>
          </w:tcPr>
          <w:p>
            <w:pPr>
              <w:spacing w:after="0"/>
              <w:rPr>
                <w:sz w:val="1"/>
                <w:szCs w:val="1"/>
                <w:color w:val="auto"/>
              </w:rPr>
            </w:pPr>
          </w:p>
        </w:tc>
      </w:tr>
      <w:tr>
        <w:trPr>
          <w:trHeight w:val="412"/>
        </w:trPr>
        <w:tc>
          <w:tcPr>
            <w:tcW w:w="3480" w:type="dxa"/>
            <w:vAlign w:val="bottom"/>
          </w:tcPr>
          <w:p>
            <w:pPr>
              <w:spacing w:after="0"/>
              <w:rPr>
                <w:sz w:val="20"/>
                <w:szCs w:val="20"/>
                <w:color w:val="auto"/>
              </w:rPr>
            </w:pPr>
            <w:r>
              <w:rPr>
                <w:rFonts w:ascii="Arial" w:cs="Arial" w:eastAsia="Arial" w:hAnsi="Arial"/>
                <w:sz w:val="18"/>
                <w:szCs w:val="18"/>
                <w:color w:val="auto"/>
              </w:rPr>
              <w:t>Revenue</w:t>
            </w:r>
          </w:p>
        </w:tc>
        <w:tc>
          <w:tcPr>
            <w:tcW w:w="1040" w:type="dxa"/>
            <w:vAlign w:val="bottom"/>
          </w:tcPr>
          <w:p>
            <w:pPr>
              <w:jc w:val="right"/>
              <w:spacing w:after="0"/>
              <w:rPr>
                <w:sz w:val="20"/>
                <w:szCs w:val="20"/>
                <w:color w:val="auto"/>
              </w:rPr>
            </w:pPr>
            <w:r>
              <w:rPr>
                <w:rFonts w:ascii="Arial" w:cs="Arial" w:eastAsia="Arial" w:hAnsi="Arial"/>
                <w:sz w:val="18"/>
                <w:szCs w:val="18"/>
                <w:color w:val="auto"/>
              </w:rPr>
              <w:t>$1,552</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$1,732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$3,413</w:t>
            </w: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$3,249</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92"/>
        </w:trPr>
        <w:tc>
          <w:tcPr>
            <w:tcW w:w="3480" w:type="dxa"/>
            <w:vAlign w:val="bottom"/>
          </w:tcPr>
          <w:p>
            <w:pPr>
              <w:spacing w:after="0"/>
              <w:rPr>
                <w:sz w:val="20"/>
                <w:szCs w:val="20"/>
                <w:color w:val="auto"/>
              </w:rPr>
            </w:pPr>
            <w:r>
              <w:rPr>
                <w:rFonts w:ascii="Arial" w:cs="Arial" w:eastAsia="Arial" w:hAnsi="Arial"/>
                <w:sz w:val="18"/>
                <w:szCs w:val="18"/>
                <w:color w:val="auto"/>
              </w:rPr>
              <w:t>Super Bowl</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80" w:type="dxa"/>
            <w:vAlign w:val="bottom"/>
          </w:tcPr>
          <w:p>
            <w:pPr>
              <w:spacing w:after="0"/>
              <w:rPr>
                <w:sz w:val="20"/>
                <w:szCs w:val="20"/>
                <w:color w:val="auto"/>
              </w:rPr>
            </w:pPr>
            <w:r>
              <w:rPr>
                <w:rFonts w:ascii="Arial" w:cs="Arial" w:eastAsia="Arial" w:hAnsi="Arial"/>
                <w:sz w:val="18"/>
                <w:szCs w:val="18"/>
                <w:color w:val="auto"/>
              </w:rPr>
              <w:t>Revenue excluding Super Bowl</w:t>
            </w:r>
          </w:p>
        </w:tc>
        <w:tc>
          <w:tcPr>
            <w:tcW w:w="1040" w:type="dxa"/>
            <w:vAlign w:val="bottom"/>
          </w:tcPr>
          <w:p>
            <w:pPr>
              <w:jc w:val="right"/>
              <w:spacing w:after="0"/>
              <w:rPr>
                <w:sz w:val="20"/>
                <w:szCs w:val="20"/>
                <w:color w:val="auto"/>
              </w:rPr>
            </w:pPr>
            <w:r>
              <w:rPr>
                <w:rFonts w:ascii="Arial" w:cs="Arial" w:eastAsia="Arial" w:hAnsi="Arial"/>
                <w:sz w:val="18"/>
                <w:szCs w:val="18"/>
                <w:color w:val="auto"/>
              </w:rPr>
              <w:t>$1,552</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$1,732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$3,154</w:t>
            </w: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$3,249</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r>
        <w:rPr>
          <w:rFonts w:ascii="Arial" w:cs="Arial" w:eastAsia="Arial" w:hAnsi="Arial"/>
          <w:sz w:val="18"/>
          <w:szCs w:val="18"/>
          <w:color w:val="auto"/>
        </w:rPr>
        <w:t xml:space="preserve"> Minor differences may exist due to rounding.</w:t>
      </w:r>
    </w:p>
    <w:p>
      <w:pPr>
        <w:spacing w:after="0" w:line="204"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240" w:top="135" w:right="439" w:bottom="1440" w:gutter="0" w:footer="0" w:header="0"/>
        </w:sectPr>
      </w:pPr>
    </w:p>
    <w:bookmarkStart w:id="10" w:name="page11"/>
    <w:bookmarkEnd w:id="10"/>
    <w:p>
      <w:pPr>
        <w:jc w:val="right"/>
        <w:spacing w:after="0"/>
        <w:rPr>
          <w:sz w:val="20"/>
          <w:szCs w:val="20"/>
          <w:color w:val="auto"/>
        </w:rPr>
      </w:pPr>
      <w:r>
        <w:rPr>
          <w:rFonts w:ascii="Arial" w:cs="Arial" w:eastAsia="Arial" w:hAnsi="Arial"/>
          <w:sz w:val="17"/>
          <w:szCs w:val="17"/>
          <w:b w:val="1"/>
          <w:bCs w:val="1"/>
          <w:color w:val="auto"/>
        </w:rPr>
        <w:t>Exhibit 99.2</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99.2 – Explanation of Non-GAAP and Other Financial Measures</w:t>
      </w:r>
    </w:p>
    <w:p>
      <w:pPr>
        <w:spacing w:after="0" w:line="216"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This Exhibit 99.2 to the accompanying Current Report on Form 8-K for Comcast Corporation (“Company”,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financial condition and results of operations. To the extent material, this Exhibit also discloses the additional purposes, if any, for which our management uses these non-GAAP financial measures. A reconciliation of these non-GAAP financial measures with the most directly comparable GAAP financial measures is included in the earnings press release itself.</w:t>
      </w:r>
    </w:p>
    <w:p>
      <w:pPr>
        <w:spacing w:after="0" w:line="148"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Operating Cash Flow is the primary basis used to measure the operational strength and performance of our businesses. Free Cash Flow and Unlevered Free Cash Flow are additional performance measures used as indicators of our ability to service and repay debt, make investments and return capital to investors, through stock repurchases and dividends. We also adjust certain historical data on a pro forma basis following certain acquisitions or dispositions to enhance comparability.</w:t>
      </w:r>
    </w:p>
    <w:p>
      <w:pPr>
        <w:spacing w:after="0" w:line="138"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Operating Cash Flow is defined as operating income (loss) before depreciation and amortization, excluding impairment charges related to fixed and intangible assets and gains or losses on sale of assets, if any. This measure eliminates the significant level of non-cash depreciation and amortization expense that results from the capital intensive nature of certain of our businesses and from intangible assets recognized in business combinations. It is also unaffected by our capital structure or investment activities.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Operating Cash Flow is useful to investors because it is one of the bases for comparing our operating performance with other companies in our industries, although our measure of Operating Cash Flow may not be directly comparable to similar measures used by other companies.</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Because we use Operating Cash Flow to measure our segment profit or loss, we reconcile it to operating income, the most directly comparable financial measure calculated and presented in accordance with GAAP, in the business segment footnote to our quarterly and annual consolidated financial statements. Therefore, we believe our measure of Operating Cash Flow for our segments is not a “non-GAAP financial measure” as contemplated by Regulation G adopted by the Securities and Exchange Commission. Consolidated Operating Cash Flow is a non-GAAP financial measure.</w:t>
      </w:r>
    </w:p>
    <w:p>
      <w:pPr>
        <w:spacing w:after="0" w:line="176"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Free Cash Flow, which is a non-GAAP financial measure, is defined as “Net Cash Provided by Operating Activities” (as stated in our Consolidated Statement of Cash Flows) reduced by capital expenditures, cash paid for intangible assets and cash distributions to noncontrolling interests; and adjusted for any payments and receipts related to certain nonoperating items, net of estimated tax benefits (such as income taxes on investment sales and nonrecurring payments related to income tax and litigation contingencies of acquired companies). Unlevered Free Cash Flow is Free Cash Flow before cash paid interest. We believe that Free Cash Flow and Unlevered Free Cash Flow are also useful to investors as the basis for comparing our performance and coverage ratios with other companies in our industries, although our measure of Free Cash Flow and Unlevered Free Cash Flow may not be directly comparable to similar measures used by other companies.</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preceding year. Our pro forma data is adjusted for the timing of acquisitions or dispositions, the effects of acquisition accounting, eliminating the costs and expenses directly related to the transaction, but does not include adjustments for costs related to integration activities, cost savings or synergies that have been or may be achieved by the combined businesses. We do not believe our pro forma data is a non-GAAP financial measure as contemplated by Regulation G.</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certain circumstances we also present “adjusted” data, to exclude certain gains, losses or other charges, net of tax (such as from the sales of investments or dispositions of businesses). This “adjusted” data is a non-GAAP financial measure. We believe, among other things, that the “adjusted” data may help investors evaluate our ongoing operations and can assist in making meaningful period-over-period comparisons.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99.2 – Explanation of Non-GAAP and Other Financial Measures, cont’d</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Non-GAAP financial measures should not be considered as substitutes for operating income (loss), net income (loss) attributable to Comcast Corporation, net cash provided by operating activities or other measures of performance or liquidity reported in accordance with GAAP.</w:t>
      </w:r>
    </w:p>
    <w:p>
      <w:pPr>
        <w:spacing w:after="0" w:line="16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Additionally, in the opinion of management, our pro forma data is not necessarily indicative of future results or what our results would have been had the acquired businesses been operated by us after the assumed earlier date.</w:t>
      </w:r>
    </w:p>
    <w:p>
      <w:pPr>
        <w:spacing w:after="0" w:line="161"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In Exhibit 99.1 to this Current Report on Form 8-K we provide reconciliations of Free Cash Flow in Table 4, Consolidated Operating Cash Flow in Table 1 and “adjusted” data in Tables 4 and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bullet"/>
      <w:start w:val="1"/>
    </w:lvl>
  </w:abstractNum>
  <w:abstractNum w:abstractNumId="1">
    <w:nsid w:val="74B0DC51"/>
    <w:multiLevelType w:val="hybridMultilevel"/>
    <w:lvl w:ilvl="0">
      <w:lvlJc w:val="left"/>
      <w:lvlText w:val="3"/>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2019-12-07T03:20:55Z</dcterms:created>
  <dcterms:modified xsi:type="dcterms:W3CDTF">2019-12-07T03:20:55Z</dcterms:modified>
</cp:coreProperties>
</file>