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Date of report (Date of earliest event reported): July 30,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Pennsylvania</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78" w:lineRule="exact"/>
        <w:rPr>
          <w:sz w:val="24"/>
          <w:szCs w:val="24"/>
          <w:color w:val="auto"/>
        </w:rPr>
      </w:pPr>
    </w:p>
    <w:tbl>
      <w:tblPr>
        <w:tblLayout w:type="fixed"/>
        <w:tblInd w:w="1720" w:type="dxa"/>
        <w:tblCellMar>
          <w:top w:w="0" w:type="dxa"/>
          <w:left w:w="0" w:type="dxa"/>
          <w:bottom w:w="0" w:type="dxa"/>
          <w:right w:w="0" w:type="dxa"/>
        </w:tblCellMar>
      </w:tblPr>
      <w:tr>
        <w:trPr>
          <w:trHeight w:val="218"/>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8"/>
              </w:rPr>
              <w:t>001-32871</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4140" w:type="dxa"/>
            <w:vAlign w:val="bottom"/>
          </w:tcPr>
          <w:p>
            <w:pPr>
              <w:jc w:val="center"/>
              <w:ind w:right="1780"/>
              <w:spacing w:after="0"/>
              <w:rPr>
                <w:sz w:val="20"/>
                <w:szCs w:val="20"/>
                <w:color w:val="auto"/>
              </w:rPr>
            </w:pPr>
            <w:r>
              <w:rPr>
                <w:rFonts w:ascii="Arial" w:cs="Arial" w:eastAsia="Arial" w:hAnsi="Arial"/>
                <w:sz w:val="14"/>
                <w:szCs w:val="14"/>
                <w:b w:val="1"/>
                <w:bCs w:val="1"/>
                <w:color w:val="auto"/>
                <w:w w:val="87"/>
              </w:rPr>
              <w:t>(Commission File Number)</w:t>
            </w:r>
          </w:p>
        </w:tc>
        <w:tc>
          <w:tcPr>
            <w:tcW w:w="3800" w:type="dxa"/>
            <w:vAlign w:val="bottom"/>
          </w:tcPr>
          <w:p>
            <w:pPr>
              <w:jc w:val="center"/>
              <w:ind w:left="176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4140" w:type="dxa"/>
            <w:vAlign w:val="bottom"/>
          </w:tcPr>
          <w:p>
            <w:pPr>
              <w:jc w:val="center"/>
              <w:ind w:right="1780"/>
              <w:spacing w:after="0"/>
              <w:rPr>
                <w:sz w:val="20"/>
                <w:szCs w:val="20"/>
                <w:color w:val="auto"/>
              </w:rPr>
            </w:pPr>
            <w:r>
              <w:rPr>
                <w:rFonts w:ascii="Arial" w:cs="Arial" w:eastAsia="Arial" w:hAnsi="Arial"/>
                <w:sz w:val="18"/>
                <w:szCs w:val="18"/>
                <w:b w:val="1"/>
                <w:bCs w:val="1"/>
                <w:color w:val="auto"/>
                <w:w w:val="87"/>
              </w:rPr>
              <w:t>One Comcast Center</w:t>
            </w:r>
          </w:p>
        </w:tc>
        <w:tc>
          <w:tcPr>
            <w:tcW w:w="3800" w:type="dxa"/>
            <w:vAlign w:val="bottom"/>
          </w:tcPr>
          <w:p>
            <w:pPr>
              <w:spacing w:after="0"/>
              <w:rPr>
                <w:sz w:val="24"/>
                <w:szCs w:val="24"/>
                <w:color w:val="auto"/>
              </w:rPr>
            </w:pPr>
          </w:p>
        </w:tc>
      </w:tr>
      <w:tr>
        <w:trPr>
          <w:trHeight w:val="231"/>
        </w:trPr>
        <w:tc>
          <w:tcPr>
            <w:tcW w:w="4140" w:type="dxa"/>
            <w:vAlign w:val="bottom"/>
          </w:tcPr>
          <w:p>
            <w:pPr>
              <w:jc w:val="center"/>
              <w:ind w:right="1760"/>
              <w:spacing w:after="0"/>
              <w:rPr>
                <w:sz w:val="20"/>
                <w:szCs w:val="20"/>
                <w:color w:val="auto"/>
              </w:rPr>
            </w:pPr>
            <w:r>
              <w:rPr>
                <w:rFonts w:ascii="Arial" w:cs="Arial" w:eastAsia="Arial" w:hAnsi="Arial"/>
                <w:sz w:val="18"/>
                <w:szCs w:val="18"/>
                <w:b w:val="1"/>
                <w:bCs w:val="1"/>
                <w:color w:val="auto"/>
                <w:w w:val="89"/>
              </w:rPr>
              <w:t>Philadelphia, PA</w:t>
            </w:r>
          </w:p>
        </w:tc>
        <w:tc>
          <w:tcPr>
            <w:tcW w:w="3800" w:type="dxa"/>
            <w:vAlign w:val="bottom"/>
          </w:tcPr>
          <w:p>
            <w:pPr>
              <w:jc w:val="center"/>
              <w:ind w:left="1762"/>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40" w:type="dxa"/>
            <w:vAlign w:val="bottom"/>
          </w:tcPr>
          <w:p>
            <w:pPr>
              <w:jc w:val="center"/>
              <w:ind w:right="176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800" w:type="dxa"/>
            <w:vAlign w:val="bottom"/>
          </w:tcPr>
          <w:p>
            <w:pPr>
              <w:jc w:val="center"/>
              <w:ind w:left="178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14a-12(b) under the Exchange Act (17 CFR 240.14a-12(b))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Attached as Exhibit 100 to this report are the following financial statements from Comcast Corporation’s Quarterly Report on Form 10-Q for the Three and Six Months Ended June 30, 2008, filed with the Securities and Exchange Commission on July 30, 2008, formatted in XBRL (eXtensible Business Reporting Language): (i) the Condensed Consolidated Balance Sheet as of June 30, 2008 and December 31, 2007; (ii) the Condensed Consolidated Statement of Operations for the Three and Six Months Ended June 30, 2008 and 2007; and (iii) the Condensed Consolidated Statement of Cash Flows for the Six Months Ended June 30, 2008 and 2007. Users of this data are advised pursuant to Rule 401 of Regulation S-T that the financial and other information contained in the XBRL document is unaudited and that these are not the official publicly filed financial statements of Comcast Corporation. The purpose of submitting these XBRL formatted documents is to test the related format and technology and, as a result, investors should continue to rely on the official filed version of the furnished documents and not rely on the information in this Current Report on Form 8-K, including Exhibit 100, in making investment decisions.</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accordance with Rule 402 of Regulation S-T, the information in this Current Report on Form 8-K, including Exhibit 100,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9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jc w:val="both"/>
        <w:ind w:left="920" w:right="20" w:hanging="912"/>
        <w:spacing w:after="0" w:line="295" w:lineRule="auto"/>
        <w:tabs>
          <w:tab w:leader="none" w:pos="9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following financial statements from Comcast Corporation’s Quarterly Report on Form 10-Q for the Three and Six Months Ended June 30, 2008, filed with the Securities and Exchange Commission on July 30, 2008, formatted in XBRL: (i) the Condensed Consolidated Balance Sheet as of June 30, 2008 and December 31, 2007, (ii) the Condensed Consolidated Statement of Operations for the Three and Six Months Ended June 30, 2008 and 2007 and (iii) the Condensed Consolidated Statement of Cash Flows for the Six Months Ended June 30, 2008 and 2007.</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 2008</w:t>
      </w:r>
      <w:r>
        <w:rPr>
          <w:sz w:val="20"/>
          <w:szCs w:val="20"/>
          <w:color w:val="auto"/>
        </w:rPr>
        <w:tab/>
      </w:r>
      <w:r>
        <w:rPr>
          <w:rFonts w:ascii="Arial" w:cs="Arial" w:eastAsia="Arial" w:hAnsi="Arial"/>
          <w:sz w:val="16"/>
          <w:szCs w:val="16"/>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Lawrence J. Salva</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Chief Accounting Officer and Controller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(Principal Accounting Officer)</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2019-12-15T05:13:47Z</dcterms:created>
  <dcterms:modified xsi:type="dcterms:W3CDTF">2019-12-15T05:13:47Z</dcterms:modified>
</cp:coreProperties>
</file>