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November 21, 1994</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11</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QVC PROGRAMMING HOLDINGS, INC.</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2860"/>
        <w:spacing w:after="0"/>
        <w:rPr>
          <w:sz w:val="20"/>
          <w:szCs w:val="20"/>
          <w:color w:val="auto"/>
        </w:rPr>
      </w:pPr>
      <w:r>
        <w:rPr>
          <w:rFonts w:ascii="Courier New" w:cs="Courier New" w:eastAsia="Courier New" w:hAnsi="Courier New"/>
          <w:sz w:val="18"/>
          <w:szCs w:val="18"/>
          <w:color w:val="auto"/>
        </w:rPr>
        <w:t>TELE-COMMUNICATIONS, INC.</w:t>
      </w:r>
    </w:p>
    <w:p>
      <w:pPr>
        <w:ind w:left="2220"/>
        <w:spacing w:after="0"/>
        <w:rPr>
          <w:sz w:val="20"/>
          <w:szCs w:val="20"/>
          <w:color w:val="auto"/>
        </w:rPr>
      </w:pPr>
      <w:r>
        <w:rPr>
          <w:rFonts w:ascii="Courier New" w:cs="Courier New" w:eastAsia="Courier New" w:hAnsi="Courier New"/>
          <w:sz w:val="18"/>
          <w:szCs w:val="18"/>
          <w:color w:val="auto"/>
        </w:rPr>
        <w:t>(Name of Person(s) Filing Statement)</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74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8"/>
              </w:rPr>
              <w:t>747262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73"/>
              </w:rPr>
              <w:t>3</w:t>
            </w:r>
          </w:p>
        </w:tc>
        <w:tc>
          <w:tcPr>
            <w:tcW w:w="2840" w:type="dxa"/>
            <w:vAlign w:val="bottom"/>
          </w:tcPr>
          <w:p>
            <w:pPr>
              <w:spacing w:after="0"/>
              <w:rPr>
                <w:sz w:val="17"/>
                <w:szCs w:val="17"/>
                <w:color w:val="auto"/>
              </w:rPr>
            </w:pPr>
          </w:p>
        </w:tc>
      </w:tr>
      <w:tr>
        <w:trPr>
          <w:trHeight w:val="296"/>
        </w:trPr>
        <w:tc>
          <w:tcPr>
            <w:tcW w:w="8120" w:type="dxa"/>
            <w:vAlign w:val="bottom"/>
            <w:gridSpan w:val="5"/>
          </w:tcPr>
          <w:p>
            <w:pPr>
              <w:ind w:left="2220"/>
              <w:spacing w:after="0"/>
              <w:rPr>
                <w:sz w:val="20"/>
                <w:szCs w:val="20"/>
                <w:color w:val="auto"/>
              </w:rPr>
            </w:pPr>
            <w:r>
              <w:rPr>
                <w:rFonts w:ascii="Courier New" w:cs="Courier New" w:eastAsia="Courier New" w:hAnsi="Courier New"/>
                <w:sz w:val="18"/>
                <w:szCs w:val="18"/>
                <w:color w:val="auto"/>
              </w:rPr>
              <w:t>(CUSIP Number of Class of Securities)</w:t>
            </w:r>
          </w:p>
        </w:tc>
      </w:tr>
      <w:tr>
        <w:trPr>
          <w:trHeight w:val="810"/>
        </w:trPr>
        <w:tc>
          <w:tcPr>
            <w:tcW w:w="2540" w:type="dxa"/>
            <w:vAlign w:val="bottom"/>
          </w:tcPr>
          <w:p>
            <w:pPr>
              <w:spacing w:after="0"/>
              <w:rPr>
                <w:sz w:val="24"/>
                <w:szCs w:val="24"/>
                <w:color w:val="auto"/>
              </w:rPr>
            </w:pPr>
          </w:p>
        </w:tc>
        <w:tc>
          <w:tcPr>
            <w:tcW w:w="27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514"/>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100" w:type="dxa"/>
            <w:vAlign w:val="bottom"/>
            <w:gridSpan w:val="2"/>
          </w:tcPr>
          <w:p>
            <w:pPr>
              <w:jc w:val="center"/>
              <w:ind w:left="432"/>
              <w:spacing w:after="0"/>
              <w:rPr>
                <w:sz w:val="20"/>
                <w:szCs w:val="20"/>
                <w:color w:val="auto"/>
              </w:rPr>
            </w:pPr>
            <w:r>
              <w:rPr>
                <w:rFonts w:ascii="Courier New" w:cs="Courier New" w:eastAsia="Courier New" w:hAnsi="Courier New"/>
                <w:sz w:val="18"/>
                <w:szCs w:val="18"/>
                <w:color w:val="auto"/>
                <w:w w:val="97"/>
              </w:rPr>
              <w:t>Stanley L. Wang</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96"/>
        </w:trPr>
        <w:tc>
          <w:tcPr>
            <w:tcW w:w="2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(610) 430-1000</w:t>
            </w:r>
          </w:p>
        </w:tc>
        <w:tc>
          <w:tcPr>
            <w:tcW w:w="210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6"/>
              </w:rPr>
              <w:t>(215) 665-1700</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(303) 267-5500</w:t>
            </w:r>
          </w:p>
        </w:tc>
      </w:tr>
    </w:tbl>
    <w:p>
      <w:pPr>
        <w:spacing w:after="0" w:line="109" w:lineRule="exact"/>
        <w:rPr>
          <w:sz w:val="24"/>
          <w:szCs w:val="24"/>
          <w:color w:val="auto"/>
        </w:rPr>
      </w:pPr>
    </w:p>
    <w:p>
      <w:pPr>
        <w:jc w:val="right"/>
        <w:ind w:left="540" w:right="2519"/>
        <w:spacing w:after="0" w:line="42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320" w:type="dxa"/>
            <w:vAlign w:val="bottom"/>
          </w:tcPr>
          <w:p>
            <w:pPr>
              <w:spacing w:after="0"/>
              <w:rPr>
                <w:sz w:val="24"/>
                <w:szCs w:val="24"/>
                <w:color w:val="auto"/>
              </w:rPr>
            </w:pPr>
          </w:p>
        </w:tc>
        <w:tc>
          <w:tcPr>
            <w:tcW w:w="2540" w:type="dxa"/>
            <w:vAlign w:val="bottom"/>
          </w:tcPr>
          <w:p>
            <w:pPr>
              <w:ind w:left="260"/>
              <w:spacing w:after="0"/>
              <w:rPr>
                <w:sz w:val="20"/>
                <w:szCs w:val="20"/>
                <w:color w:val="auto"/>
              </w:rPr>
            </w:pPr>
            <w:r>
              <w:rPr>
                <w:rFonts w:ascii="Courier New" w:cs="Courier New" w:eastAsia="Courier New" w:hAnsi="Courier New"/>
                <w:sz w:val="18"/>
                <w:szCs w:val="18"/>
                <w:color w:val="auto"/>
              </w:rPr>
              <w:t>Copies to:</w:t>
            </w:r>
          </w:p>
        </w:tc>
        <w:tc>
          <w:tcPr>
            <w:tcW w:w="2360" w:type="dxa"/>
            <w:vAlign w:val="bottom"/>
          </w:tcPr>
          <w:p>
            <w:pPr>
              <w:spacing w:after="0"/>
              <w:rPr>
                <w:sz w:val="24"/>
                <w:szCs w:val="24"/>
                <w:color w:val="auto"/>
              </w:rPr>
            </w:pPr>
          </w:p>
        </w:tc>
      </w:tr>
      <w:tr>
        <w:trPr>
          <w:trHeight w:val="514"/>
        </w:trPr>
        <w:tc>
          <w:tcPr>
            <w:tcW w:w="3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Pamela S. Seymon</w:t>
            </w:r>
          </w:p>
        </w:tc>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Dennis S. Hersch</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3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Wachtell, Lipton, Rosen &amp; Katz</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51 West 52nd Street</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450 Lexington Avenue</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25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96"/>
        </w:trPr>
        <w:tc>
          <w:tcPr>
            <w:tcW w:w="3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(212) 403-1000</w:t>
            </w:r>
          </w:p>
        </w:tc>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(212) 450-4000</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(212) 705-5000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right="1999" w:firstLine="1264"/>
        <w:spacing w:after="0" w:line="298"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6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Information contained in the Schedule 13E-3 as hereby amended and</w:t>
      </w:r>
    </w:p>
    <w:p>
      <w:pPr>
        <w:sectPr>
          <w:pgSz w:w="11900" w:h="16838" w:orient="portrait"/>
          <w:cols w:equalWidth="0" w:num="1">
            <w:col w:w="10219"/>
          </w:cols>
          <w:pgMar w:left="240" w:top="623" w:right="1440" w:bottom="0" w:gutter="0" w:footer="0" w:header="0"/>
        </w:sectPr>
      </w:pPr>
    </w:p>
    <w:bookmarkStart w:id="1" w:name="page2"/>
    <w:bookmarkEnd w:id="1"/>
    <w:p>
      <w:pPr>
        <w:ind w:right="1879"/>
        <w:spacing w:after="0" w:line="319" w:lineRule="auto"/>
        <w:rPr>
          <w:sz w:val="20"/>
          <w:szCs w:val="20"/>
          <w:color w:val="auto"/>
        </w:rPr>
      </w:pPr>
      <w:r>
        <w:rPr>
          <w:rFonts w:ascii="Courier New" w:cs="Courier New" w:eastAsia="Courier New" w:hAnsi="Courier New"/>
          <w:sz w:val="16"/>
          <w:szCs w:val="16"/>
          <w:color w:val="auto"/>
        </w:rPr>
        <w:t>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49" w:lineRule="exact"/>
        <w:rPr>
          <w:sz w:val="20"/>
          <w:szCs w:val="20"/>
          <w:color w:val="auto"/>
        </w:rPr>
      </w:pPr>
    </w:p>
    <w:p>
      <w:pPr>
        <w:ind w:right="2619" w:firstLine="1264"/>
        <w:spacing w:after="0" w:line="347"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1" w:lineRule="exact"/>
        <w:rPr>
          <w:sz w:val="20"/>
          <w:szCs w:val="20"/>
          <w:color w:val="auto"/>
        </w:rPr>
      </w:pPr>
    </w:p>
    <w:p>
      <w:pPr>
        <w:ind w:right="2419" w:firstLine="1264"/>
        <w:spacing w:after="0" w:line="347" w:lineRule="auto"/>
        <w:rPr>
          <w:sz w:val="20"/>
          <w:szCs w:val="20"/>
          <w:color w:val="auto"/>
        </w:rPr>
      </w:pPr>
      <w:r>
        <w:rPr>
          <w:rFonts w:ascii="Courier New" w:cs="Courier New" w:eastAsia="Courier New" w:hAnsi="Courier New"/>
          <w:sz w:val="18"/>
          <w:szCs w:val="18"/>
          <w:color w:val="auto"/>
        </w:rPr>
        <w:t>The answer to Items 10(c) and 10(f) of Amendment No. 11 to the Schedule 14D-1 is incorporated herein by reference.</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right="1999" w:firstLine="1272"/>
        <w:spacing w:after="0" w:line="347" w:lineRule="auto"/>
        <w:tabs>
          <w:tab w:leader="none" w:pos="168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The answer to Items 4(a) and 4(b) of Amendment No. 11 to the Schedule 14D-1 is incorporated herein by reference.</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ind w:right="2419" w:firstLine="1264"/>
        <w:spacing w:after="0" w:line="347" w:lineRule="auto"/>
        <w:rPr>
          <w:sz w:val="20"/>
          <w:szCs w:val="20"/>
          <w:color w:val="auto"/>
        </w:rPr>
      </w:pPr>
      <w:r>
        <w:rPr>
          <w:rFonts w:ascii="Courier New" w:cs="Courier New" w:eastAsia="Courier New" w:hAnsi="Courier New"/>
          <w:sz w:val="18"/>
          <w:szCs w:val="18"/>
          <w:color w:val="auto"/>
        </w:rPr>
        <w:t>The answer to Items 10(c) and 10(f) of Amendment No. 11 to the Schedule 14D-1 is incorporated herein by reference.</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right="2519" w:firstLine="1264"/>
        <w:spacing w:after="0" w:line="347" w:lineRule="auto"/>
        <w:rPr>
          <w:sz w:val="20"/>
          <w:szCs w:val="20"/>
          <w:color w:val="auto"/>
        </w:rPr>
      </w:pPr>
      <w:r>
        <w:rPr>
          <w:rFonts w:ascii="Courier New" w:cs="Courier New" w:eastAsia="Courier New" w:hAnsi="Courier New"/>
          <w:sz w:val="18"/>
          <w:szCs w:val="18"/>
          <w:color w:val="auto"/>
        </w:rPr>
        <w:t>(d)(16) -- Text of Press Release issued by Comcast and TCI on November 21, 1994.(*)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99" w:firstLine="1264"/>
        <w:spacing w:after="0" w:line="292"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21, 1994</w:t>
      </w:r>
    </w:p>
    <w:p>
      <w:pPr>
        <w:sectPr>
          <w:pgSz w:w="11900" w:h="16838" w:orient="portrait"/>
          <w:cols w:equalWidth="0" w:num="1">
            <w:col w:w="10219"/>
          </w:cols>
          <w:pgMar w:left="240" w:top="110" w:right="1440" w:bottom="1440" w:gutter="0" w:footer="0" w:header="0"/>
        </w:sectPr>
      </w:pPr>
    </w:p>
    <w:bookmarkStart w:id="2" w:name="page3"/>
    <w:bookmarkEnd w:id="2"/>
    <w:tbl>
      <w:tblPr>
        <w:tblLayout w:type="fixed"/>
        <w:tblInd w:w="320" w:type="dxa"/>
        <w:tblCellMar>
          <w:top w:w="0" w:type="dxa"/>
          <w:left w:w="0" w:type="dxa"/>
          <w:bottom w:w="0" w:type="dxa"/>
          <w:right w:w="0" w:type="dxa"/>
        </w:tblCellMar>
      </w:tblPr>
      <w:tr>
        <w:trPr>
          <w:trHeight w:val="296"/>
        </w:trPr>
        <w:tc>
          <w:tcPr>
            <w:tcW w:w="1320" w:type="dxa"/>
            <w:vAlign w:val="bottom"/>
          </w:tcPr>
          <w:p>
            <w:pPr>
              <w:spacing w:after="0"/>
              <w:rPr>
                <w:sz w:val="24"/>
                <w:szCs w:val="24"/>
                <w:color w:val="auto"/>
              </w:rPr>
            </w:pPr>
          </w:p>
        </w:tc>
        <w:tc>
          <w:tcPr>
            <w:tcW w:w="3220" w:type="dxa"/>
            <w:vAlign w:val="bottom"/>
            <w:gridSpan w:val="2"/>
          </w:tcPr>
          <w:p>
            <w:pPr>
              <w:ind w:left="2160"/>
              <w:spacing w:after="0"/>
              <w:rPr>
                <w:sz w:val="20"/>
                <w:szCs w:val="20"/>
                <w:color w:val="auto"/>
              </w:rPr>
            </w:pPr>
            <w:r>
              <w:rPr>
                <w:rFonts w:ascii="Courier New" w:cs="Courier New" w:eastAsia="Courier New" w:hAnsi="Courier New"/>
                <w:sz w:val="18"/>
                <w:szCs w:val="18"/>
                <w:color w:val="auto"/>
              </w:rPr>
              <w:t>QVC, INC.</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4"/>
                <w:szCs w:val="24"/>
                <w:color w:val="auto"/>
              </w:rPr>
            </w:pPr>
          </w:p>
        </w:tc>
        <w:tc>
          <w:tcPr>
            <w:tcW w:w="258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NEAL S. GRABELL</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Name: Neal S. Grabell</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Title: Senior Vice President,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General Counsel and</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ind w:left="840"/>
              <w:spacing w:after="0"/>
              <w:rPr>
                <w:sz w:val="20"/>
                <w:szCs w:val="20"/>
                <w:color w:val="auto"/>
              </w:rPr>
            </w:pPr>
            <w:r>
              <w:rPr>
                <w:rFonts w:ascii="Courier New" w:cs="Courier New" w:eastAsia="Courier New" w:hAnsi="Courier New"/>
                <w:sz w:val="18"/>
                <w:szCs w:val="18"/>
                <w:color w:val="auto"/>
              </w:rPr>
              <w:t>Corporate Secretary</w:t>
            </w:r>
          </w:p>
        </w:tc>
        <w:tc>
          <w:tcPr>
            <w:tcW w:w="0" w:type="dxa"/>
            <w:vAlign w:val="bottom"/>
          </w:tcPr>
          <w:p>
            <w:pPr>
              <w:spacing w:after="0"/>
              <w:rPr>
                <w:sz w:val="1"/>
                <w:szCs w:val="1"/>
                <w:color w:val="auto"/>
              </w:rPr>
            </w:pPr>
          </w:p>
        </w:tc>
      </w:tr>
      <w:tr>
        <w:trPr>
          <w:trHeight w:val="608"/>
        </w:trPr>
        <w:tc>
          <w:tcPr>
            <w:tcW w:w="1320" w:type="dxa"/>
            <w:vAlign w:val="bottom"/>
          </w:tcPr>
          <w:p>
            <w:pPr>
              <w:spacing w:after="0"/>
              <w:rPr>
                <w:sz w:val="24"/>
                <w:szCs w:val="24"/>
                <w:color w:val="auto"/>
              </w:rPr>
            </w:pPr>
          </w:p>
        </w:tc>
        <w:tc>
          <w:tcPr>
            <w:tcW w:w="6380" w:type="dxa"/>
            <w:vAlign w:val="bottom"/>
            <w:gridSpan w:val="3"/>
          </w:tcPr>
          <w:p>
            <w:pPr>
              <w:ind w:left="2160"/>
              <w:spacing w:after="0"/>
              <w:rPr>
                <w:sz w:val="20"/>
                <w:szCs w:val="20"/>
                <w:color w:val="auto"/>
              </w:rPr>
            </w:pPr>
            <w:r>
              <w:rPr>
                <w:rFonts w:ascii="Courier New" w:cs="Courier New" w:eastAsia="Courier New" w:hAnsi="Courier New"/>
                <w:sz w:val="18"/>
                <w:szCs w:val="18"/>
                <w:color w:val="auto"/>
              </w:rPr>
              <w:t>QVC PROGRAMMING HOLDINGS, INC.</w:t>
            </w: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4"/>
                <w:szCs w:val="24"/>
                <w:color w:val="auto"/>
              </w:rPr>
            </w:pPr>
          </w:p>
        </w:tc>
        <w:tc>
          <w:tcPr>
            <w:tcW w:w="258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JULIAN A. BRODSKY</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Name: Julian A. Brodsky</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Title: Vice Chairman</w:t>
            </w:r>
          </w:p>
        </w:tc>
        <w:tc>
          <w:tcPr>
            <w:tcW w:w="0" w:type="dxa"/>
            <w:vAlign w:val="bottom"/>
          </w:tcPr>
          <w:p>
            <w:pPr>
              <w:spacing w:after="0"/>
              <w:rPr>
                <w:sz w:val="1"/>
                <w:szCs w:val="1"/>
                <w:color w:val="auto"/>
              </w:rPr>
            </w:pPr>
          </w:p>
        </w:tc>
      </w:tr>
      <w:tr>
        <w:trPr>
          <w:trHeight w:val="810"/>
        </w:trPr>
        <w:tc>
          <w:tcPr>
            <w:tcW w:w="1320" w:type="dxa"/>
            <w:vAlign w:val="bottom"/>
          </w:tcPr>
          <w:p>
            <w:pPr>
              <w:spacing w:after="0"/>
              <w:rPr>
                <w:sz w:val="24"/>
                <w:szCs w:val="24"/>
                <w:color w:val="auto"/>
              </w:rPr>
            </w:pPr>
          </w:p>
        </w:tc>
        <w:tc>
          <w:tcPr>
            <w:tcW w:w="6380" w:type="dxa"/>
            <w:vAlign w:val="bottom"/>
            <w:gridSpan w:val="3"/>
          </w:tcPr>
          <w:p>
            <w:pPr>
              <w:ind w:left="2160"/>
              <w:spacing w:after="0"/>
              <w:rPr>
                <w:sz w:val="20"/>
                <w:szCs w:val="20"/>
                <w:color w:val="auto"/>
              </w:rPr>
            </w:pPr>
            <w:r>
              <w:rPr>
                <w:rFonts w:ascii="Courier New" w:cs="Courier New" w:eastAsia="Courier New" w:hAnsi="Courier New"/>
                <w:sz w:val="18"/>
                <w:szCs w:val="18"/>
                <w:color w:val="auto"/>
              </w:rPr>
              <w:t>COMCAST CORPORATION</w:t>
            </w: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4"/>
                <w:szCs w:val="24"/>
                <w:color w:val="auto"/>
              </w:rPr>
            </w:pPr>
          </w:p>
        </w:tc>
        <w:tc>
          <w:tcPr>
            <w:tcW w:w="258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JULIAN A. BRODSKY</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Name: Julian A. Brodsky</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Title: Vice Chairman</w:t>
            </w:r>
          </w:p>
        </w:tc>
        <w:tc>
          <w:tcPr>
            <w:tcW w:w="0" w:type="dxa"/>
            <w:vAlign w:val="bottom"/>
          </w:tcPr>
          <w:p>
            <w:pPr>
              <w:spacing w:after="0"/>
              <w:rPr>
                <w:sz w:val="1"/>
                <w:szCs w:val="1"/>
                <w:color w:val="auto"/>
              </w:rPr>
            </w:pPr>
          </w:p>
        </w:tc>
      </w:tr>
      <w:tr>
        <w:trPr>
          <w:trHeight w:val="608"/>
        </w:trPr>
        <w:tc>
          <w:tcPr>
            <w:tcW w:w="1320" w:type="dxa"/>
            <w:vAlign w:val="bottom"/>
          </w:tcPr>
          <w:p>
            <w:pPr>
              <w:spacing w:after="0"/>
              <w:rPr>
                <w:sz w:val="24"/>
                <w:szCs w:val="24"/>
                <w:color w:val="auto"/>
              </w:rPr>
            </w:pPr>
          </w:p>
        </w:tc>
        <w:tc>
          <w:tcPr>
            <w:tcW w:w="6380" w:type="dxa"/>
            <w:vAlign w:val="bottom"/>
            <w:gridSpan w:val="3"/>
          </w:tcPr>
          <w:p>
            <w:pPr>
              <w:ind w:left="2160"/>
              <w:spacing w:after="0"/>
              <w:rPr>
                <w:sz w:val="20"/>
                <w:szCs w:val="20"/>
                <w:color w:val="auto"/>
              </w:rPr>
            </w:pPr>
            <w:r>
              <w:rPr>
                <w:rFonts w:ascii="Courier New" w:cs="Courier New" w:eastAsia="Courier New" w:hAnsi="Courier New"/>
                <w:sz w:val="18"/>
                <w:szCs w:val="18"/>
                <w:color w:val="auto"/>
              </w:rPr>
              <w:t>TELE-COMMUNICATIONS, INC.</w:t>
            </w: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4"/>
                <w:szCs w:val="24"/>
                <w:color w:val="auto"/>
              </w:rPr>
            </w:pPr>
          </w:p>
        </w:tc>
        <w:tc>
          <w:tcPr>
            <w:tcW w:w="2580" w:type="dxa"/>
            <w:vAlign w:val="bottom"/>
          </w:tcPr>
          <w:p>
            <w:pPr>
              <w:ind w:left="2160"/>
              <w:spacing w:after="0"/>
              <w:rPr>
                <w:sz w:val="20"/>
                <w:szCs w:val="20"/>
                <w:color w:val="auto"/>
              </w:rPr>
            </w:pPr>
            <w:r>
              <w:rPr>
                <w:rFonts w:ascii="Courier New" w:cs="Courier New" w:eastAsia="Courier New" w:hAnsi="Courier New"/>
                <w:sz w:val="18"/>
                <w:szCs w:val="18"/>
                <w:color w:val="auto"/>
              </w:rPr>
              <w:t>By:</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STEPHEN M. BRETT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Name: Stephen M. Brett</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Title: Executive Vice</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ind w:left="840"/>
              <w:spacing w:after="0"/>
              <w:rPr>
                <w:sz w:val="20"/>
                <w:szCs w:val="20"/>
                <w:color w:val="auto"/>
              </w:rPr>
            </w:pPr>
            <w:r>
              <w:rPr>
                <w:rFonts w:ascii="Courier New" w:cs="Courier New" w:eastAsia="Courier New" w:hAnsi="Courier New"/>
                <w:sz w:val="18"/>
                <w:szCs w:val="18"/>
                <w:color w:val="auto"/>
              </w:rPr>
              <w:t>President</w:t>
            </w:r>
          </w:p>
        </w:tc>
        <w:tc>
          <w:tcPr>
            <w:tcW w:w="0" w:type="dxa"/>
            <w:vAlign w:val="bottom"/>
          </w:tcPr>
          <w:p>
            <w:pPr>
              <w:spacing w:after="0"/>
              <w:rPr>
                <w:sz w:val="1"/>
                <w:szCs w:val="1"/>
                <w:color w:val="auto"/>
              </w:rPr>
            </w:pPr>
          </w:p>
        </w:tc>
      </w:tr>
      <w:tr>
        <w:trPr>
          <w:trHeight w:val="608"/>
        </w:trPr>
        <w:tc>
          <w:tcPr>
            <w:tcW w:w="1320" w:type="dxa"/>
            <w:vAlign w:val="bottom"/>
          </w:tcPr>
          <w:p>
            <w:pPr>
              <w:spacing w:after="0"/>
              <w:rPr>
                <w:sz w:val="24"/>
                <w:szCs w:val="24"/>
                <w:color w:val="auto"/>
              </w:rPr>
            </w:pPr>
          </w:p>
        </w:tc>
        <w:tc>
          <w:tcPr>
            <w:tcW w:w="3220" w:type="dxa"/>
            <w:vAlign w:val="bottom"/>
            <w:gridSpan w:val="2"/>
          </w:tcPr>
          <w:p>
            <w:pPr>
              <w:ind w:left="1840"/>
              <w:spacing w:after="0"/>
              <w:rPr>
                <w:sz w:val="20"/>
                <w:szCs w:val="20"/>
                <w:color w:val="auto"/>
              </w:rPr>
            </w:pPr>
            <w:r>
              <w:rPr>
                <w:rFonts w:ascii="Courier New" w:cs="Courier New" w:eastAsia="Courier New" w:hAnsi="Courier New"/>
                <w:sz w:val="18"/>
                <w:szCs w:val="18"/>
                <w:color w:val="auto"/>
                <w:w w:val="96"/>
              </w:rPr>
              <w:t>EXHIBIT INDEX</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580" w:type="dxa"/>
            <w:vAlign w:val="bottom"/>
            <w:vMerge w:val="restart"/>
          </w:tcPr>
          <w:p>
            <w:pPr>
              <w:ind w:left="1220"/>
              <w:spacing w:after="0"/>
              <w:rPr>
                <w:sz w:val="20"/>
                <w:szCs w:val="20"/>
                <w:color w:val="auto"/>
              </w:rPr>
            </w:pPr>
            <w:r>
              <w:rPr>
                <w:rFonts w:ascii="Courier New" w:cs="Courier New" w:eastAsia="Courier New" w:hAnsi="Courier New"/>
                <w:sz w:val="18"/>
                <w:szCs w:val="18"/>
                <w:color w:val="auto"/>
              </w:rPr>
              <w:t>Description</w:t>
            </w:r>
          </w:p>
        </w:tc>
        <w:tc>
          <w:tcPr>
            <w:tcW w:w="640" w:type="dxa"/>
            <w:vAlign w:val="bottom"/>
          </w:tcPr>
          <w:p>
            <w:pPr>
              <w:spacing w:after="0"/>
              <w:rPr>
                <w:sz w:val="24"/>
                <w:szCs w:val="24"/>
                <w:color w:val="auto"/>
              </w:rPr>
            </w:pPr>
          </w:p>
        </w:tc>
        <w:tc>
          <w:tcPr>
            <w:tcW w:w="3160" w:type="dxa"/>
            <w:vAlign w:val="bottom"/>
          </w:tcPr>
          <w:p>
            <w:pPr>
              <w:ind w:left="1780"/>
              <w:spacing w:after="0"/>
              <w:rPr>
                <w:sz w:val="20"/>
                <w:szCs w:val="20"/>
                <w:color w:val="auto"/>
              </w:rPr>
            </w:pPr>
            <w:r>
              <w:rPr>
                <w:rFonts w:ascii="Courier New" w:cs="Courier New" w:eastAsia="Courier New" w:hAnsi="Courier New"/>
                <w:sz w:val="18"/>
                <w:szCs w:val="18"/>
                <w:color w:val="auto"/>
              </w:rPr>
              <w:t>Sequentially</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5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160" w:type="dxa"/>
            <w:vAlign w:val="bottom"/>
          </w:tcPr>
          <w:p>
            <w:pPr>
              <w:ind w:left="1780"/>
              <w:spacing w:after="0"/>
              <w:rPr>
                <w:sz w:val="20"/>
                <w:szCs w:val="20"/>
                <w:color w:val="auto"/>
              </w:rPr>
            </w:pPr>
            <w:r>
              <w:rPr>
                <w:rFonts w:ascii="Courier New" w:cs="Courier New" w:eastAsia="Courier New" w:hAnsi="Courier New"/>
                <w:sz w:val="18"/>
                <w:szCs w:val="18"/>
                <w:color w:val="auto"/>
                <w:w w:val="96"/>
              </w:rPr>
              <w:t>Numbered Page</w:t>
            </w:r>
          </w:p>
        </w:tc>
        <w:tc>
          <w:tcPr>
            <w:tcW w:w="0" w:type="dxa"/>
            <w:vAlign w:val="bottom"/>
          </w:tcPr>
          <w:p>
            <w:pPr>
              <w:spacing w:after="0"/>
              <w:rPr>
                <w:sz w:val="1"/>
                <w:szCs w:val="1"/>
                <w:color w:val="auto"/>
              </w:rPr>
            </w:pPr>
          </w:p>
        </w:tc>
      </w:tr>
      <w:tr>
        <w:trPr>
          <w:trHeight w:val="311"/>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(d)(16)</w:t>
            </w:r>
          </w:p>
        </w:tc>
        <w:tc>
          <w:tcPr>
            <w:tcW w:w="63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Text of Press Release issued by Comcast and TCI on</w:t>
            </w:r>
          </w:p>
        </w:tc>
        <w:tc>
          <w:tcPr>
            <w:tcW w:w="0" w:type="dxa"/>
            <w:vAlign w:val="bottom"/>
          </w:tcPr>
          <w:p>
            <w:pPr>
              <w:spacing w:after="0"/>
              <w:rPr>
                <w:sz w:val="1"/>
                <w:szCs w:val="1"/>
                <w:color w:val="auto"/>
              </w:rPr>
            </w:pPr>
          </w:p>
        </w:tc>
      </w:tr>
      <w:tr>
        <w:trPr>
          <w:trHeight w:val="296"/>
        </w:trPr>
        <w:tc>
          <w:tcPr>
            <w:tcW w:w="1320" w:type="dxa"/>
            <w:vAlign w:val="bottom"/>
          </w:tcPr>
          <w:p>
            <w:pPr>
              <w:spacing w:after="0"/>
              <w:rPr>
                <w:sz w:val="24"/>
                <w:szCs w:val="24"/>
                <w:color w:val="auto"/>
              </w:rPr>
            </w:pPr>
          </w:p>
        </w:tc>
        <w:tc>
          <w:tcPr>
            <w:tcW w:w="32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November 21, 1994.(*)</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*Incorporated by reference to Amendment No. 11 to the Schedule 14D-1.</w:t>
      </w:r>
    </w:p>
    <w:sectPr>
      <w:pgSz w:w="11900" w:h="16838" w:orient="portrait"/>
      <w:cols w:equalWidth="0" w:num="1">
        <w:col w:w="10219"/>
      </w:cols>
      <w:pgMar w:left="240" w:top="10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2019-12-16T13:01:17Z</dcterms:created>
  <dcterms:modified xsi:type="dcterms:W3CDTF">2019-12-16T13:01:17Z</dcterms:modified>
</cp:coreProperties>
</file>