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43"/>
          <w:szCs w:val="43"/>
          <w:b w:val="1"/>
          <w:bCs w:val="1"/>
          <w:color w:val="auto"/>
        </w:rPr>
        <w:t>Comcast Corporation</w:t>
      </w:r>
    </w:p>
    <w:p>
      <w:pPr>
        <w:spacing w:after="0" w:line="58"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640" w:type="dxa"/>
        <w:tblCellMar>
          <w:top w:w="0" w:type="dxa"/>
          <w:left w:w="0" w:type="dxa"/>
          <w:bottom w:w="0" w:type="dxa"/>
          <w:right w:w="0" w:type="dxa"/>
        </w:tblCellMar>
      </w:tblPr>
      <w:tr>
        <w:trPr>
          <w:trHeight w:val="214"/>
        </w:trPr>
        <w:tc>
          <w:tcPr>
            <w:tcW w:w="2580" w:type="dxa"/>
            <w:vAlign w:val="bottom"/>
          </w:tcPr>
          <w:p>
            <w:pPr>
              <w:spacing w:after="0"/>
              <w:rPr>
                <w:sz w:val="18"/>
                <w:szCs w:val="18"/>
                <w:color w:val="auto"/>
              </w:rPr>
            </w:pPr>
          </w:p>
        </w:tc>
        <w:tc>
          <w:tcPr>
            <w:tcW w:w="5460" w:type="dxa"/>
            <w:vAlign w:val="bottom"/>
          </w:tcPr>
          <w:p>
            <w:pPr>
              <w:jc w:val="center"/>
              <w:ind w:right="2399"/>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190"/>
        </w:trPr>
        <w:tc>
          <w:tcPr>
            <w:tcW w:w="2580" w:type="dxa"/>
            <w:vAlign w:val="bottom"/>
          </w:tcPr>
          <w:p>
            <w:pPr>
              <w:spacing w:after="0"/>
              <w:rPr>
                <w:sz w:val="16"/>
                <w:szCs w:val="16"/>
                <w:color w:val="auto"/>
              </w:rPr>
            </w:pPr>
          </w:p>
        </w:tc>
        <w:tc>
          <w:tcPr>
            <w:tcW w:w="5460" w:type="dxa"/>
            <w:vAlign w:val="bottom"/>
          </w:tcPr>
          <w:p>
            <w:pPr>
              <w:jc w:val="center"/>
              <w:ind w:right="239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r>
      <w:tr>
        <w:trPr>
          <w:trHeight w:val="417"/>
        </w:trPr>
        <w:tc>
          <w:tcPr>
            <w:tcW w:w="258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5460" w:type="dxa"/>
            <w:vAlign w:val="bottom"/>
          </w:tcPr>
          <w:p>
            <w:pPr>
              <w:jc w:val="center"/>
              <w:ind w:left="3259"/>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90"/>
        </w:trPr>
        <w:tc>
          <w:tcPr>
            <w:tcW w:w="25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5460" w:type="dxa"/>
            <w:vAlign w:val="bottom"/>
          </w:tcPr>
          <w:p>
            <w:pPr>
              <w:jc w:val="center"/>
              <w:ind w:left="327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20"/>
        </w:trPr>
        <w:tc>
          <w:tcPr>
            <w:tcW w:w="2580" w:type="dxa"/>
            <w:vAlign w:val="bottom"/>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5460" w:type="dxa"/>
            <w:vAlign w:val="bottom"/>
          </w:tcPr>
          <w:p>
            <w:pPr>
              <w:spacing w:after="0"/>
              <w:rPr>
                <w:sz w:val="24"/>
                <w:szCs w:val="24"/>
                <w:color w:val="auto"/>
              </w:rPr>
            </w:pPr>
          </w:p>
        </w:tc>
      </w:tr>
      <w:tr>
        <w:trPr>
          <w:trHeight w:val="227"/>
        </w:trPr>
        <w:tc>
          <w:tcPr>
            <w:tcW w:w="2580" w:type="dxa"/>
            <w:vAlign w:val="bottom"/>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w w:val="98"/>
              </w:rPr>
              <w:t>Philadelphia, PA</w:t>
            </w:r>
          </w:p>
        </w:tc>
        <w:tc>
          <w:tcPr>
            <w:tcW w:w="5460" w:type="dxa"/>
            <w:vAlign w:val="bottom"/>
          </w:tcPr>
          <w:p>
            <w:pPr>
              <w:jc w:val="center"/>
              <w:ind w:left="3259"/>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90"/>
        </w:trPr>
        <w:tc>
          <w:tcPr>
            <w:tcW w:w="25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460" w:type="dxa"/>
            <w:vAlign w:val="bottom"/>
          </w:tcPr>
          <w:p>
            <w:pPr>
              <w:jc w:val="center"/>
              <w:ind w:left="327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(215) 286-1700</w:t>
      </w:r>
    </w:p>
    <w:p>
      <w:pPr>
        <w:spacing w:after="0" w:line="200" w:lineRule="exact"/>
        <w:rPr>
          <w:sz w:val="24"/>
          <w:szCs w:val="24"/>
          <w:color w:val="auto"/>
        </w:rPr>
      </w:pPr>
    </w:p>
    <w:p>
      <w:pPr>
        <w:spacing w:after="0" w:line="26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230505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14a-12(b)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2" w:right="639" w:bottom="1440" w:gutter="0" w:footer="0" w:header="0"/>
        </w:sectPr>
      </w:pPr>
    </w:p>
    <w:bookmarkStart w:id="1" w:name="page2"/>
    <w:bookmarkEnd w:id="1"/>
    <w:p>
      <w:pPr>
        <w:ind w:left="2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March 30, 2016 Comcast Corporation (“Comcast”) consummated the issuance and sale of $350,000,000 aggregate principal amount of its 2.75% Notes Due 2023 and $700,000,000 aggregate principal amount of its 3.15% Notes Due 2026 (collectively, the “Notes”), pursuant to an underwriting agreement dated March 22, 2016 among Comcast, the Guarantors (defined below) and Merrill Lynch, Pierce, Fenner &amp; Smith Incorporated, RBC Capital Markets, LLC and Wells Fargo Securities, LLC, as representatives of the several underwriters named therein. The Notes were issued pursuant to an Indenture dated as of September 18, 2013 (the “Base Indenture”) among Comcast, the guarantors named therein and The Bank of New York Mellon, as trustee (the “Trustee”), as supplemented by the First Supplemental Indenture dated as of November 17, 2015 (the “First Supplemental Indenture”) among Comcast, the guarantors named therein and the Trustee, and an officers’ certificate issued pursuant thereto. The Notes are guaranteed on an unsecured and unsubordinated basis by Comcast Cable Communications, LLC and NBCUniversal Media, LLC (the “Guarantors”). The 2023 Notes are a further issuance of and form a single series with the existing 2.75% Notes Due 2023 issued by the Company on February 23, 2016. The 2026 Notes are a further issuance of and form a single series with the existing 3.15% Notes Due 2026 issued by the Company on February 23, 2016.</w:t>
      </w:r>
    </w:p>
    <w:p>
      <w:pPr>
        <w:spacing w:after="0" w:line="186"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The Notes were offered pursuant to Comcast’s Registration Statement on Form S-3 filed on September 18, 2013, as amended at the date of the underwriting agreement (Reg. No. 333-191239), including the prospectus contained therein, and a related prospectus supplement dated March 22, 2016.</w:t>
      </w:r>
    </w:p>
    <w:p>
      <w:pPr>
        <w:spacing w:after="0" w:line="162"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material terms and conditions of the Notes are set forth in the Form of Officers’ Certificate filed herewith as Exhibit 4.1 and incorporated by reference herein and in the Base Indenture and First Supplemental Indenture, which are filed as Exhibit 4.3 to Comcast’s Registration Statement on Form S-3 filed on September 18, 2013 and Exhibit 4.4 to Post-Effective Amendment No. 2 to Comcast’s Registration Statement on Form S-3 filed on November 23, 2015, respectively, and incorporated by reference herein.</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Item 9.01(d)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5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4.1</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Officers’ Certificate setting forth the terms of the Notes</w:t>
            </w:r>
          </w:p>
        </w:tc>
        <w:tc>
          <w:tcPr>
            <w:tcW w:w="0" w:type="dxa"/>
            <w:vAlign w:val="bottom"/>
          </w:tcPr>
          <w:p>
            <w:pPr>
              <w:spacing w:after="0"/>
              <w:rPr>
                <w:sz w:val="1"/>
                <w:szCs w:val="1"/>
                <w:color w:val="auto"/>
              </w:rPr>
            </w:pPr>
          </w:p>
        </w:tc>
      </w:tr>
      <w:tr>
        <w:trPr>
          <w:trHeight w:val="324"/>
        </w:trPr>
        <w:tc>
          <w:tcPr>
            <w:tcW w:w="5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5.1</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Opinion of Arthur R. Block, Esq.</w:t>
            </w:r>
          </w:p>
        </w:tc>
        <w:tc>
          <w:tcPr>
            <w:tcW w:w="0" w:type="dxa"/>
            <w:vAlign w:val="bottom"/>
          </w:tcPr>
          <w:p>
            <w:pPr>
              <w:spacing w:after="0"/>
              <w:rPr>
                <w:sz w:val="1"/>
                <w:szCs w:val="1"/>
                <w:color w:val="auto"/>
              </w:rPr>
            </w:pPr>
          </w:p>
        </w:tc>
      </w:tr>
      <w:tr>
        <w:trPr>
          <w:trHeight w:val="324"/>
        </w:trPr>
        <w:tc>
          <w:tcPr>
            <w:tcW w:w="5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5.2</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Opinion of Davis Polk &amp; Wardwell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w w:val="95"/>
              </w:rPr>
              <w:t>23.1</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Arthur R. Block, Esq. (contained in Exhibit 5.1)</w:t>
            </w:r>
          </w:p>
        </w:tc>
        <w:tc>
          <w:tcPr>
            <w:tcW w:w="0" w:type="dxa"/>
            <w:vAlign w:val="bottom"/>
          </w:tcPr>
          <w:p>
            <w:pPr>
              <w:spacing w:after="0"/>
              <w:rPr>
                <w:sz w:val="1"/>
                <w:szCs w:val="1"/>
                <w:color w:val="auto"/>
              </w:rPr>
            </w:pPr>
          </w:p>
        </w:tc>
      </w:tr>
      <w:tr>
        <w:trPr>
          <w:trHeight w:val="324"/>
        </w:trPr>
        <w:tc>
          <w:tcPr>
            <w:tcW w:w="5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w w:val="95"/>
              </w:rPr>
              <w:t>23.2</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Consent of Davis Polk &amp; Wardwell LLP (contained in Exhibit 5.2)</w:t>
            </w:r>
          </w:p>
        </w:tc>
        <w:tc>
          <w:tcPr>
            <w:tcW w:w="0" w:type="dxa"/>
            <w:vAlign w:val="bottom"/>
          </w:tcPr>
          <w:p>
            <w:pPr>
              <w:spacing w:after="0"/>
              <w:rPr>
                <w:sz w:val="1"/>
                <w:szCs w:val="1"/>
                <w:color w:val="auto"/>
              </w:rPr>
            </w:pPr>
          </w:p>
        </w:tc>
      </w:tr>
    </w:tbl>
    <w:p>
      <w:pPr>
        <w:sectPr>
          <w:pgSz w:w="11900" w:h="16838" w:orient="portrait"/>
          <w:cols w:equalWidth="0" w:num="1">
            <w:col w:w="11360"/>
          </w:cols>
          <w:pgMar w:left="240" w:top="266" w:right="299" w:bottom="1440" w:gutter="0" w:footer="0" w:header="0"/>
        </w:sectPr>
      </w:pPr>
    </w:p>
    <w:bookmarkStart w:id="2" w:name="page3"/>
    <w:bookmarkEnd w:id="2"/>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9" w:lineRule="exact"/>
        <w:rPr>
          <w:sz w:val="20"/>
          <w:szCs w:val="20"/>
          <w:color w:val="auto"/>
        </w:rPr>
      </w:pPr>
    </w:p>
    <w:p>
      <w:pPr>
        <w:spacing w:after="0"/>
        <w:tabs>
          <w:tab w:leader="none" w:pos="5520" w:val="left"/>
        </w:tabs>
        <w:rPr>
          <w:sz w:val="20"/>
          <w:szCs w:val="20"/>
          <w:color w:val="auto"/>
        </w:rPr>
      </w:pPr>
      <w:r>
        <w:rPr>
          <w:rFonts w:ascii="Times New Roman" w:cs="Times New Roman" w:eastAsia="Times New Roman" w:hAnsi="Times New Roman"/>
          <w:sz w:val="18"/>
          <w:szCs w:val="18"/>
          <w:color w:val="auto"/>
        </w:rPr>
        <w:t>Date: March 30, 2016</w:t>
      </w:r>
      <w:r>
        <w:rPr>
          <w:sz w:val="20"/>
          <w:szCs w:val="20"/>
          <w:color w:val="auto"/>
        </w:rPr>
        <w:tab/>
      </w:r>
      <w:r>
        <w:rPr>
          <w:rFonts w:ascii="Times New Roman" w:cs="Times New Roman" w:eastAsia="Times New Roman" w:hAnsi="Times New Roman"/>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17145</wp:posOffset>
            </wp:positionV>
            <wp:extent cx="34905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Arthur R. Block</w:t>
      </w:r>
    </w:p>
    <w:p>
      <w:pPr>
        <w:spacing w:after="0" w:line="27" w:lineRule="exact"/>
        <w:rPr>
          <w:sz w:val="20"/>
          <w:szCs w:val="20"/>
          <w:color w:val="auto"/>
        </w:rPr>
      </w:pPr>
    </w:p>
    <w:p>
      <w:pPr>
        <w:ind w:left="592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Executive Vice President, General Counsel and Secretary</w:t>
      </w:r>
    </w:p>
    <w:p>
      <w:pPr>
        <w:sectPr>
          <w:pgSz w:w="11900" w:h="16838" w:orient="portrait"/>
          <w:cols w:equalWidth="0" w:num="1">
            <w:col w:w="10740"/>
          </w:cols>
          <w:pgMar w:left="240" w:top="266" w:right="9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OFFICERS’ CERTIFICATE]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30, 2016</w:t>
      </w:r>
    </w:p>
    <w:p>
      <w:pPr>
        <w:spacing w:after="0" w:line="2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Pursuant to Section 2.03 of the Indenture dated as of September 18, 2013, by and among Comcast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guarantors named therein and The Bank of New York Mellon,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supplemented by the First Supplemental Indenture dated as of November 17, 2015 (as amended,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among the Company, the guarantors named therein and the Trustee, and guaranteed on an unsecured and unsubordinated basis by Comcast Cable Communications, LLC and NBCUniversal Media, LLC, the undersigned officers of the Company do hereby certify, in connection with the issuance of the Company’s $350,000,000 aggregate principal amount of 2.75% Notes Due 2023 (the “</w:t>
      </w:r>
      <w:r>
        <w:rPr>
          <w:rFonts w:ascii="Times New Roman" w:cs="Times New Roman" w:eastAsia="Times New Roman" w:hAnsi="Times New Roman"/>
          <w:sz w:val="18"/>
          <w:szCs w:val="18"/>
          <w:b w:val="1"/>
          <w:bCs w:val="1"/>
          <w:color w:val="auto"/>
        </w:rPr>
        <w:t>2023 Notes</w:t>
      </w:r>
      <w:r>
        <w:rPr>
          <w:rFonts w:ascii="Times New Roman" w:cs="Times New Roman" w:eastAsia="Times New Roman" w:hAnsi="Times New Roman"/>
          <w:sz w:val="18"/>
          <w:szCs w:val="18"/>
          <w:color w:val="auto"/>
        </w:rPr>
        <w:t>”) and $700,000,000 aggregate principal amount of 3.15% Notes Due 2026 (the “</w:t>
      </w:r>
      <w:r>
        <w:rPr>
          <w:rFonts w:ascii="Times New Roman" w:cs="Times New Roman" w:eastAsia="Times New Roman" w:hAnsi="Times New Roman"/>
          <w:sz w:val="18"/>
          <w:szCs w:val="18"/>
          <w:b w:val="1"/>
          <w:bCs w:val="1"/>
          <w:color w:val="auto"/>
        </w:rPr>
        <w:t>2026 Notes</w:t>
      </w:r>
      <w:r>
        <w:rPr>
          <w:rFonts w:ascii="Times New Roman" w:cs="Times New Roman" w:eastAsia="Times New Roman" w:hAnsi="Times New Roman"/>
          <w:sz w:val="18"/>
          <w:szCs w:val="18"/>
          <w:color w:val="auto"/>
        </w:rPr>
        <w:t>” and, together with the 2023 Notes,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that the terms of the Notes are as follows: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2.</w:t>
            </w:r>
            <w:r>
              <w:rPr>
                <w:rFonts w:ascii="Times New Roman" w:cs="Times New Roman" w:eastAsia="Times New Roman" w:hAnsi="Times New Roman"/>
                <w:sz w:val="18"/>
                <w:szCs w:val="18"/>
                <w:b w:val="1"/>
                <w:bCs w:val="1"/>
                <w:u w:val="single" w:color="auto"/>
                <w:color w:val="auto"/>
                <w:w w:val="99"/>
              </w:rPr>
              <w:t>75%</w:t>
            </w:r>
            <w:r>
              <w:rPr>
                <w:rFonts w:ascii="Times New Roman" w:cs="Times New Roman" w:eastAsia="Times New Roman" w:hAnsi="Times New Roman"/>
                <w:sz w:val="18"/>
                <w:szCs w:val="18"/>
                <w:b w:val="1"/>
                <w:bCs w:val="1"/>
                <w:color w:val="auto"/>
                <w:w w:val="99"/>
              </w:rPr>
              <w:t xml:space="preserve"> Notes Due 2023</w:t>
            </w:r>
          </w:p>
        </w:tc>
        <w:tc>
          <w:tcPr>
            <w:tcW w:w="4820" w:type="dxa"/>
            <w:vAlign w:val="bottom"/>
          </w:tcPr>
          <w:p>
            <w:pPr>
              <w:spacing w:after="0"/>
              <w:rPr>
                <w:sz w:val="17"/>
                <w:szCs w:val="17"/>
                <w:color w:val="auto"/>
              </w:rPr>
            </w:pPr>
          </w:p>
        </w:tc>
      </w:tr>
      <w:tr>
        <w:trPr>
          <w:trHeight w:val="480"/>
        </w:trPr>
        <w:tc>
          <w:tcPr>
            <w:tcW w:w="3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Title:</w:t>
            </w:r>
          </w:p>
        </w:tc>
        <w:tc>
          <w:tcPr>
            <w:tcW w:w="8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2.75% Notes Due 2023</w:t>
            </w:r>
          </w:p>
        </w:tc>
      </w:tr>
      <w:tr>
        <w:trPr>
          <w:trHeight w:val="306"/>
        </w:trPr>
        <w:tc>
          <w:tcPr>
            <w:tcW w:w="3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Aggregate Principal Amount at Maturity:</w:t>
            </w:r>
          </w:p>
        </w:tc>
        <w:tc>
          <w:tcPr>
            <w:tcW w:w="8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9"/>
              </w:rPr>
              <w:t>$350,000,000. The 2.75% Notes Due 2023 offered hereby are a further issuance of and form a single series with</w:t>
            </w:r>
          </w:p>
        </w:tc>
      </w:tr>
      <w:tr>
        <w:trPr>
          <w:trHeight w:val="216"/>
        </w:trPr>
        <w:tc>
          <w:tcPr>
            <w:tcW w:w="3160" w:type="dxa"/>
            <w:vAlign w:val="bottom"/>
          </w:tcPr>
          <w:p>
            <w:pPr>
              <w:spacing w:after="0"/>
              <w:rPr>
                <w:sz w:val="18"/>
                <w:szCs w:val="18"/>
                <w:color w:val="auto"/>
              </w:rPr>
            </w:pPr>
          </w:p>
        </w:tc>
        <w:tc>
          <w:tcPr>
            <w:tcW w:w="8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the existing 2.75% Notes Due 2023 issued by the Company on February 23, 2016. Upon issuance of the 2023</w:t>
            </w:r>
          </w:p>
        </w:tc>
      </w:tr>
      <w:tr>
        <w:trPr>
          <w:trHeight w:val="216"/>
        </w:trPr>
        <w:tc>
          <w:tcPr>
            <w:tcW w:w="3160" w:type="dxa"/>
            <w:vAlign w:val="bottom"/>
          </w:tcPr>
          <w:p>
            <w:pPr>
              <w:spacing w:after="0"/>
              <w:rPr>
                <w:sz w:val="18"/>
                <w:szCs w:val="18"/>
                <w:color w:val="auto"/>
              </w:rPr>
            </w:pPr>
          </w:p>
        </w:tc>
        <w:tc>
          <w:tcPr>
            <w:tcW w:w="8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Notes, the Company will have $1,100,000,000 aggregate principal amount outstanding of the 2.75% Notes Due</w:t>
            </w:r>
          </w:p>
        </w:tc>
      </w:tr>
      <w:tr>
        <w:trPr>
          <w:trHeight w:val="234"/>
        </w:trPr>
        <w:tc>
          <w:tcPr>
            <w:tcW w:w="3160" w:type="dxa"/>
            <w:vAlign w:val="bottom"/>
          </w:tcPr>
          <w:p>
            <w:pPr>
              <w:spacing w:after="0"/>
              <w:rPr>
                <w:sz w:val="20"/>
                <w:szCs w:val="20"/>
                <w:color w:val="auto"/>
              </w:rPr>
            </w:pPr>
          </w:p>
        </w:tc>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740" w:type="dxa"/>
            <w:vAlign w:val="bottom"/>
          </w:tcPr>
          <w:p>
            <w:pPr>
              <w:spacing w:after="0"/>
              <w:rPr>
                <w:sz w:val="20"/>
                <w:szCs w:val="20"/>
                <w:color w:val="auto"/>
              </w:rPr>
            </w:pPr>
          </w:p>
        </w:tc>
        <w:tc>
          <w:tcPr>
            <w:tcW w:w="4820" w:type="dxa"/>
            <w:vAlign w:val="bottom"/>
          </w:tcPr>
          <w:p>
            <w:pPr>
              <w:spacing w:after="0"/>
              <w:rPr>
                <w:sz w:val="20"/>
                <w:szCs w:val="20"/>
                <w:color w:val="auto"/>
              </w:rPr>
            </w:pPr>
          </w:p>
        </w:tc>
      </w:tr>
      <w:tr>
        <w:trPr>
          <w:trHeight w:val="324"/>
        </w:trPr>
        <w:tc>
          <w:tcPr>
            <w:tcW w:w="3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Payment Date:</w:t>
            </w:r>
          </w:p>
        </w:tc>
        <w:tc>
          <w:tcPr>
            <w:tcW w:w="8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March 1, 2023</w:t>
            </w:r>
          </w:p>
        </w:tc>
      </w:tr>
      <w:tr>
        <w:trPr>
          <w:trHeight w:val="324"/>
        </w:trPr>
        <w:tc>
          <w:tcPr>
            <w:tcW w:w="3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Interest:</w:t>
            </w:r>
          </w:p>
        </w:tc>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2.75%</w:t>
            </w:r>
          </w:p>
        </w:tc>
        <w:tc>
          <w:tcPr>
            <w:tcW w:w="174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06"/>
        </w:trPr>
        <w:tc>
          <w:tcPr>
            <w:tcW w:w="3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Redemption:</w:t>
            </w:r>
          </w:p>
        </w:tc>
        <w:tc>
          <w:tcPr>
            <w:tcW w:w="8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The Company may at its option redeem the 2023 Notes in whole or in part, at any time or from time to time</w:t>
            </w:r>
          </w:p>
        </w:tc>
      </w:tr>
      <w:tr>
        <w:trPr>
          <w:trHeight w:val="234"/>
        </w:trPr>
        <w:tc>
          <w:tcPr>
            <w:tcW w:w="3160" w:type="dxa"/>
            <w:vAlign w:val="bottom"/>
          </w:tcPr>
          <w:p>
            <w:pPr>
              <w:spacing w:after="0"/>
              <w:rPr>
                <w:sz w:val="20"/>
                <w:szCs w:val="20"/>
                <w:color w:val="auto"/>
              </w:rPr>
            </w:pPr>
          </w:p>
        </w:tc>
        <w:tc>
          <w:tcPr>
            <w:tcW w:w="8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prior to their maturity, on at</w:t>
            </w:r>
          </w:p>
        </w:tc>
      </w:tr>
    </w:tbl>
    <w:p>
      <w:pPr>
        <w:sectPr>
          <w:pgSz w:w="11900" w:h="16838" w:orient="portrait"/>
          <w:cols w:equalWidth="0" w:num="1">
            <w:col w:w="11420"/>
          </w:cols>
          <w:pgMar w:left="240" w:top="117" w:right="239" w:bottom="1440" w:gutter="0" w:footer="0" w:header="0"/>
        </w:sectPr>
      </w:pPr>
    </w:p>
    <w:bookmarkStart w:id="4" w:name="page5"/>
    <w:bookmarkEnd w:id="4"/>
    <w:p>
      <w:pPr>
        <w:ind w:left="33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least 30 days, but not more than 60 days, prior notice mailed to the registered address of each holder of the 2023</w:t>
      </w:r>
    </w:p>
    <w:p>
      <w:pPr>
        <w:spacing w:after="0" w:line="3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Notes, at the “Redemption Price.” Prior to February 1, 2023 (one month prior to the maturity of the 2023</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Notes), the Redemption Price is the greater of (i) 100% of the principal amount of the 2023 Notes, and (ii) the</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sum of the present values of the principal amount of such notes and the scheduled payments of interest thereon</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(exclusive of interest accrued to the date of redemption) from the redemption date to February 1, 2023, in each</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case discounted to the redemption date on a semiannual basis (assuming a 360-day year consisting of twelve</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30-day months) at the Treasury Rate (as defined in the 2023 Notes) plus 20 basis points. On and after</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February 1, 2023 (one month prior to the maturity of the 2023 Notes), the Redemption Price will equal 100% of</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principal amount of such notes. In each case described in this paragraph, the Redemption Price will include</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accrued and unpaid interest thereon to the date of redemption, and in each case described in this paragraph,</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subject to the further description in the Prospectus Supplement dated February 16, 2016.</w:t>
      </w:r>
    </w:p>
    <w:p>
      <w:pPr>
        <w:sectPr>
          <w:pgSz w:w="11900" w:h="16838" w:orient="portrait"/>
          <w:cols w:equalWidth="0" w:num="1">
            <w:col w:w="11420"/>
          </w:cols>
          <w:pgMar w:left="240" w:top="378" w:right="239" w:bottom="1440" w:gutter="0" w:footer="0" w:header="0"/>
        </w:sectPr>
      </w:pP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Issuances: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2023 Notes need not be issued at the same time and the series may be reopened for issuance of an unlimited principal amount of additional 2023 Notes under this series. Additional 2023 Notes of this series may be consolidated with, and form a single series with, 2023 Notes then outstanding, including for purposes of determining whether the required percentage of the holders of record has given approval or consent to an amendment or waiver or joined in directing the Trustee to take certain actions on behalf of all holders.</w:t>
      </w:r>
    </w:p>
    <w:p>
      <w:pPr>
        <w:spacing w:after="0" w:line="74" w:lineRule="exact"/>
        <w:rPr>
          <w:sz w:val="20"/>
          <w:szCs w:val="20"/>
          <w:color w:val="auto"/>
        </w:rPr>
      </w:pPr>
    </w:p>
    <w:p>
      <w:pPr>
        <w:sectPr>
          <w:pgSz w:w="11900" w:h="16838" w:orient="portrait"/>
          <w:cols w:equalWidth="0" w:num="2">
            <w:col w:w="2620" w:space="720"/>
            <w:col w:w="8080"/>
          </w:cols>
          <w:pgMar w:left="240" w:top="37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26" w:lineRule="exact"/>
        <w:rPr>
          <w:sz w:val="20"/>
          <w:szCs w:val="20"/>
          <w:color w:val="auto"/>
        </w:rPr>
      </w:pPr>
    </w:p>
    <w:p>
      <w:pPr>
        <w:sectPr>
          <w:pgSz w:w="11900" w:h="16838" w:orient="portrait"/>
          <w:cols w:equalWidth="0" w:num="2">
            <w:col w:w="2620" w:space="720"/>
            <w:col w:w="8080"/>
          </w:cols>
          <w:pgMar w:left="240" w:top="37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None</w:t>
      </w:r>
    </w:p>
    <w:p>
      <w:pPr>
        <w:sectPr>
          <w:pgSz w:w="11900" w:h="16838" w:orient="portrait"/>
          <w:cols w:equalWidth="0" w:num="2">
            <w:col w:w="2620" w:space="720"/>
            <w:col w:w="8080"/>
          </w:cols>
          <w:pgMar w:left="240" w:top="378"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14"/>
        </w:trPr>
        <w:tc>
          <w:tcPr>
            <w:tcW w:w="3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Miscellaneous:</w:t>
            </w:r>
          </w:p>
        </w:tc>
        <w:tc>
          <w:tcPr>
            <w:tcW w:w="8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The terms of the 2023 Notes shall include such other terms as are set forth in the Form of Note Due 2023</w:t>
            </w:r>
          </w:p>
        </w:tc>
      </w:tr>
      <w:tr>
        <w:trPr>
          <w:trHeight w:val="198"/>
        </w:trPr>
        <w:tc>
          <w:tcPr>
            <w:tcW w:w="3160" w:type="dxa"/>
            <w:vAlign w:val="bottom"/>
          </w:tcPr>
          <w:p>
            <w:pPr>
              <w:spacing w:after="0"/>
              <w:rPr>
                <w:sz w:val="17"/>
                <w:szCs w:val="17"/>
                <w:color w:val="auto"/>
              </w:rPr>
            </w:pPr>
          </w:p>
        </w:tc>
        <w:tc>
          <w:tcPr>
            <w:tcW w:w="8240" w:type="dxa"/>
            <w:vAlign w:val="bottom"/>
            <w:gridSpan w:val="5"/>
          </w:tcPr>
          <w:p>
            <w:pPr>
              <w:ind w:left="180"/>
              <w:spacing w:after="0" w:line="198" w:lineRule="exact"/>
              <w:rPr>
                <w:sz w:val="20"/>
                <w:szCs w:val="20"/>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tc>
      </w:tr>
      <w:tr>
        <w:trPr>
          <w:trHeight w:val="20"/>
        </w:trPr>
        <w:tc>
          <w:tcPr>
            <w:tcW w:w="3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628"/>
        </w:trPr>
        <w:tc>
          <w:tcPr>
            <w:tcW w:w="3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3.</w:t>
            </w:r>
            <w:r>
              <w:rPr>
                <w:rFonts w:ascii="Times New Roman" w:cs="Times New Roman" w:eastAsia="Times New Roman" w:hAnsi="Times New Roman"/>
                <w:sz w:val="18"/>
                <w:szCs w:val="18"/>
                <w:b w:val="1"/>
                <w:bCs w:val="1"/>
                <w:u w:val="single" w:color="auto"/>
                <w:color w:val="auto"/>
                <w:w w:val="99"/>
              </w:rPr>
              <w:t>15%</w:t>
            </w:r>
            <w:r>
              <w:rPr>
                <w:rFonts w:ascii="Times New Roman" w:cs="Times New Roman" w:eastAsia="Times New Roman" w:hAnsi="Times New Roman"/>
                <w:sz w:val="18"/>
                <w:szCs w:val="18"/>
                <w:b w:val="1"/>
                <w:bCs w:val="1"/>
                <w:color w:val="auto"/>
                <w:w w:val="99"/>
              </w:rPr>
              <w:t xml:space="preserve"> Notes Due 2026</w:t>
            </w:r>
          </w:p>
        </w:tc>
        <w:tc>
          <w:tcPr>
            <w:tcW w:w="4820" w:type="dxa"/>
            <w:vAlign w:val="bottom"/>
          </w:tcPr>
          <w:p>
            <w:pPr>
              <w:spacing w:after="0"/>
              <w:rPr>
                <w:sz w:val="24"/>
                <w:szCs w:val="24"/>
                <w:color w:val="auto"/>
              </w:rPr>
            </w:pPr>
          </w:p>
        </w:tc>
      </w:tr>
      <w:tr>
        <w:trPr>
          <w:trHeight w:val="480"/>
        </w:trPr>
        <w:tc>
          <w:tcPr>
            <w:tcW w:w="3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Title:</w:t>
            </w:r>
          </w:p>
        </w:tc>
        <w:tc>
          <w:tcPr>
            <w:tcW w:w="8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3.15% Notes Due 2026</w:t>
            </w:r>
          </w:p>
        </w:tc>
      </w:tr>
      <w:tr>
        <w:trPr>
          <w:trHeight w:val="306"/>
        </w:trPr>
        <w:tc>
          <w:tcPr>
            <w:tcW w:w="3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Aggregate Principal Amount at Maturity:</w:t>
            </w:r>
          </w:p>
        </w:tc>
        <w:tc>
          <w:tcPr>
            <w:tcW w:w="8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w w:val="99"/>
              </w:rPr>
              <w:t>$700,000,000. The 3.15% Notes Due 2026 offered hereby are a further issuance of and form a single series with</w:t>
            </w:r>
          </w:p>
        </w:tc>
      </w:tr>
      <w:tr>
        <w:trPr>
          <w:trHeight w:val="216"/>
        </w:trPr>
        <w:tc>
          <w:tcPr>
            <w:tcW w:w="3160" w:type="dxa"/>
            <w:vAlign w:val="bottom"/>
          </w:tcPr>
          <w:p>
            <w:pPr>
              <w:spacing w:after="0"/>
              <w:rPr>
                <w:sz w:val="18"/>
                <w:szCs w:val="18"/>
                <w:color w:val="auto"/>
              </w:rPr>
            </w:pPr>
          </w:p>
        </w:tc>
        <w:tc>
          <w:tcPr>
            <w:tcW w:w="8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the existing 3.15% Notes Due 2026 issued by the Company on February 23, 2016. Upon issuance of the 2026</w:t>
            </w:r>
          </w:p>
        </w:tc>
      </w:tr>
      <w:tr>
        <w:trPr>
          <w:trHeight w:val="216"/>
        </w:trPr>
        <w:tc>
          <w:tcPr>
            <w:tcW w:w="3160" w:type="dxa"/>
            <w:vAlign w:val="bottom"/>
          </w:tcPr>
          <w:p>
            <w:pPr>
              <w:spacing w:after="0"/>
              <w:rPr>
                <w:sz w:val="18"/>
                <w:szCs w:val="18"/>
                <w:color w:val="auto"/>
              </w:rPr>
            </w:pPr>
          </w:p>
        </w:tc>
        <w:tc>
          <w:tcPr>
            <w:tcW w:w="8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Notes, the Company will have $2,200,000,000 aggregate principal amount outstanding of the 3.15% Notes Due</w:t>
            </w:r>
          </w:p>
        </w:tc>
      </w:tr>
      <w:tr>
        <w:trPr>
          <w:trHeight w:val="234"/>
        </w:trPr>
        <w:tc>
          <w:tcPr>
            <w:tcW w:w="3160" w:type="dxa"/>
            <w:vAlign w:val="bottom"/>
          </w:tcPr>
          <w:p>
            <w:pPr>
              <w:spacing w:after="0"/>
              <w:rPr>
                <w:sz w:val="20"/>
                <w:szCs w:val="20"/>
                <w:color w:val="auto"/>
              </w:rPr>
            </w:pPr>
          </w:p>
        </w:tc>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20" w:type="dxa"/>
            <w:vAlign w:val="bottom"/>
          </w:tcPr>
          <w:p>
            <w:pPr>
              <w:spacing w:after="0"/>
              <w:rPr>
                <w:sz w:val="20"/>
                <w:szCs w:val="20"/>
                <w:color w:val="auto"/>
              </w:rPr>
            </w:pPr>
          </w:p>
        </w:tc>
      </w:tr>
      <w:tr>
        <w:trPr>
          <w:trHeight w:val="324"/>
        </w:trPr>
        <w:tc>
          <w:tcPr>
            <w:tcW w:w="3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Payment Date:</w:t>
            </w:r>
          </w:p>
        </w:tc>
        <w:tc>
          <w:tcPr>
            <w:tcW w:w="8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March 1, 2026</w:t>
            </w:r>
          </w:p>
        </w:tc>
      </w:tr>
      <w:tr>
        <w:trPr>
          <w:trHeight w:val="324"/>
        </w:trPr>
        <w:tc>
          <w:tcPr>
            <w:tcW w:w="3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Interest:</w:t>
            </w:r>
          </w:p>
        </w:tc>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06"/>
        </w:trPr>
        <w:tc>
          <w:tcPr>
            <w:tcW w:w="3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Redemption:</w:t>
            </w:r>
          </w:p>
        </w:tc>
        <w:tc>
          <w:tcPr>
            <w:tcW w:w="8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The Company may at its option redeem the 2026 Notes in whole or in part, at any time or from time to time</w:t>
            </w:r>
          </w:p>
        </w:tc>
      </w:tr>
      <w:tr>
        <w:trPr>
          <w:trHeight w:val="216"/>
        </w:trPr>
        <w:tc>
          <w:tcPr>
            <w:tcW w:w="3160" w:type="dxa"/>
            <w:vAlign w:val="bottom"/>
          </w:tcPr>
          <w:p>
            <w:pPr>
              <w:spacing w:after="0"/>
              <w:rPr>
                <w:sz w:val="18"/>
                <w:szCs w:val="18"/>
                <w:color w:val="auto"/>
              </w:rPr>
            </w:pPr>
          </w:p>
        </w:tc>
        <w:tc>
          <w:tcPr>
            <w:tcW w:w="8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prior to their maturity, on at least 30 days, but not more than 60 days, prior notice mailed to the registered</w:t>
            </w:r>
          </w:p>
        </w:tc>
      </w:tr>
      <w:tr>
        <w:trPr>
          <w:trHeight w:val="216"/>
        </w:trPr>
        <w:tc>
          <w:tcPr>
            <w:tcW w:w="3160" w:type="dxa"/>
            <w:vAlign w:val="bottom"/>
          </w:tcPr>
          <w:p>
            <w:pPr>
              <w:spacing w:after="0"/>
              <w:rPr>
                <w:sz w:val="18"/>
                <w:szCs w:val="18"/>
                <w:color w:val="auto"/>
              </w:rPr>
            </w:pPr>
          </w:p>
        </w:tc>
        <w:tc>
          <w:tcPr>
            <w:tcW w:w="8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address of each holder of the 2026 Notes, at the “Redemption Price.” Prior to December 1, 2025 (three months</w:t>
            </w:r>
          </w:p>
        </w:tc>
      </w:tr>
      <w:tr>
        <w:trPr>
          <w:trHeight w:val="216"/>
        </w:trPr>
        <w:tc>
          <w:tcPr>
            <w:tcW w:w="3160" w:type="dxa"/>
            <w:vAlign w:val="bottom"/>
          </w:tcPr>
          <w:p>
            <w:pPr>
              <w:spacing w:after="0"/>
              <w:rPr>
                <w:sz w:val="18"/>
                <w:szCs w:val="18"/>
                <w:color w:val="auto"/>
              </w:rPr>
            </w:pPr>
          </w:p>
        </w:tc>
        <w:tc>
          <w:tcPr>
            <w:tcW w:w="8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w w:val="99"/>
              </w:rPr>
              <w:t>prior to the maturity of the 2026 Notes), the Redemption Price is the greater of (i) 100% of the principal amount</w:t>
            </w:r>
          </w:p>
        </w:tc>
      </w:tr>
      <w:tr>
        <w:trPr>
          <w:trHeight w:val="216"/>
        </w:trPr>
        <w:tc>
          <w:tcPr>
            <w:tcW w:w="3160" w:type="dxa"/>
            <w:vAlign w:val="bottom"/>
          </w:tcPr>
          <w:p>
            <w:pPr>
              <w:spacing w:after="0"/>
              <w:rPr>
                <w:sz w:val="18"/>
                <w:szCs w:val="18"/>
                <w:color w:val="auto"/>
              </w:rPr>
            </w:pPr>
          </w:p>
        </w:tc>
        <w:tc>
          <w:tcPr>
            <w:tcW w:w="8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of the 2026 Notes, and (ii) the sum of the present values of the principal amount of such notes and the</w:t>
            </w:r>
          </w:p>
        </w:tc>
      </w:tr>
      <w:tr>
        <w:trPr>
          <w:trHeight w:val="216"/>
        </w:trPr>
        <w:tc>
          <w:tcPr>
            <w:tcW w:w="3160" w:type="dxa"/>
            <w:vAlign w:val="bottom"/>
          </w:tcPr>
          <w:p>
            <w:pPr>
              <w:spacing w:after="0"/>
              <w:rPr>
                <w:sz w:val="18"/>
                <w:szCs w:val="18"/>
                <w:color w:val="auto"/>
              </w:rPr>
            </w:pPr>
          </w:p>
        </w:tc>
        <w:tc>
          <w:tcPr>
            <w:tcW w:w="8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scheduled payments of interest thereon (exclusive of interest accrued to the date of redemption) from the</w:t>
            </w:r>
          </w:p>
        </w:tc>
      </w:tr>
      <w:tr>
        <w:trPr>
          <w:trHeight w:val="216"/>
        </w:trPr>
        <w:tc>
          <w:tcPr>
            <w:tcW w:w="3160" w:type="dxa"/>
            <w:vAlign w:val="bottom"/>
          </w:tcPr>
          <w:p>
            <w:pPr>
              <w:spacing w:after="0"/>
              <w:rPr>
                <w:sz w:val="18"/>
                <w:szCs w:val="18"/>
                <w:color w:val="auto"/>
              </w:rPr>
            </w:pPr>
          </w:p>
        </w:tc>
        <w:tc>
          <w:tcPr>
            <w:tcW w:w="8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redemption date to December 1, 2025, in each case discounted to the redemption date on a semiannual basis</w:t>
            </w:r>
          </w:p>
        </w:tc>
      </w:tr>
      <w:tr>
        <w:trPr>
          <w:trHeight w:val="216"/>
        </w:trPr>
        <w:tc>
          <w:tcPr>
            <w:tcW w:w="3160" w:type="dxa"/>
            <w:vAlign w:val="bottom"/>
          </w:tcPr>
          <w:p>
            <w:pPr>
              <w:spacing w:after="0"/>
              <w:rPr>
                <w:sz w:val="18"/>
                <w:szCs w:val="18"/>
                <w:color w:val="auto"/>
              </w:rPr>
            </w:pPr>
          </w:p>
        </w:tc>
        <w:tc>
          <w:tcPr>
            <w:tcW w:w="8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(assuming a 360-day year consisting of twelve 30-day months) at the Treasury Rate (as defined in the 2026</w:t>
            </w:r>
          </w:p>
        </w:tc>
      </w:tr>
      <w:tr>
        <w:trPr>
          <w:trHeight w:val="216"/>
        </w:trPr>
        <w:tc>
          <w:tcPr>
            <w:tcW w:w="3160" w:type="dxa"/>
            <w:vAlign w:val="bottom"/>
          </w:tcPr>
          <w:p>
            <w:pPr>
              <w:spacing w:after="0"/>
              <w:rPr>
                <w:sz w:val="18"/>
                <w:szCs w:val="18"/>
                <w:color w:val="auto"/>
              </w:rPr>
            </w:pPr>
          </w:p>
        </w:tc>
        <w:tc>
          <w:tcPr>
            <w:tcW w:w="8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Notes) plus 25 basis points. On and after December 1, 2025 (three months prior to the maturity of the 2026</w:t>
            </w:r>
          </w:p>
        </w:tc>
      </w:tr>
      <w:tr>
        <w:trPr>
          <w:trHeight w:val="234"/>
        </w:trPr>
        <w:tc>
          <w:tcPr>
            <w:tcW w:w="3160" w:type="dxa"/>
            <w:vAlign w:val="bottom"/>
          </w:tcPr>
          <w:p>
            <w:pPr>
              <w:spacing w:after="0"/>
              <w:rPr>
                <w:sz w:val="20"/>
                <w:szCs w:val="20"/>
                <w:color w:val="auto"/>
              </w:rPr>
            </w:pPr>
          </w:p>
        </w:tc>
        <w:tc>
          <w:tcPr>
            <w:tcW w:w="8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Notes), the Redemption Price will equal 100% of the principal amount of such notes. In each case</w:t>
            </w:r>
          </w:p>
        </w:tc>
      </w:tr>
    </w:tbl>
    <w:p>
      <w:pPr>
        <w:ind w:left="180"/>
        <w:spacing w:after="0"/>
        <w:rPr>
          <w:sz w:val="20"/>
          <w:szCs w:val="20"/>
          <w:color w:val="auto"/>
        </w:rPr>
        <w:sectPr>
          <w:pgSz w:w="11900" w:h="16838" w:orient="portrait"/>
          <w:cols w:equalWidth="0" w:num="1">
            <w:col w:w="11400"/>
          </w:cols>
          <w:pgMar w:left="240" w:top="376"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89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described in this paragraph, the Redemption Price will include accrued and unpaid interest thereon to the date of</w:t>
            </w:r>
          </w:p>
        </w:tc>
      </w:tr>
      <w:tr>
        <w:trPr>
          <w:trHeight w:val="216"/>
        </w:trPr>
        <w:tc>
          <w:tcPr>
            <w:tcW w:w="2460" w:type="dxa"/>
            <w:vAlign w:val="bottom"/>
          </w:tcPr>
          <w:p>
            <w:pPr>
              <w:spacing w:after="0"/>
              <w:rPr>
                <w:sz w:val="18"/>
                <w:szCs w:val="18"/>
                <w:color w:val="auto"/>
              </w:rPr>
            </w:pPr>
          </w:p>
        </w:tc>
        <w:tc>
          <w:tcPr>
            <w:tcW w:w="89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redemption, and in each case described in this paragraph, subject to the further description in the Prospectus</w:t>
            </w:r>
          </w:p>
        </w:tc>
      </w:tr>
      <w:tr>
        <w:trPr>
          <w:trHeight w:val="234"/>
        </w:trPr>
        <w:tc>
          <w:tcPr>
            <w:tcW w:w="2460" w:type="dxa"/>
            <w:vAlign w:val="bottom"/>
          </w:tcPr>
          <w:p>
            <w:pPr>
              <w:spacing w:after="0"/>
              <w:rPr>
                <w:sz w:val="20"/>
                <w:szCs w:val="20"/>
                <w:color w:val="auto"/>
              </w:rPr>
            </w:pPr>
          </w:p>
        </w:tc>
        <w:tc>
          <w:tcPr>
            <w:tcW w:w="89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Supplement dated February 16, 2016.</w:t>
            </w:r>
          </w:p>
        </w:tc>
      </w:tr>
      <w:tr>
        <w:trPr>
          <w:trHeight w:val="306"/>
        </w:trPr>
        <w:tc>
          <w:tcPr>
            <w:tcW w:w="2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Additional Issuances:</w:t>
            </w:r>
          </w:p>
        </w:tc>
        <w:tc>
          <w:tcPr>
            <w:tcW w:w="89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The 2026 Notes need not be issued at the same time and the series may be reopened for issuance of an</w:t>
            </w:r>
          </w:p>
        </w:tc>
      </w:tr>
      <w:tr>
        <w:trPr>
          <w:trHeight w:val="216"/>
        </w:trPr>
        <w:tc>
          <w:tcPr>
            <w:tcW w:w="2460" w:type="dxa"/>
            <w:vAlign w:val="bottom"/>
          </w:tcPr>
          <w:p>
            <w:pPr>
              <w:spacing w:after="0"/>
              <w:rPr>
                <w:sz w:val="18"/>
                <w:szCs w:val="18"/>
                <w:color w:val="auto"/>
              </w:rPr>
            </w:pPr>
          </w:p>
        </w:tc>
        <w:tc>
          <w:tcPr>
            <w:tcW w:w="89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unlimited principal amount of additional 2026 Notes under this series. Additional 2026 Notes of this series may</w:t>
            </w:r>
          </w:p>
        </w:tc>
      </w:tr>
      <w:tr>
        <w:trPr>
          <w:trHeight w:val="216"/>
        </w:trPr>
        <w:tc>
          <w:tcPr>
            <w:tcW w:w="2460" w:type="dxa"/>
            <w:vAlign w:val="bottom"/>
          </w:tcPr>
          <w:p>
            <w:pPr>
              <w:spacing w:after="0"/>
              <w:rPr>
                <w:sz w:val="18"/>
                <w:szCs w:val="18"/>
                <w:color w:val="auto"/>
              </w:rPr>
            </w:pPr>
          </w:p>
        </w:tc>
        <w:tc>
          <w:tcPr>
            <w:tcW w:w="89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be consolidated with, and form a single series with, 2026 Notes then outstanding, including for purposes of</w:t>
            </w:r>
          </w:p>
        </w:tc>
      </w:tr>
      <w:tr>
        <w:trPr>
          <w:trHeight w:val="216"/>
        </w:trPr>
        <w:tc>
          <w:tcPr>
            <w:tcW w:w="2460" w:type="dxa"/>
            <w:vAlign w:val="bottom"/>
          </w:tcPr>
          <w:p>
            <w:pPr>
              <w:spacing w:after="0"/>
              <w:rPr>
                <w:sz w:val="18"/>
                <w:szCs w:val="18"/>
                <w:color w:val="auto"/>
              </w:rPr>
            </w:pPr>
          </w:p>
        </w:tc>
        <w:tc>
          <w:tcPr>
            <w:tcW w:w="89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determining whether the required percentage of the holders of record has given approval or consent to an</w:t>
            </w:r>
          </w:p>
        </w:tc>
      </w:tr>
      <w:tr>
        <w:trPr>
          <w:trHeight w:val="234"/>
        </w:trPr>
        <w:tc>
          <w:tcPr>
            <w:tcW w:w="2460" w:type="dxa"/>
            <w:vAlign w:val="bottom"/>
          </w:tcPr>
          <w:p>
            <w:pPr>
              <w:spacing w:after="0"/>
              <w:rPr>
                <w:sz w:val="20"/>
                <w:szCs w:val="20"/>
                <w:color w:val="auto"/>
              </w:rPr>
            </w:pPr>
          </w:p>
        </w:tc>
        <w:tc>
          <w:tcPr>
            <w:tcW w:w="89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amendment or waiver or joined in directing the Trustee to take certain actions on behalf of all holders.</w:t>
            </w:r>
          </w:p>
        </w:tc>
      </w:tr>
      <w:tr>
        <w:trPr>
          <w:trHeight w:val="324"/>
        </w:trPr>
        <w:tc>
          <w:tcPr>
            <w:tcW w:w="2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Conversion:</w:t>
            </w:r>
          </w:p>
        </w:tc>
        <w:tc>
          <w:tcPr>
            <w:tcW w:w="89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None</w:t>
            </w:r>
          </w:p>
        </w:tc>
      </w:tr>
      <w:tr>
        <w:trPr>
          <w:trHeight w:val="324"/>
        </w:trPr>
        <w:tc>
          <w:tcPr>
            <w:tcW w:w="2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Sinking Fund:</w:t>
            </w:r>
          </w:p>
        </w:tc>
        <w:tc>
          <w:tcPr>
            <w:tcW w:w="89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None</w:t>
            </w:r>
          </w:p>
        </w:tc>
      </w:tr>
      <w:tr>
        <w:trPr>
          <w:trHeight w:val="302"/>
        </w:trPr>
        <w:tc>
          <w:tcPr>
            <w:tcW w:w="2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Miscellaneous:</w:t>
            </w:r>
          </w:p>
        </w:tc>
        <w:tc>
          <w:tcPr>
            <w:tcW w:w="89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The terms of the 2026 Notes shall include such other terms as are set forth in the Form of Note Due 2026</w:t>
            </w:r>
          </w:p>
        </w:tc>
      </w:tr>
      <w:tr>
        <w:trPr>
          <w:trHeight w:val="198"/>
        </w:trPr>
        <w:tc>
          <w:tcPr>
            <w:tcW w:w="2460" w:type="dxa"/>
            <w:vAlign w:val="bottom"/>
          </w:tcPr>
          <w:p>
            <w:pPr>
              <w:spacing w:after="0"/>
              <w:rPr>
                <w:sz w:val="17"/>
                <w:szCs w:val="17"/>
                <w:color w:val="auto"/>
              </w:rPr>
            </w:pPr>
          </w:p>
        </w:tc>
        <w:tc>
          <w:tcPr>
            <w:tcW w:w="8960" w:type="dxa"/>
            <w:vAlign w:val="bottom"/>
            <w:gridSpan w:val="3"/>
          </w:tcPr>
          <w:p>
            <w:pPr>
              <w:ind w:left="880"/>
              <w:spacing w:after="0" w:line="198" w:lineRule="exact"/>
              <w:rPr>
                <w:sz w:val="20"/>
                <w:szCs w:val="20"/>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w:t>
            </w:r>
          </w:p>
        </w:tc>
      </w:tr>
      <w:tr>
        <w:trPr>
          <w:trHeight w:val="20"/>
        </w:trPr>
        <w:tc>
          <w:tcPr>
            <w:tcW w:w="24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60"/>
        <w:spacing w:after="0" w:line="258" w:lineRule="auto"/>
        <w:rPr>
          <w:sz w:val="20"/>
          <w:szCs w:val="20"/>
          <w:color w:val="auto"/>
        </w:rPr>
      </w:pPr>
      <w:r>
        <w:rPr>
          <w:rFonts w:ascii="Times New Roman" w:cs="Times New Roman" w:eastAsia="Times New Roman" w:hAnsi="Times New Roman"/>
          <w:sz w:val="18"/>
          <w:szCs w:val="18"/>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ectPr>
          <w:pgSz w:w="11900" w:h="16838" w:orient="portrait"/>
          <w:cols w:equalWidth="0" w:num="1">
            <w:col w:w="11420"/>
          </w:cols>
          <w:pgMar w:left="240" w:top="270"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officers of the Company have duly executed this certificate as of the date first set forth above.</w:t>
      </w:r>
    </w:p>
    <w:p>
      <w:pPr>
        <w:spacing w:after="0" w:line="25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17145</wp:posOffset>
            </wp:positionV>
            <wp:extent cx="26930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Name:  William E. Dordelman</w:t>
      </w:r>
    </w:p>
    <w:p>
      <w:pPr>
        <w:spacing w:after="0" w:line="27" w:lineRule="exact"/>
        <w:rPr>
          <w:sz w:val="20"/>
          <w:szCs w:val="20"/>
          <w:color w:val="auto"/>
        </w:rPr>
      </w:pPr>
    </w:p>
    <w:p>
      <w:pPr>
        <w:ind w:left="672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Senior Vice President and Treasurer</w:t>
      </w:r>
    </w:p>
    <w:p>
      <w:pPr>
        <w:spacing w:after="0" w:line="20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17145</wp:posOffset>
            </wp:positionV>
            <wp:extent cx="26930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Name:  Arthur R. Block</w:t>
      </w:r>
    </w:p>
    <w:p>
      <w:pPr>
        <w:spacing w:after="0" w:line="27" w:lineRule="exact"/>
        <w:rPr>
          <w:sz w:val="20"/>
          <w:szCs w:val="20"/>
          <w:color w:val="auto"/>
        </w:rPr>
      </w:pPr>
    </w:p>
    <w:p>
      <w:pPr>
        <w:jc w:val="both"/>
        <w:ind w:left="672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Executive Vice President, General Counsel and</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Secretary</w:t>
      </w:r>
    </w:p>
    <w:p>
      <w:pPr>
        <w:spacing w:after="0" w:line="20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Officers’ Certificate Pursuant to the Indenture</w:t>
      </w:r>
      <w:r>
        <w:rPr>
          <w:rFonts w:ascii="Times New Roman" w:cs="Times New Roman" w:eastAsia="Times New Roman" w:hAnsi="Times New Roman"/>
          <w:sz w:val="18"/>
          <w:szCs w:val="18"/>
          <w:color w:val="auto"/>
        </w:rPr>
        <w:t>]</w:t>
      </w:r>
    </w:p>
    <w:p>
      <w:pPr>
        <w:sectPr>
          <w:pgSz w:w="11900" w:h="16838" w:orient="portrait"/>
          <w:cols w:equalWidth="0" w:num="1">
            <w:col w:w="10720"/>
          </w:cols>
          <w:pgMar w:left="700" w:top="270" w:right="47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NOTE DUE 2023]</w:t>
      </w:r>
    </w:p>
    <w:p>
      <w:pPr>
        <w:spacing w:after="0" w:line="22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2.75% Note Due 2023</w:t>
      </w:r>
    </w:p>
    <w:p>
      <w:pPr>
        <w:sectPr>
          <w:pgSz w:w="11900" w:h="16838" w:orient="portrait"/>
          <w:cols w:equalWidth="0" w:num="1">
            <w:col w:w="11420"/>
          </w:cols>
          <w:pgMar w:left="240" w:top="266" w:right="2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No.: 20030N BR1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ISIN No.: US20030NBR17</w:t>
      </w:r>
    </w:p>
    <w:p>
      <w:pPr>
        <w:spacing w:after="0" w:line="21" w:lineRule="exact"/>
        <w:rPr>
          <w:sz w:val="20"/>
          <w:szCs w:val="20"/>
          <w:color w:val="auto"/>
        </w:rPr>
      </w:pPr>
    </w:p>
    <w:p>
      <w:pPr>
        <w:jc w:val="right"/>
        <w:spacing w:after="0"/>
        <w:tabs>
          <w:tab w:leader="none" w:pos="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3">
            <w:col w:w="380" w:space="180"/>
            <w:col w:w="8160" w:space="720"/>
            <w:col w:w="1980"/>
          </w:cols>
          <w:pgMar w:left="240" w:top="266" w:right="239" w:bottom="1440" w:gutter="0" w:footer="0" w:header="0"/>
          <w:type w:val="continuous"/>
        </w:sectPr>
      </w:pPr>
    </w:p>
    <w:p>
      <w:pPr>
        <w:spacing w:after="0" w:line="3" w:lineRule="exact"/>
        <w:rPr>
          <w:sz w:val="20"/>
          <w:szCs w:val="20"/>
          <w:color w:val="auto"/>
        </w:rPr>
      </w:pPr>
    </w:p>
    <w:p>
      <w:pPr>
        <w:ind w:right="120" w:firstLine="456"/>
        <w:spacing w:after="0" w:line="286" w:lineRule="auto"/>
        <w:rPr>
          <w:sz w:val="20"/>
          <w:szCs w:val="20"/>
          <w:color w:val="auto"/>
        </w:rPr>
      </w:pPr>
      <w:r>
        <w:rPr>
          <w:rFonts w:ascii="Times New Roman" w:cs="Times New Roman" w:eastAsia="Times New Roman" w:hAnsi="Times New Roman"/>
          <w:sz w:val="18"/>
          <w:szCs w:val="18"/>
          <w:color w:val="auto"/>
        </w:rPr>
        <w:t>COMCAST CORPORATION, a Pennsylvania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which term includes any successor corporation), for value received promises to pay to CEDE &amp; CO. or registered assigns, the principal sum of $[ ] ([ ] Million Dollars) on March 1, 2023.</w:t>
      </w:r>
    </w:p>
    <w:p>
      <w:pPr>
        <w:sectPr>
          <w:pgSz w:w="11900" w:h="16838" w:orient="portrait"/>
          <w:cols w:equalWidth="0" w:num="1">
            <w:col w:w="11420"/>
          </w:cols>
          <w:pgMar w:left="240" w:top="266" w:right="239" w:bottom="1440" w:gutter="0" w:footer="0" w:header="0"/>
          <w:type w:val="continuous"/>
        </w:sectPr>
      </w:pP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Payment Dates: March 1 and September 1(each,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commencing on September 1, 2016.</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Record Dates: February 15 and August 15 (each, an “</w:t>
      </w:r>
      <w:r>
        <w:rPr>
          <w:rFonts w:ascii="Times New Roman" w:cs="Times New Roman" w:eastAsia="Times New Roman" w:hAnsi="Times New Roman"/>
          <w:sz w:val="18"/>
          <w:szCs w:val="18"/>
          <w:b w:val="1"/>
          <w:bCs w:val="1"/>
          <w:color w:val="auto"/>
        </w:rPr>
        <w:t>Interest Record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Reference is made to the further provisions of this Security contained herein, which will for all purposes have the same effect as if set forth at this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ectPr>
          <w:pgSz w:w="11900" w:h="16838" w:orient="portrait"/>
          <w:cols w:equalWidth="0" w:num="1">
            <w:col w:w="11420"/>
          </w:cols>
          <w:pgMar w:left="240" w:top="266" w:right="239" w:bottom="1440" w:gutter="0" w:footer="0" w:header="0"/>
          <w:type w:val="continuous"/>
        </w:sectPr>
      </w:pPr>
    </w:p>
    <w:bookmarkStart w:id="9" w:name="page10"/>
    <w:bookmarkEnd w:id="9"/>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3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17145</wp:posOffset>
            </wp:positionV>
            <wp:extent cx="26930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Name:  William E. Dordelman</w:t>
      </w:r>
    </w:p>
    <w:p>
      <w:pPr>
        <w:spacing w:after="0" w:line="27" w:lineRule="exact"/>
        <w:rPr>
          <w:sz w:val="20"/>
          <w:szCs w:val="20"/>
          <w:color w:val="auto"/>
        </w:rPr>
      </w:pPr>
    </w:p>
    <w:p>
      <w:pPr>
        <w:ind w:left="718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Senior Vice President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Comcast Corporation]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26587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Arthur R. Block</w:t>
      </w:r>
    </w:p>
    <w:p>
      <w:pPr>
        <w:spacing w:after="0" w:line="27" w:lineRule="exact"/>
        <w:rPr>
          <w:sz w:val="20"/>
          <w:szCs w:val="20"/>
          <w:color w:val="auto"/>
        </w:rPr>
      </w:pPr>
    </w:p>
    <w:p>
      <w:pPr>
        <w:ind w:left="38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tab/>
        <w:t>Executive Vice President, General Counsel and</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Secretary</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240" w:top="270" w:right="439" w:bottom="1440" w:gutter="0" w:footer="0" w:header="0"/>
        </w:sectPr>
      </w:pPr>
    </w:p>
    <w:bookmarkStart w:id="10" w:name="page11"/>
    <w:bookmarkEnd w:id="10"/>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30, 2016</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THE BANK OF NEW YORK MELLON, as Trustee</w:t>
      </w:r>
    </w:p>
    <w:p>
      <w:pPr>
        <w:spacing w:after="0" w:line="23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17145</wp:posOffset>
            </wp:positionV>
            <wp:extent cx="26327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60"/>
          </w:cols>
          <w:pgMar w:left="240" w:top="270" w:right="99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2.75% Note Due 2023</w:t>
      </w:r>
    </w:p>
    <w:p>
      <w:pPr>
        <w:spacing w:after="0" w:line="252" w:lineRule="exact"/>
        <w:rPr>
          <w:sz w:val="20"/>
          <w:szCs w:val="20"/>
          <w:color w:val="auto"/>
        </w:rPr>
      </w:pPr>
    </w:p>
    <w:p>
      <w:pPr>
        <w:ind w:left="900" w:hanging="446"/>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w:t>
      </w:r>
    </w:p>
    <w:p>
      <w:pPr>
        <w:spacing w:after="0" w:line="113"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COMCAST CORPORATION, a Pennsylvania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February 23, 2016. The Issuer will pay interest semi-annually in arrears on each Interest Payment Date, commencing September 1, 2016. Interest will be computed on the basis of a 360-day year of twelve 30-day months.</w:t>
      </w:r>
    </w:p>
    <w:p>
      <w:pPr>
        <w:spacing w:after="0" w:line="181"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310" w:lineRule="exact"/>
        <w:rPr>
          <w:sz w:val="20"/>
          <w:szCs w:val="20"/>
          <w:color w:val="auto"/>
        </w:rPr>
      </w:pPr>
    </w:p>
    <w:p>
      <w:pPr>
        <w:ind w:left="900" w:hanging="44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 of Payment.</w:t>
      </w:r>
    </w:p>
    <w:p>
      <w:pPr>
        <w:spacing w:after="0" w:line="117"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collect principal payments. The Issuer shall pay principal and interest in money of the United States that at the time of payment is legal tender for payment of public and private debts (“</w:t>
      </w:r>
      <w:r>
        <w:rPr>
          <w:rFonts w:ascii="Times New Roman" w:cs="Times New Roman" w:eastAsia="Times New Roman" w:hAnsi="Times New Roman"/>
          <w:sz w:val="18"/>
          <w:szCs w:val="18"/>
          <w:b w:val="1"/>
          <w:bCs w:val="1"/>
          <w:color w:val="auto"/>
        </w:rPr>
        <w:t>U.S. Legal Tender</w:t>
      </w:r>
      <w:r>
        <w:rPr>
          <w:rFonts w:ascii="Times New Roman" w:cs="Times New Roman" w:eastAsia="Times New Roman" w:hAnsi="Times New Roman"/>
          <w:sz w:val="18"/>
          <w:szCs w:val="18"/>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341" w:lineRule="exact"/>
        <w:rPr>
          <w:sz w:val="20"/>
          <w:szCs w:val="20"/>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Agent.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Initially, the Trustee will act as Paying Agent. The Issuer may change any Paying Agent without notice to the Holders.</w:t>
      </w:r>
    </w:p>
    <w:p>
      <w:pPr>
        <w:sectPr>
          <w:pgSz w:w="11900" w:h="16838" w:orient="portrait"/>
          <w:cols w:equalWidth="0" w:num="1">
            <w:col w:w="11400"/>
          </w:cols>
          <w:pgMar w:left="240" w:top="270" w:right="259" w:bottom="1440" w:gutter="0" w:footer="0" w:header="0"/>
        </w:sectPr>
      </w:pPr>
    </w:p>
    <w:bookmarkStart w:id="12" w:name="page13"/>
    <w:bookmarkEnd w:id="12"/>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Issuer issued the Securities under an Indenture dated as of September 18, 2013, by and among the Issuer, the guarantors named therein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as amended by the First Supplemental Indenture dated as of November 17, 2015, by and among the Issuer, the guarantors named therein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and the Trustee (as amended,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Capitalized terms herein are used as defined in the Indenture unless otherwise defined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the Securities include those stated in the Indenture and those made part of the Indenture by reference to the Trust Indenture Act of 1939 (15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U.S.C. Sections 77aaa-77bbbb) (the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as in effect on the date of the Indenture until such time as the Indenture is qualified under the TIA, and thereafter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in effect on the date on which the Indenture is qualified under the TIA. Notwithstanding anything to the contrary herein, the Securities are subject to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terms, and Holders of Securities are referred to the Indenture and the TIA for a statement of them. To the extent the terms of the Indenture and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are inconsistent, the terms of the Indenture shall govern. This note is a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and the notes are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under the Indenture.</w:t>
      </w:r>
    </w:p>
    <w:p>
      <w:pPr>
        <w:spacing w:after="0" w:line="355" w:lineRule="exact"/>
        <w:rPr>
          <w:sz w:val="20"/>
          <w:szCs w:val="20"/>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w:t>
      </w:r>
    </w:p>
    <w:p>
      <w:pPr>
        <w:spacing w:after="0" w:line="117"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325" w:lineRule="exact"/>
        <w:rPr>
          <w:sz w:val="20"/>
          <w:szCs w:val="20"/>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Denominations; Transfer; Exchange.</w:t>
      </w:r>
    </w:p>
    <w:p>
      <w:pPr>
        <w:spacing w:after="0" w:line="117"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333" w:lineRule="exact"/>
        <w:rPr>
          <w:sz w:val="20"/>
          <w:szCs w:val="20"/>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Owners.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registered Holder of a Security shall be treated as the owner of it for all purposes.</w:t>
      </w:r>
    </w:p>
    <w:p>
      <w:pPr>
        <w:spacing w:after="0" w:line="374" w:lineRule="exact"/>
        <w:rPr>
          <w:sz w:val="20"/>
          <w:szCs w:val="20"/>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Unclaimed Funds.</w:t>
      </w:r>
    </w:p>
    <w:p>
      <w:pPr>
        <w:spacing w:after="0" w:line="117"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0" w:right="259" w:bottom="1440" w:gutter="0" w:footer="0" w:header="0"/>
        </w:sectPr>
      </w:pPr>
    </w:p>
    <w:bookmarkStart w:id="13" w:name="page14"/>
    <w:bookmarkEnd w:id="13"/>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Defeasance and Covenant Defeasance.</w:t>
      </w:r>
    </w:p>
    <w:p>
      <w:pPr>
        <w:spacing w:after="0" w:line="117"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325" w:lineRule="exact"/>
        <w:rPr>
          <w:sz w:val="20"/>
          <w:szCs w:val="20"/>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Supplement; Waiver.</w:t>
      </w:r>
    </w:p>
    <w:p>
      <w:pPr>
        <w:spacing w:after="0" w:line="11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338" w:lineRule="exact"/>
        <w:rPr>
          <w:sz w:val="20"/>
          <w:szCs w:val="20"/>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w:t>
      </w:r>
    </w:p>
    <w:p>
      <w:pPr>
        <w:spacing w:after="0" w:line="117"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325" w:lineRule="exact"/>
        <w:rPr>
          <w:sz w:val="20"/>
          <w:szCs w:val="20"/>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w:t>
      </w:r>
    </w:p>
    <w:p>
      <w:pPr>
        <w:spacing w:after="0" w:line="117"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Securities, at the applicable Redemption Price.</w:t>
      </w:r>
    </w:p>
    <w:p>
      <w:pPr>
        <w:spacing w:after="0" w:line="15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means (a) at any time prior to February 1, 2023 (one month prior to the maturity of the Securities), the greater of (i) 100% of the principal amount of such Securities and (ii) the sum of the present values of the principal amount of such Securities and the scheduled payments of interest thereon (exclusive of interest accrued to the date of redemption) from the redemption date to February 1, 2023, in each case discounted to the redemption date on a semiannual basis (assuming a 360-day year</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0" w:right="259" w:bottom="1440" w:gutter="0" w:footer="0" w:header="0"/>
        </w:sectPr>
      </w:pPr>
    </w:p>
    <w:bookmarkStart w:id="14" w:name="page15"/>
    <w:bookmarkEnd w:id="14"/>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consisting of twelve 30-day months) at the Treasury Rate plus 20 basis points and (b) if the Securities are redeemed on or after February 1, 2023 (one month prior to the maturity of the Securities) 100% of the principal amount of such Securities; plus, in each case, accrued and unpaid interest thereon to the date of redemption.</w:t>
      </w:r>
    </w:p>
    <w:p>
      <w:pPr>
        <w:spacing w:after="0" w:line="172" w:lineRule="exact"/>
        <w:rPr>
          <w:sz w:val="20"/>
          <w:szCs w:val="20"/>
          <w:color w:val="auto"/>
        </w:rPr>
      </w:pPr>
    </w:p>
    <w:p>
      <w:pPr>
        <w:ind w:right="140" w:firstLine="45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Rate</w:t>
      </w:r>
      <w:r>
        <w:rPr>
          <w:rFonts w:ascii="Times New Roman" w:cs="Times New Roman" w:eastAsia="Times New Roman" w:hAnsi="Times New Roman"/>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1"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Treasury Issue</w:t>
      </w:r>
      <w:r>
        <w:rPr>
          <w:rFonts w:ascii="Times New Roman" w:cs="Times New Roman" w:eastAsia="Times New Roman" w:hAnsi="Times New Roman"/>
          <w:sz w:val="18"/>
          <w:szCs w:val="18"/>
          <w:color w:val="auto"/>
        </w:rPr>
        <w:t>” means the United States Treasury security or securities selected by an Independent Investment Banker as having an actual or interpolated maturity comparable to the remaining term of the Securities to be redeemed that would be utilized, at the time of selection and in accordance with customary financial practice, in pricing new issues of corporate debt securities of a comparable maturity to the remaining term of such Securities.</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Investment Banker</w:t>
      </w:r>
      <w:r>
        <w:rPr>
          <w:rFonts w:ascii="Times New Roman" w:cs="Times New Roman" w:eastAsia="Times New Roman" w:hAnsi="Times New Roman"/>
          <w:sz w:val="18"/>
          <w:szCs w:val="18"/>
          <w:color w:val="auto"/>
        </w:rPr>
        <w:t>” means one of the Reference Treasury Dealers appointed by the Issuer.</w:t>
      </w:r>
    </w:p>
    <w:p>
      <w:pPr>
        <w:spacing w:after="0" w:line="225"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Treasury Price</w:t>
      </w:r>
      <w:r>
        <w:rPr>
          <w:rFonts w:ascii="Times New Roman" w:cs="Times New Roman" w:eastAsia="Times New Roman" w:hAnsi="Times New Roman"/>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1"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Treasury Dealer</w:t>
      </w:r>
      <w:r>
        <w:rPr>
          <w:rFonts w:ascii="Times New Roman" w:cs="Times New Roman" w:eastAsia="Times New Roman" w:hAnsi="Times New Roman"/>
          <w:sz w:val="18"/>
          <w:szCs w:val="18"/>
          <w:color w:val="auto"/>
        </w:rPr>
        <w:t xml:space="preserve">” means each of Merrill Lynch, Pierce, Fenner &amp; Smith Incorporated, RBC Capital Markets, LLC and Wells Fargo Securities, LLC, or their affiliates which are primary United States Government Securities dealers, and their respective successors;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of the foregoing shall cease to be a primary United States government securities dealer in the United States (a “</w:t>
      </w:r>
      <w:r>
        <w:rPr>
          <w:rFonts w:ascii="Times New Roman" w:cs="Times New Roman" w:eastAsia="Times New Roman" w:hAnsi="Times New Roman"/>
          <w:sz w:val="18"/>
          <w:szCs w:val="18"/>
          <w:b w:val="1"/>
          <w:bCs w:val="1"/>
          <w:color w:val="auto"/>
        </w:rPr>
        <w:t>Primary Treasury Dealer</w:t>
      </w:r>
      <w:r>
        <w:rPr>
          <w:rFonts w:ascii="Times New Roman" w:cs="Times New Roman" w:eastAsia="Times New Roman" w:hAnsi="Times New Roman"/>
          <w:sz w:val="18"/>
          <w:szCs w:val="18"/>
          <w:color w:val="auto"/>
        </w:rPr>
        <w:t>”), the Issuer will substitute therefor another Primary Treasury Dealer.</w:t>
      </w:r>
    </w:p>
    <w:p>
      <w:pPr>
        <w:spacing w:after="0" w:line="177"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Treasury Dealer Quotation</w:t>
      </w:r>
      <w:r>
        <w:rPr>
          <w:rFonts w:ascii="Times New Roman" w:cs="Times New Roman" w:eastAsia="Times New Roman" w:hAnsi="Times New Roman"/>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40" w:top="270" w:right="299" w:bottom="1440" w:gutter="0" w:footer="0" w:header="0"/>
        </w:sectPr>
      </w:pPr>
    </w:p>
    <w:bookmarkStart w:id="15" w:name="page16"/>
    <w:bookmarkEnd w:id="15"/>
    <w:p>
      <w:pPr>
        <w:ind w:right="7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Trustee by such method as the Trustee shall deem fair and appropriate (provided that Securities represented by a Global Security will be selected for redemption by the Depositary in accordance with its standard procedures therefor).</w:t>
      </w:r>
    </w:p>
    <w:p>
      <w:pPr>
        <w:spacing w:after="0" w:line="310" w:lineRule="exact"/>
        <w:rPr>
          <w:sz w:val="20"/>
          <w:szCs w:val="20"/>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and Remedies.</w:t>
      </w:r>
    </w:p>
    <w:p>
      <w:pPr>
        <w:spacing w:after="0" w:line="11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338" w:lineRule="exact"/>
        <w:rPr>
          <w:sz w:val="20"/>
          <w:szCs w:val="20"/>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Dealings with Issuer.</w:t>
      </w:r>
    </w:p>
    <w:p>
      <w:pPr>
        <w:spacing w:after="0" w:line="117"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 Trustee under the Indenture, in its individual or any other capacity, may become the owner or pledgee of Securities and may otherwise deal with the Issuer as if it were not the Trustee.</w:t>
      </w:r>
    </w:p>
    <w:p>
      <w:pPr>
        <w:spacing w:after="0" w:line="310" w:lineRule="exact"/>
        <w:rPr>
          <w:sz w:val="20"/>
          <w:szCs w:val="20"/>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Recourse Against Others.</w:t>
      </w:r>
    </w:p>
    <w:p>
      <w:pPr>
        <w:spacing w:after="0" w:line="117"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329" w:lineRule="exact"/>
        <w:rPr>
          <w:sz w:val="20"/>
          <w:szCs w:val="20"/>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Authentication.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Security shall not be valid until the Trustee manually signs the certificate of authentication on this Security.</w:t>
      </w:r>
    </w:p>
    <w:p>
      <w:pPr>
        <w:spacing w:after="0" w:line="374" w:lineRule="exact"/>
        <w:rPr>
          <w:sz w:val="20"/>
          <w:szCs w:val="20"/>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Abbreviations and Defined Terms.</w:t>
      </w:r>
    </w:p>
    <w:p>
      <w:pPr>
        <w:spacing w:after="0" w:line="117" w:lineRule="exact"/>
        <w:rPr>
          <w:sz w:val="20"/>
          <w:szCs w:val="20"/>
          <w:color w:val="auto"/>
        </w:rPr>
      </w:pPr>
    </w:p>
    <w:p>
      <w:pPr>
        <w:ind w:right="380" w:firstLine="456"/>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70" w:right="259" w:bottom="1440" w:gutter="0" w:footer="0" w:header="0"/>
        </w:sectPr>
      </w:pPr>
    </w:p>
    <w:bookmarkStart w:id="16" w:name="page17"/>
    <w:bookmarkEnd w:id="16"/>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Numbers.</w:t>
      </w:r>
    </w:p>
    <w:p>
      <w:pPr>
        <w:spacing w:after="0" w:line="117"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325" w:lineRule="exact"/>
        <w:rPr>
          <w:sz w:val="20"/>
          <w:szCs w:val="20"/>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laws of the State of New York shall govern the Indenture and this Security thereof.</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60"/>
          </w:cols>
          <w:pgMar w:left="240" w:top="270" w:right="29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80" w:type="dxa"/>
            <w:vAlign w:val="bottom"/>
            <w:gridSpan w:val="4"/>
          </w:tcPr>
          <w:p>
            <w:pPr>
              <w:jc w:val="center"/>
              <w:ind w:right="2230"/>
              <w:spacing w:after="0"/>
              <w:rPr>
                <w:sz w:val="20"/>
                <w:szCs w:val="20"/>
                <w:color w:val="auto"/>
              </w:rPr>
            </w:pPr>
            <w:r>
              <w:rPr>
                <w:rFonts w:ascii="Times New Roman" w:cs="Times New Roman" w:eastAsia="Times New Roman" w:hAnsi="Times New Roman"/>
                <w:sz w:val="18"/>
                <w:szCs w:val="18"/>
                <w:color w:val="auto"/>
              </w:rPr>
              <w:t>(Print or type name, address and zip code of assignee or transferee)</w:t>
            </w:r>
          </w:p>
        </w:tc>
      </w:tr>
      <w:tr>
        <w:trPr>
          <w:trHeight w:val="500"/>
        </w:trPr>
        <w:tc>
          <w:tcPr>
            <w:tcW w:w="6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r>
        <w:trPr>
          <w:trHeight w:val="237"/>
        </w:trPr>
        <w:tc>
          <w:tcPr>
            <w:tcW w:w="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80" w:type="dxa"/>
            <w:vAlign w:val="bottom"/>
            <w:gridSpan w:val="4"/>
          </w:tcPr>
          <w:p>
            <w:pPr>
              <w:jc w:val="center"/>
              <w:ind w:right="2250"/>
              <w:spacing w:after="0"/>
              <w:rPr>
                <w:sz w:val="20"/>
                <w:szCs w:val="20"/>
                <w:color w:val="auto"/>
              </w:rPr>
            </w:pPr>
            <w:r>
              <w:rPr>
                <w:rFonts w:ascii="Times New Roman" w:cs="Times New Roman" w:eastAsia="Times New Roman" w:hAnsi="Times New Roman"/>
                <w:sz w:val="18"/>
                <w:szCs w:val="18"/>
                <w:color w:val="auto"/>
                <w:w w:val="99"/>
              </w:rPr>
              <w:t>(Insert Social Security or other identifying number of assignee or transferee)</w:t>
            </w:r>
          </w:p>
        </w:tc>
      </w:tr>
      <w:tr>
        <w:trPr>
          <w:trHeight w:val="432"/>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irrevocably appoint</w:t>
            </w:r>
          </w:p>
        </w:tc>
        <w:tc>
          <w:tcPr>
            <w:tcW w:w="1000" w:type="dxa"/>
            <w:vAlign w:val="bottom"/>
          </w:tcPr>
          <w:p>
            <w:pPr>
              <w:spacing w:after="0"/>
              <w:rPr>
                <w:sz w:val="24"/>
                <w:szCs w:val="24"/>
                <w:color w:val="auto"/>
              </w:rPr>
            </w:pPr>
          </w:p>
        </w:tc>
        <w:tc>
          <w:tcPr>
            <w:tcW w:w="80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agent to transfer this Security on the books of the Issuer. The agent may substitute another to act for him.</w:t>
            </w:r>
          </w:p>
        </w:tc>
      </w:tr>
      <w:tr>
        <w:trPr>
          <w:trHeight w:val="459"/>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w:t>
            </w:r>
          </w:p>
        </w:tc>
        <w:tc>
          <w:tcPr>
            <w:tcW w:w="1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1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Signed:</w:t>
            </w:r>
          </w:p>
        </w:tc>
      </w:tr>
      <w:tr>
        <w:trPr>
          <w:trHeight w:val="205"/>
        </w:trPr>
        <w:tc>
          <w:tcPr>
            <w:tcW w:w="600" w:type="dxa"/>
            <w:vAlign w:val="bottom"/>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47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(Signed exactly as name appears on the other side of this</w:t>
            </w:r>
          </w:p>
        </w:tc>
      </w:tr>
      <w:tr>
        <w:trPr>
          <w:trHeight w:val="234"/>
        </w:trPr>
        <w:tc>
          <w:tcPr>
            <w:tcW w:w="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Security)</w:t>
            </w:r>
          </w:p>
        </w:tc>
      </w:tr>
      <w:tr>
        <w:trPr>
          <w:trHeight w:val="459"/>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 Guarantee:</w:t>
            </w:r>
          </w:p>
        </w:tc>
        <w:tc>
          <w:tcPr>
            <w:tcW w:w="100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r>
        <w:trPr>
          <w:trHeight w:val="205"/>
        </w:trPr>
        <w:tc>
          <w:tcPr>
            <w:tcW w:w="6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8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Participant in a recognized Signature Guarantee Medallion Program (or other signature guarantor program</w:t>
            </w:r>
          </w:p>
        </w:tc>
      </w:tr>
      <w:tr>
        <w:trPr>
          <w:trHeight w:val="234"/>
        </w:trPr>
        <w:tc>
          <w:tcPr>
            <w:tcW w:w="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reasonably acceptable to the Trustee)</w:t>
            </w:r>
          </w:p>
        </w:tc>
      </w:tr>
      <w:tr>
        <w:trPr>
          <w:trHeight w:val="365"/>
        </w:trPr>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300" w:type="dxa"/>
            <w:vAlign w:val="bottom"/>
            <w:gridSpan w:val="3"/>
          </w:tcPr>
          <w:p>
            <w:pPr>
              <w:jc w:val="center"/>
              <w:ind w:left="2350"/>
              <w:spacing w:after="0"/>
              <w:rPr>
                <w:sz w:val="20"/>
                <w:szCs w:val="20"/>
                <w:color w:val="auto"/>
              </w:rPr>
            </w:pPr>
            <w:r>
              <w:rPr>
                <w:rFonts w:ascii="Times New Roman" w:cs="Times New Roman" w:eastAsia="Times New Roman" w:hAnsi="Times New Roman"/>
                <w:sz w:val="18"/>
                <w:szCs w:val="18"/>
                <w:color w:val="auto"/>
              </w:rPr>
              <w:t>7</w:t>
            </w:r>
          </w:p>
        </w:tc>
        <w:tc>
          <w:tcPr>
            <w:tcW w:w="478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NOTE DUE 2026]</w:t>
      </w:r>
    </w:p>
    <w:p>
      <w:pPr>
        <w:spacing w:after="0" w:line="22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3.15% Note Due 2026</w:t>
      </w:r>
    </w:p>
    <w:p>
      <w:pPr>
        <w:sectPr>
          <w:pgSz w:w="11900" w:h="16838" w:orient="portrait"/>
          <w:cols w:equalWidth="0" w:num="1">
            <w:col w:w="11420"/>
          </w:cols>
          <w:pgMar w:left="240" w:top="266" w:right="2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No.: 20030N BS9</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ISIN No.: US20030NBS99</w:t>
      </w:r>
    </w:p>
    <w:p>
      <w:pPr>
        <w:spacing w:after="0" w:line="21" w:lineRule="exact"/>
        <w:rPr>
          <w:sz w:val="20"/>
          <w:szCs w:val="20"/>
          <w:color w:val="auto"/>
        </w:rPr>
      </w:pPr>
    </w:p>
    <w:p>
      <w:pPr>
        <w:jc w:val="right"/>
        <w:spacing w:after="0"/>
        <w:tabs>
          <w:tab w:leader="none" w:pos="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3">
            <w:col w:w="380" w:space="180"/>
            <w:col w:w="8180" w:space="720"/>
            <w:col w:w="1960"/>
          </w:cols>
          <w:pgMar w:left="240" w:top="266" w:right="239" w:bottom="1440" w:gutter="0" w:footer="0" w:header="0"/>
          <w:type w:val="continuous"/>
        </w:sectPr>
      </w:pPr>
    </w:p>
    <w:p>
      <w:pPr>
        <w:spacing w:after="0" w:line="3" w:lineRule="exact"/>
        <w:rPr>
          <w:sz w:val="20"/>
          <w:szCs w:val="20"/>
          <w:color w:val="auto"/>
        </w:rPr>
      </w:pPr>
    </w:p>
    <w:p>
      <w:pPr>
        <w:ind w:right="120" w:firstLine="456"/>
        <w:spacing w:after="0" w:line="286" w:lineRule="auto"/>
        <w:rPr>
          <w:sz w:val="20"/>
          <w:szCs w:val="20"/>
          <w:color w:val="auto"/>
        </w:rPr>
      </w:pPr>
      <w:r>
        <w:rPr>
          <w:rFonts w:ascii="Times New Roman" w:cs="Times New Roman" w:eastAsia="Times New Roman" w:hAnsi="Times New Roman"/>
          <w:sz w:val="18"/>
          <w:szCs w:val="18"/>
          <w:color w:val="auto"/>
        </w:rPr>
        <w:t>COMCAST CORPORATION, a Pennsylvania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which term includes any successor corporation), for value received promises to pay to CEDE &amp; CO. or registered assigns, the principal sum of $[ ] ([ ] Million Dollars) on March 1, 2026.</w:t>
      </w:r>
    </w:p>
    <w:p>
      <w:pPr>
        <w:sectPr>
          <w:pgSz w:w="11900" w:h="16838" w:orient="portrait"/>
          <w:cols w:equalWidth="0" w:num="1">
            <w:col w:w="11420"/>
          </w:cols>
          <w:pgMar w:left="240" w:top="266" w:right="239" w:bottom="1440" w:gutter="0" w:footer="0" w:header="0"/>
          <w:type w:val="continuous"/>
        </w:sectPr>
      </w:pP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Payment Dates: March 1 and September 1(each,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commencing on September 1, 2016.</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Record Dates: February 15 and August 15 (each, an “</w:t>
      </w:r>
      <w:r>
        <w:rPr>
          <w:rFonts w:ascii="Times New Roman" w:cs="Times New Roman" w:eastAsia="Times New Roman" w:hAnsi="Times New Roman"/>
          <w:sz w:val="18"/>
          <w:szCs w:val="18"/>
          <w:b w:val="1"/>
          <w:bCs w:val="1"/>
          <w:color w:val="auto"/>
        </w:rPr>
        <w:t>Interest Record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Reference is made to the further provisions of this Security contained herein, which will for all purposes have the same effect as if set forth at this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66" w:right="239" w:bottom="1440" w:gutter="0" w:footer="0" w:header="0"/>
          <w:type w:val="continuous"/>
        </w:sectPr>
      </w:pPr>
    </w:p>
    <w:bookmarkStart w:id="19" w:name="page20"/>
    <w:bookmarkEnd w:id="19"/>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Issuer has caused this Security to be signed manually or by facsimile by its duly authorized officer under its corporate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3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17145</wp:posOffset>
            </wp:positionV>
            <wp:extent cx="26930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Name:  William E. Dordelman</w:t>
      </w:r>
    </w:p>
    <w:p>
      <w:pPr>
        <w:spacing w:after="0" w:line="27" w:lineRule="exact"/>
        <w:rPr>
          <w:sz w:val="20"/>
          <w:szCs w:val="20"/>
          <w:color w:val="auto"/>
        </w:rPr>
      </w:pPr>
    </w:p>
    <w:p>
      <w:pPr>
        <w:ind w:left="718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Senior Vice President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Comcast Corporation]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26587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Arthur R. Block</w:t>
      </w:r>
    </w:p>
    <w:p>
      <w:pPr>
        <w:spacing w:after="0" w:line="27" w:lineRule="exact"/>
        <w:rPr>
          <w:sz w:val="20"/>
          <w:szCs w:val="20"/>
          <w:color w:val="auto"/>
        </w:rPr>
      </w:pPr>
    </w:p>
    <w:p>
      <w:pPr>
        <w:ind w:left="38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tab/>
        <w:t>Executive Vice President, General Counsel and</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Secretary</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240" w:top="270" w:right="439"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30, 2016</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THE BANK OF NEW YORK MELLON, as Trustee</w:t>
      </w:r>
    </w:p>
    <w:p>
      <w:pPr>
        <w:spacing w:after="0" w:line="23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17145</wp:posOffset>
            </wp:positionV>
            <wp:extent cx="26327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60"/>
          </w:cols>
          <w:pgMar w:left="240" w:top="270" w:right="99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3.15% Note Due 2026</w:t>
      </w:r>
    </w:p>
    <w:p>
      <w:pPr>
        <w:spacing w:after="0" w:line="374" w:lineRule="exact"/>
        <w:rPr>
          <w:sz w:val="20"/>
          <w:szCs w:val="20"/>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w:t>
      </w:r>
    </w:p>
    <w:p>
      <w:pPr>
        <w:spacing w:after="0" w:line="113"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COMCAST CORPORATION, a Pennsylvania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February 23, 2016. The Issuer will pay interest semi-annually in arrears on each Interest Payment Date, commencing September 1, 2016. Interest will be computed on the basis of a 360-day year of twelve 30-day months.</w:t>
      </w:r>
    </w:p>
    <w:p>
      <w:pPr>
        <w:spacing w:after="0" w:line="181"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310" w:lineRule="exact"/>
        <w:rPr>
          <w:sz w:val="20"/>
          <w:szCs w:val="20"/>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 of Payment.</w:t>
      </w:r>
    </w:p>
    <w:p>
      <w:pPr>
        <w:spacing w:after="0" w:line="117"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collect principal payments. The Issuer shall pay principal and interest in money of the United States that at the time of payment is legal tender for payment of public and private debts (“</w:t>
      </w:r>
      <w:r>
        <w:rPr>
          <w:rFonts w:ascii="Times New Roman" w:cs="Times New Roman" w:eastAsia="Times New Roman" w:hAnsi="Times New Roman"/>
          <w:sz w:val="18"/>
          <w:szCs w:val="18"/>
          <w:b w:val="1"/>
          <w:bCs w:val="1"/>
          <w:color w:val="auto"/>
        </w:rPr>
        <w:t>U.S. Legal Tender</w:t>
      </w:r>
      <w:r>
        <w:rPr>
          <w:rFonts w:ascii="Times New Roman" w:cs="Times New Roman" w:eastAsia="Times New Roman" w:hAnsi="Times New Roman"/>
          <w:sz w:val="18"/>
          <w:szCs w:val="18"/>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341" w:lineRule="exact"/>
        <w:rPr>
          <w:sz w:val="20"/>
          <w:szCs w:val="20"/>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Agent.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Initially, the Trustee will act as Paying Agent. The Issuer may change any Paying Agent without notice to the Holders.</w:t>
      </w:r>
    </w:p>
    <w:p>
      <w:pPr>
        <w:sectPr>
          <w:pgSz w:w="11900" w:h="16838" w:orient="portrait"/>
          <w:cols w:equalWidth="0" w:num="1">
            <w:col w:w="11400"/>
          </w:cols>
          <w:pgMar w:left="240" w:top="270" w:right="259" w:bottom="1440" w:gutter="0" w:footer="0" w:header="0"/>
        </w:sectPr>
      </w:pPr>
    </w:p>
    <w:bookmarkStart w:id="22" w:name="page23"/>
    <w:bookmarkEnd w:id="22"/>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Indenture.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Issuer issued the Securities under an Indenture dated as of September 18, 2013, by and among the Issuer, the guarantors named therein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as amended by the First Supplemental Indenture dated as of November 17, 2015, by and among the Issuer, the guarantors named therein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and the Trustee (as amended,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Capitalized terms herein are used as defined in the Indenture unless otherwise defined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the Securities include those stated in the Indenture and those made part of the Indenture by reference to the Trust Indenture Act of 1939 (15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U.S.C. Sections 77aaa-77bbbb) (the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as in effect on the date of the Indenture until such time as the Indenture is qualified under the TIA, and thereafter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in effect on the date on which the Indenture is qualified under the TIA. Notwithstanding anything to the contrary herein, the Securities are subject to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terms, and Holders of Securities are referred to the Indenture and the TIA for a statement of them. To the extent the terms of the Indenture and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are inconsistent, the terms of the Indenture shall govern. This note is a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and the notes are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under the Indenture.</w:t>
      </w:r>
    </w:p>
    <w:p>
      <w:pPr>
        <w:spacing w:after="0" w:line="355" w:lineRule="exact"/>
        <w:rPr>
          <w:sz w:val="20"/>
          <w:szCs w:val="20"/>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w:t>
      </w:r>
    </w:p>
    <w:p>
      <w:pPr>
        <w:spacing w:after="0" w:line="117"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325" w:lineRule="exact"/>
        <w:rPr>
          <w:sz w:val="20"/>
          <w:szCs w:val="20"/>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Denominations; Transfer; Exchange.</w:t>
      </w:r>
    </w:p>
    <w:p>
      <w:pPr>
        <w:spacing w:after="0" w:line="117"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333" w:lineRule="exact"/>
        <w:rPr>
          <w:sz w:val="20"/>
          <w:szCs w:val="20"/>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Owners.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registered Holder of a Security shall be treated as the owner of it for all purposes.</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0" w:right="259" w:bottom="1440" w:gutter="0" w:footer="0" w:header="0"/>
        </w:sectPr>
      </w:pPr>
    </w:p>
    <w:bookmarkStart w:id="23" w:name="page24"/>
    <w:bookmarkEnd w:id="23"/>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Unclaimed Funds.</w:t>
      </w:r>
    </w:p>
    <w:p>
      <w:pPr>
        <w:spacing w:after="0" w:line="117"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310" w:lineRule="exact"/>
        <w:rPr>
          <w:sz w:val="20"/>
          <w:szCs w:val="20"/>
          <w:color w:val="auto"/>
        </w:rPr>
      </w:pPr>
    </w:p>
    <w:p>
      <w:pPr>
        <w:ind w:left="900" w:hanging="446"/>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Defeasance and Covenant Defeasance.</w:t>
      </w:r>
    </w:p>
    <w:p>
      <w:pPr>
        <w:spacing w:after="0" w:line="117"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325" w:lineRule="exact"/>
        <w:rPr>
          <w:sz w:val="20"/>
          <w:szCs w:val="20"/>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Supplement; Waiver.</w:t>
      </w:r>
    </w:p>
    <w:p>
      <w:pPr>
        <w:spacing w:after="0" w:line="11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338" w:lineRule="exact"/>
        <w:rPr>
          <w:sz w:val="20"/>
          <w:szCs w:val="20"/>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w:t>
      </w:r>
    </w:p>
    <w:p>
      <w:pPr>
        <w:spacing w:after="0" w:line="117"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325" w:lineRule="exact"/>
        <w:rPr>
          <w:sz w:val="20"/>
          <w:szCs w:val="20"/>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w:t>
      </w:r>
    </w:p>
    <w:p>
      <w:pPr>
        <w:spacing w:after="0" w:line="117"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Securities, at the applicable Redemption Price.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0" w:right="259" w:bottom="1440" w:gutter="0" w:footer="0" w:header="0"/>
        </w:sectPr>
      </w:pPr>
    </w:p>
    <w:bookmarkStart w:id="24" w:name="page25"/>
    <w:bookmarkEnd w:id="24"/>
    <w:p>
      <w:pPr>
        <w:ind w:right="60" w:firstLine="456"/>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means (a) at any time prior to December 1, 2025 (three months prior to the maturity of the Securities), the greater of (i) 100% of the principal amount of such Securities and (ii) the sum of the present values of the principal amount of such Securities and the scheduled payments of interest thereon (exclusive of interest accrued to the date of redemption) from the redemption date to December 1, 2025, in each case discounted to the redemption date on a semiannual basis (assuming a 360-day year consisting of twelve 30-day months) at the Treasury Rate plus 25 basis points and (b) if the Securities are redeemed on or after December 1, 2025 (three months prior to the maturity of the Securities) 100% of the principal amount of such Securities; plus, in each case, accrued and unpaid interest thereon to the date of redemption.</w:t>
      </w:r>
    </w:p>
    <w:p>
      <w:pPr>
        <w:spacing w:after="0" w:line="183" w:lineRule="exact"/>
        <w:rPr>
          <w:sz w:val="20"/>
          <w:szCs w:val="20"/>
          <w:color w:val="auto"/>
        </w:rPr>
      </w:pPr>
    </w:p>
    <w:p>
      <w:pPr>
        <w:ind w:right="140" w:firstLine="45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Rate</w:t>
      </w:r>
      <w:r>
        <w:rPr>
          <w:rFonts w:ascii="Times New Roman" w:cs="Times New Roman" w:eastAsia="Times New Roman" w:hAnsi="Times New Roman"/>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1"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Treasury Issue</w:t>
      </w:r>
      <w:r>
        <w:rPr>
          <w:rFonts w:ascii="Times New Roman" w:cs="Times New Roman" w:eastAsia="Times New Roman" w:hAnsi="Times New Roman"/>
          <w:sz w:val="18"/>
          <w:szCs w:val="18"/>
          <w:color w:val="auto"/>
        </w:rPr>
        <w:t>” means the United States Treasury security or securities selected by an Independent Investment Banker as having an actual or interpolated maturity comparable to the remaining term of the Securities to be redeemed that would be utilized, at the time of selection and in accordance with customary financial practice, in pricing new issues of corporate debt securities of a comparable maturity to the remaining term of such Securities.</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Investment Banker</w:t>
      </w:r>
      <w:r>
        <w:rPr>
          <w:rFonts w:ascii="Times New Roman" w:cs="Times New Roman" w:eastAsia="Times New Roman" w:hAnsi="Times New Roman"/>
          <w:sz w:val="18"/>
          <w:szCs w:val="18"/>
          <w:color w:val="auto"/>
        </w:rPr>
        <w:t>” means one of the Reference Treasury Dealers appointed by the Issuer.</w:t>
      </w:r>
    </w:p>
    <w:p>
      <w:pPr>
        <w:spacing w:after="0" w:line="225"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Treasury Price</w:t>
      </w:r>
      <w:r>
        <w:rPr>
          <w:rFonts w:ascii="Times New Roman" w:cs="Times New Roman" w:eastAsia="Times New Roman" w:hAnsi="Times New Roman"/>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1"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Treasury Dealer</w:t>
      </w:r>
      <w:r>
        <w:rPr>
          <w:rFonts w:ascii="Times New Roman" w:cs="Times New Roman" w:eastAsia="Times New Roman" w:hAnsi="Times New Roman"/>
          <w:sz w:val="18"/>
          <w:szCs w:val="18"/>
          <w:color w:val="auto"/>
        </w:rPr>
        <w:t xml:space="preserve">” means each of Merrill Lynch, Pierce, Fenner &amp; Smith Incorporated, RBC Capital Markets, LLC and Wells Fargo Securities, LLC, or their affiliates which are primary United States Government Securities dealers, and their respective successors;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of the foregoing shall cease to be a primary United States government securities dealer in the United States (a “</w:t>
      </w:r>
      <w:r>
        <w:rPr>
          <w:rFonts w:ascii="Times New Roman" w:cs="Times New Roman" w:eastAsia="Times New Roman" w:hAnsi="Times New Roman"/>
          <w:sz w:val="18"/>
          <w:szCs w:val="18"/>
          <w:b w:val="1"/>
          <w:bCs w:val="1"/>
          <w:color w:val="auto"/>
        </w:rPr>
        <w:t>Primary Treasury Dealer</w:t>
      </w:r>
      <w:r>
        <w:rPr>
          <w:rFonts w:ascii="Times New Roman" w:cs="Times New Roman" w:eastAsia="Times New Roman" w:hAnsi="Times New Roman"/>
          <w:sz w:val="18"/>
          <w:szCs w:val="18"/>
          <w:color w:val="auto"/>
        </w:rPr>
        <w:t>”), the Issuer will substitute therefor another Primary Treasury Dealer.</w:t>
      </w:r>
    </w:p>
    <w:p>
      <w:pPr>
        <w:spacing w:after="0" w:line="177"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Treasury Dealer Quotation</w:t>
      </w:r>
      <w:r>
        <w:rPr>
          <w:rFonts w:ascii="Times New Roman" w:cs="Times New Roman" w:eastAsia="Times New Roman" w:hAnsi="Times New Roman"/>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40" w:top="266" w:right="299" w:bottom="1440" w:gutter="0" w:footer="0" w:header="0"/>
        </w:sectPr>
      </w:pPr>
    </w:p>
    <w:bookmarkStart w:id="25" w:name="page26"/>
    <w:bookmarkEnd w:id="25"/>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336" w:lineRule="exact"/>
        <w:rPr>
          <w:sz w:val="20"/>
          <w:szCs w:val="20"/>
          <w:color w:val="auto"/>
        </w:rPr>
      </w:pPr>
    </w:p>
    <w:p>
      <w:pPr>
        <w:ind w:left="900" w:hanging="446"/>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and Remedies.</w:t>
      </w:r>
    </w:p>
    <w:p>
      <w:pPr>
        <w:spacing w:after="0" w:line="11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338" w:lineRule="exact"/>
        <w:rPr>
          <w:sz w:val="20"/>
          <w:szCs w:val="20"/>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Dealings with Issuer.</w:t>
      </w:r>
    </w:p>
    <w:p>
      <w:pPr>
        <w:spacing w:after="0" w:line="117"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 Trustee under the Indenture, in its individual or any other capacity, may become the owner or pledgee of Securities and may otherwise deal with the Issuer as if it were not the Trustee.</w:t>
      </w:r>
    </w:p>
    <w:p>
      <w:pPr>
        <w:spacing w:after="0" w:line="310" w:lineRule="exact"/>
        <w:rPr>
          <w:sz w:val="20"/>
          <w:szCs w:val="20"/>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Recourse Against Others.</w:t>
      </w:r>
    </w:p>
    <w:p>
      <w:pPr>
        <w:spacing w:after="0" w:line="117"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70" w:right="259" w:bottom="1440" w:gutter="0" w:footer="0" w:header="0"/>
        </w:sectPr>
      </w:pPr>
    </w:p>
    <w:bookmarkStart w:id="26" w:name="page27"/>
    <w:bookmarkEnd w:id="26"/>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Authentication.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Security shall not be valid until the Trustee manually signs the certificate of authentication on this Security.</w:t>
      </w:r>
    </w:p>
    <w:p>
      <w:pPr>
        <w:spacing w:after="0" w:line="374" w:lineRule="exact"/>
        <w:rPr>
          <w:sz w:val="20"/>
          <w:szCs w:val="20"/>
          <w:color w:val="auto"/>
        </w:rPr>
      </w:pPr>
    </w:p>
    <w:p>
      <w:pPr>
        <w:ind w:left="900" w:hanging="446"/>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Abbreviations and Defined Terms.</w:t>
      </w:r>
    </w:p>
    <w:p>
      <w:pPr>
        <w:spacing w:after="0" w:line="117"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325" w:lineRule="exact"/>
        <w:rPr>
          <w:sz w:val="20"/>
          <w:szCs w:val="20"/>
          <w:color w:val="auto"/>
        </w:rPr>
      </w:pPr>
    </w:p>
    <w:p>
      <w:pPr>
        <w:ind w:left="900" w:hanging="446"/>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Numbers.</w:t>
      </w:r>
    </w:p>
    <w:p>
      <w:pPr>
        <w:spacing w:after="0" w:line="117"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325" w:lineRule="exact"/>
        <w:rPr>
          <w:sz w:val="20"/>
          <w:szCs w:val="20"/>
          <w:color w:val="auto"/>
        </w:rPr>
      </w:pPr>
    </w:p>
    <w:p>
      <w:pPr>
        <w:ind w:left="900" w:hanging="446"/>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laws of the State of New York shall govern the Indenture and this Security thereof.</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60"/>
          </w:cols>
          <w:pgMar w:left="240" w:top="270" w:right="29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80" w:type="dxa"/>
            <w:vAlign w:val="bottom"/>
            <w:gridSpan w:val="4"/>
          </w:tcPr>
          <w:p>
            <w:pPr>
              <w:jc w:val="center"/>
              <w:ind w:right="2230"/>
              <w:spacing w:after="0"/>
              <w:rPr>
                <w:sz w:val="20"/>
                <w:szCs w:val="20"/>
                <w:color w:val="auto"/>
              </w:rPr>
            </w:pPr>
            <w:r>
              <w:rPr>
                <w:rFonts w:ascii="Times New Roman" w:cs="Times New Roman" w:eastAsia="Times New Roman" w:hAnsi="Times New Roman"/>
                <w:sz w:val="18"/>
                <w:szCs w:val="18"/>
                <w:color w:val="auto"/>
              </w:rPr>
              <w:t>(Print or type name, address and zip code of assignee or transferee)</w:t>
            </w:r>
          </w:p>
        </w:tc>
      </w:tr>
      <w:tr>
        <w:trPr>
          <w:trHeight w:val="500"/>
        </w:trPr>
        <w:tc>
          <w:tcPr>
            <w:tcW w:w="6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r>
        <w:trPr>
          <w:trHeight w:val="237"/>
        </w:trPr>
        <w:tc>
          <w:tcPr>
            <w:tcW w:w="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80" w:type="dxa"/>
            <w:vAlign w:val="bottom"/>
            <w:gridSpan w:val="4"/>
          </w:tcPr>
          <w:p>
            <w:pPr>
              <w:jc w:val="center"/>
              <w:ind w:right="2250"/>
              <w:spacing w:after="0"/>
              <w:rPr>
                <w:sz w:val="20"/>
                <w:szCs w:val="20"/>
                <w:color w:val="auto"/>
              </w:rPr>
            </w:pPr>
            <w:r>
              <w:rPr>
                <w:rFonts w:ascii="Times New Roman" w:cs="Times New Roman" w:eastAsia="Times New Roman" w:hAnsi="Times New Roman"/>
                <w:sz w:val="18"/>
                <w:szCs w:val="18"/>
                <w:color w:val="auto"/>
                <w:w w:val="99"/>
              </w:rPr>
              <w:t>(Insert Social Security or other identifying number of assignee or transferee)</w:t>
            </w:r>
          </w:p>
        </w:tc>
      </w:tr>
      <w:tr>
        <w:trPr>
          <w:trHeight w:val="432"/>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irrevocably appoint</w:t>
            </w:r>
          </w:p>
        </w:tc>
        <w:tc>
          <w:tcPr>
            <w:tcW w:w="1000" w:type="dxa"/>
            <w:vAlign w:val="bottom"/>
          </w:tcPr>
          <w:p>
            <w:pPr>
              <w:spacing w:after="0"/>
              <w:rPr>
                <w:sz w:val="24"/>
                <w:szCs w:val="24"/>
                <w:color w:val="auto"/>
              </w:rPr>
            </w:pPr>
          </w:p>
        </w:tc>
        <w:tc>
          <w:tcPr>
            <w:tcW w:w="80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agent to transfer this Security on the books of the Issuer. The agent may substitute another to act for him.</w:t>
            </w:r>
          </w:p>
        </w:tc>
      </w:tr>
      <w:tr>
        <w:trPr>
          <w:trHeight w:val="459"/>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w:t>
            </w:r>
          </w:p>
        </w:tc>
        <w:tc>
          <w:tcPr>
            <w:tcW w:w="1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1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Signed:</w:t>
            </w:r>
          </w:p>
        </w:tc>
      </w:tr>
      <w:tr>
        <w:trPr>
          <w:trHeight w:val="205"/>
        </w:trPr>
        <w:tc>
          <w:tcPr>
            <w:tcW w:w="600" w:type="dxa"/>
            <w:vAlign w:val="bottom"/>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47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(Signed exactly as name appears on the other side of this</w:t>
            </w:r>
          </w:p>
        </w:tc>
      </w:tr>
      <w:tr>
        <w:trPr>
          <w:trHeight w:val="234"/>
        </w:trPr>
        <w:tc>
          <w:tcPr>
            <w:tcW w:w="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Security)</w:t>
            </w:r>
          </w:p>
        </w:tc>
      </w:tr>
      <w:tr>
        <w:trPr>
          <w:trHeight w:val="459"/>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 Guarantee:</w:t>
            </w:r>
          </w:p>
        </w:tc>
        <w:tc>
          <w:tcPr>
            <w:tcW w:w="100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r>
        <w:trPr>
          <w:trHeight w:val="205"/>
        </w:trPr>
        <w:tc>
          <w:tcPr>
            <w:tcW w:w="6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8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Participant in a recognized Signature Guarantee Medallion Program (or other signature guarantor program</w:t>
            </w:r>
          </w:p>
        </w:tc>
      </w:tr>
      <w:tr>
        <w:trPr>
          <w:trHeight w:val="234"/>
        </w:trPr>
        <w:tc>
          <w:tcPr>
            <w:tcW w:w="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reasonably acceptable to the Trustee)</w:t>
            </w:r>
          </w:p>
        </w:tc>
      </w:tr>
      <w:tr>
        <w:trPr>
          <w:trHeight w:val="365"/>
        </w:trPr>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300" w:type="dxa"/>
            <w:vAlign w:val="bottom"/>
            <w:gridSpan w:val="3"/>
          </w:tcPr>
          <w:p>
            <w:pPr>
              <w:jc w:val="center"/>
              <w:ind w:left="2350"/>
              <w:spacing w:after="0"/>
              <w:rPr>
                <w:sz w:val="20"/>
                <w:szCs w:val="20"/>
                <w:color w:val="auto"/>
              </w:rPr>
            </w:pPr>
            <w:r>
              <w:rPr>
                <w:rFonts w:ascii="Times New Roman" w:cs="Times New Roman" w:eastAsia="Times New Roman" w:hAnsi="Times New Roman"/>
                <w:sz w:val="18"/>
                <w:szCs w:val="18"/>
                <w:color w:val="auto"/>
              </w:rPr>
              <w:t>7</w:t>
            </w:r>
          </w:p>
        </w:tc>
        <w:tc>
          <w:tcPr>
            <w:tcW w:w="478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5.1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[LETTERHEAD OF COMCAST CORPORATION]</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30,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 19103-2838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I am Executive Vice President, General Counsel and Secretary of Comcast Corporation, a Pennsylvania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have acted for the Company in connection with the issuance by the Company, pursuant to the Underwriting Agreement dated March 22, 2016 (the “</w:t>
      </w:r>
      <w:r>
        <w:rPr>
          <w:rFonts w:ascii="Times New Roman" w:cs="Times New Roman" w:eastAsia="Times New Roman" w:hAnsi="Times New Roman"/>
          <w:sz w:val="18"/>
          <w:szCs w:val="18"/>
          <w:b w:val="1"/>
          <w:bCs w:val="1"/>
          <w:color w:val="auto"/>
        </w:rPr>
        <w:t>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among the Company, the Guarantors (as defined below) and Merrill Lynch, Pierce, Fenner &amp; Smith Incorporated, RBC Capital Markets,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Wells Fargo Securities, LLC, as representatives of the several underwriters named therein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of $350,000,000 aggregate principal amount of its 2.75% Notes due 2023 and $700,000,000 aggregate principal amount of its 3.15% Notes due 2026 (collectively,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The Notes are to be issued pursuant to the provisions of the Indenture dated as of September 18, 2013, as amended by the First Supplemental Indenture thereto dated as of November 17, 2015, by and among the Company, the guarantors named therein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xml:space="preserve">”) and The Bank of New York Mellon,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and guaranteed on an unsecured and unsubordinated basis by the Guarantors. The 2023 Notes will be a further issuance of and form a single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series with the existing 2.75% Notes Due 2023 issued by the Company on February 23, 2016. The 2026 Notes will be a further issuance of and form a single series with the existing 3.15% Notes Due 2026 issued by the Company on February 23, 2016.</w:t>
      </w:r>
    </w:p>
    <w:p>
      <w:pPr>
        <w:spacing w:after="0" w:line="190"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ectPr>
          <w:pgSz w:w="11900" w:h="16838" w:orient="portrait"/>
          <w:cols w:equalWidth="0" w:num="1">
            <w:col w:w="11420"/>
          </w:cols>
          <w:pgMar w:left="240" w:top="117" w:right="239" w:bottom="1440" w:gutter="0" w:footer="0" w:header="0"/>
        </w:sectPr>
      </w:pPr>
    </w:p>
    <w:bookmarkStart w:id="29" w:name="page30"/>
    <w:bookmarkEnd w:id="29"/>
    <w:p>
      <w:pPr>
        <w:spacing w:after="0"/>
        <w:tabs>
          <w:tab w:leader="none" w:pos="5900" w:val="left"/>
          <w:tab w:leader="none" w:pos="102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March 30, 2016</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Based upon the foregoing, I am of the opinion that:</w:t>
      </w:r>
    </w:p>
    <w:p>
      <w:pPr>
        <w:spacing w:after="0" w:line="225" w:lineRule="exact"/>
        <w:rPr>
          <w:sz w:val="20"/>
          <w:szCs w:val="20"/>
          <w:color w:val="auto"/>
        </w:rPr>
      </w:pPr>
    </w:p>
    <w:p>
      <w:pPr>
        <w:ind w:left="640" w:hanging="17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have been duly authorized by the Company.</w:t>
      </w:r>
    </w:p>
    <w:p>
      <w:pPr>
        <w:spacing w:after="0" w:line="225" w:lineRule="exact"/>
        <w:rPr>
          <w:sz w:val="20"/>
          <w:szCs w:val="20"/>
          <w:color w:val="auto"/>
        </w:rPr>
      </w:pPr>
    </w:p>
    <w:p>
      <w:pPr>
        <w:ind w:right="940" w:firstLine="456"/>
        <w:spacing w:after="0" w:line="282" w:lineRule="auto"/>
        <w:rPr>
          <w:sz w:val="20"/>
          <w:szCs w:val="20"/>
          <w:color w:val="auto"/>
        </w:rPr>
      </w:pPr>
      <w:r>
        <w:rPr>
          <w:rFonts w:ascii="Times New Roman" w:cs="Times New Roman" w:eastAsia="Times New Roman" w:hAnsi="Times New Roman"/>
          <w:sz w:val="18"/>
          <w:szCs w:val="18"/>
          <w:color w:val="auto"/>
        </w:rPr>
        <w:t>I am a member of the Bar of the Commonwealth of Pennsylvania and the foregoing opinion is limited to the laws of the Commonwealth of Pennsylvania and the federal laws of the United States of America.</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 hereby consent to the filing of this opinion as an exhibit to a report on Form 8-K filed by the Company on the date hereof and its incorporation by reference into the Company’s registration statement on Form S-3 filed on September 18, 2013, as amended as of the date of the Underwriting Agreement (File No. 333-191239). In addition, I consent to the reference to my name under the caption “Legal Matters” in the prospectus, which is a part of the registration statement. In giving this consent, I do not admit that I am in the category of persons whose consent is required under Section 7 of the Securities Act of 1933, as amended.</w:t>
      </w:r>
    </w:p>
    <w:p>
      <w:pPr>
        <w:spacing w:after="0" w:line="21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Arthur R. Block</w:t>
      </w:r>
    </w:p>
    <w:p>
      <w:pPr>
        <w:spacing w:after="0" w:line="11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Arthur R. Block</w:t>
      </w:r>
    </w:p>
    <w:p>
      <w:pPr>
        <w:sectPr>
          <w:pgSz w:w="11900" w:h="16838" w:orient="portrait"/>
          <w:cols w:equalWidth="0" w:num="1">
            <w:col w:w="11420"/>
          </w:cols>
          <w:pgMar w:left="240" w:top="270" w:right="2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5.2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[LETTERHEAD OF DAVIS POLK &amp; WARDWELL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 19103-2838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acted as counsel to Comcast Corporation, a Pennsylvania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issuance by the Company, pursuant to the Underwriting Agreement dated March 22, 2016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among the Company, the Guarantors (as defined below) and Merrill Lynch, Pierce, Fenner &amp; Smith Incorporated, RBC Capital Markets, LLC and Wells Fargo Securities, LLC, as representatives of the several underwriters named therein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of $350,000,000 aggregate principal amount of its 2.75% Notes due 2023 and $700,000,000 aggregate principal amount of its 3.15% Notes due 2026 (collectively,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The Notes are to be issued pursuant to the provisions of the Indenture dated as of September 18, 2013, as amended by the First Supplemental Indenture thereto dated as of November 17, 2015, by and among the Company, the guarantors named therein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xml:space="preserve">”) and The Bank of New York Mellon,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and guaranteed (the “</w:t>
      </w:r>
      <w:r>
        <w:rPr>
          <w:rFonts w:ascii="Times New Roman" w:cs="Times New Roman" w:eastAsia="Times New Roman" w:hAnsi="Times New Roman"/>
          <w:sz w:val="18"/>
          <w:szCs w:val="18"/>
          <w:b w:val="1"/>
          <w:bCs w:val="1"/>
          <w:color w:val="auto"/>
        </w:rPr>
        <w:t>Guarantees</w:t>
      </w:r>
      <w:r>
        <w:rPr>
          <w:rFonts w:ascii="Times New Roman" w:cs="Times New Roman" w:eastAsia="Times New Roman" w:hAnsi="Times New Roman"/>
          <w:sz w:val="18"/>
          <w:szCs w:val="18"/>
          <w:color w:val="auto"/>
        </w:rPr>
        <w:t>”) on an unsecured and unsubordinated basis by the Guarantors. The 2023 Notes will be a further issuance of and form a single series with the existing 2.75% Notes Due 2023 issued by the Company on February 23, 2016. The 2026 Notes will be a further issuance of and form a single series with the existing 3.15% Notes Due 2026 issued by the Company on February 23, 2016.</w:t>
      </w:r>
    </w:p>
    <w:p>
      <w:pPr>
        <w:spacing w:after="0" w:line="19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and the Guarantors that we reviewed were and are accurate and (vi) all representations made by the Company and the Guarantors as to matters of fact in the documents that we reviewed were and are 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foregoing, and subject to the additional assumptions and qualifications set forth below, we advise you that, in our opinion:</w:t>
      </w:r>
    </w:p>
    <w:p>
      <w:pPr>
        <w:spacing w:after="0" w:line="225" w:lineRule="exact"/>
        <w:rPr>
          <w:sz w:val="20"/>
          <w:szCs w:val="20"/>
          <w:color w:val="auto"/>
        </w:rPr>
      </w:pPr>
    </w:p>
    <w:p>
      <w:pPr>
        <w:ind w:right="40" w:firstLine="8"/>
        <w:spacing w:after="0" w:line="282" w:lineRule="auto"/>
        <w:tabs>
          <w:tab w:leader="none" w:pos="2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Indenture has been duly authorized, executed and delivered by the Trustee and the Company, the Indenture is a valid and binding agreement of the Company and the Guarantors, enforceable</w:t>
      </w:r>
    </w:p>
    <w:p>
      <w:pPr>
        <w:sectPr>
          <w:pgSz w:w="11900" w:h="16838" w:orient="portrait"/>
          <w:cols w:equalWidth="0" w:num="1">
            <w:col w:w="11420"/>
          </w:cols>
          <w:pgMar w:left="240" w:top="117" w:right="239" w:bottom="1440" w:gutter="0" w:footer="0" w:header="0"/>
        </w:sectPr>
      </w:pPr>
    </w:p>
    <w:bookmarkStart w:id="31" w:name="page32"/>
    <w:bookmarkEnd w:id="31"/>
    <w:p>
      <w:pPr>
        <w:spacing w:after="0"/>
        <w:tabs>
          <w:tab w:leader="none" w:pos="5900" w:val="left"/>
          <w:tab w:leader="none" w:pos="102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March 30, 2016</w:t>
      </w:r>
    </w:p>
    <w:p>
      <w:pPr>
        <w:spacing w:after="0" w:line="15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against the Company and the Guarantors in accordance with its terms, subject to applicable bankruptcy, insolvency and similar laws affecting creditors’ rights generally, concepts of reasonableness and equitable principles of general applicability, provided that we express no opinion as to (i) the effect of fraudulent conveyance, fraudulent transfer or similar provision of applicable law on the conclusions expressed above, (ii) any provision of the Indenture that purports to avoid the effect of fraudulent conveyance, fraudulent transfer or similar provision of applicable law by limiting the amount of any Guarantor’s obligation or</w:t>
      </w:r>
    </w:p>
    <w:p>
      <w:pPr>
        <w:spacing w:after="0" w:line="3" w:lineRule="exact"/>
        <w:rPr>
          <w:sz w:val="20"/>
          <w:szCs w:val="20"/>
          <w:color w:val="auto"/>
        </w:rPr>
      </w:pPr>
    </w:p>
    <w:p>
      <w:pPr>
        <w:ind w:right="820" w:firstLine="8"/>
        <w:spacing w:after="0" w:line="261" w:lineRule="auto"/>
        <w:tabs>
          <w:tab w:leader="none" w:pos="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legally binding effect or enforceability of any provision that permits holders to collect any portion of stated principal amount upon acceleration of the Notes to the extent determined to constitute unearned interest.</w:t>
      </w:r>
    </w:p>
    <w:p>
      <w:pPr>
        <w:spacing w:after="0" w:line="180" w:lineRule="exact"/>
        <w:rPr>
          <w:sz w:val="20"/>
          <w:szCs w:val="20"/>
          <w:color w:val="auto"/>
        </w:rPr>
      </w:pPr>
    </w:p>
    <w:p>
      <w:pPr>
        <w:ind w:right="40" w:firstLine="8"/>
        <w:spacing w:after="0" w:line="255"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Guarantees have been duly authorized, and, assuming the Notes have been duly authorized by the Company, when the Notes have been duly executed and authenticated in accordance with the provisions of the Indenture and delivered to and paid for by the Underwriters in accordance with the terms of the Underwriting Agreement, the Notes will be valid and binding obligations of the Company and the Guarantees will be valid and binding obligations of the Guarantors, in each case enforceable against the Company and the Guarantors, respectively, in accordance with their terms, subject to applicable bankruptcy, insolvency and similar laws affecting creditors’ rights generally, concepts of reasonableness and equitable principles of general applicability, and will be entitled to the benefits of the Indenture, provided that we express no opinion as to (i) the effect of fraudulent conveyance, fraudulent transfer or similar provision of applicable law on the conclusions expressed above or (ii) the validity, legally binding effect or enforceability of any provision that permits holders to collect any portion of stated principal amount upon acceleration of the Notes to the extent determined to constitute unearned interest.</w:t>
      </w:r>
    </w:p>
    <w:p>
      <w:pPr>
        <w:spacing w:after="0" w:line="18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connection with the opinions expressed above, we have assumed that the Company is validly existing as a corporation in good standing under the laws of the State of Pennsylvania. In addition, we have assumed that the Indenture and the Notes (collectively,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are valid, binding and enforceable agreements of each party thereto (other than as expressly covered above in respect of the Company and the Guarantors). We have also assumed that the execution, delivery and performance by each party to each Document to which it is a party (a) are within its corporate powers, (b) do not contravene, or constitute a default under, the certificate of incorporation or bylaws, limited liability company operating agreement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 and each Guarantor.</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members of the Bar of the States of New York and California and the foregoing opinion is limited to the laws of the State of New York and the General Corporation and Limited Liability Company laws of the State of Delaware, except that we express no opinion as to any law, rule or regulation that is applicable to the Company or the Guarantors, the Documents or such transactions solely because such law, rule or regulation is part of a regulatory regime applicable to any party to any of the Documents or any of its affiliates due to the specific assets or business of such party or such affiliate.</w:t>
      </w:r>
    </w:p>
    <w:p>
      <w:pPr>
        <w:sectPr>
          <w:pgSz w:w="11900" w:h="16838" w:orient="portrait"/>
          <w:cols w:equalWidth="0" w:num="1">
            <w:col w:w="11420"/>
          </w:cols>
          <w:pgMar w:left="240" w:top="270" w:right="239" w:bottom="1440" w:gutter="0" w:footer="0" w:header="0"/>
        </w:sectPr>
      </w:pPr>
    </w:p>
    <w:bookmarkStart w:id="32" w:name="page33"/>
    <w:bookmarkEnd w:id="32"/>
    <w:p>
      <w:pPr>
        <w:spacing w:after="0"/>
        <w:tabs>
          <w:tab w:leader="none" w:pos="5900" w:val="left"/>
          <w:tab w:leader="none" w:pos="102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March 30, 2016</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a report on Form 8-K filed by the Company on the date hereof and its incorporation by reference into the Company’s registration statement on Form S-3 filed on September 18, 2013, as amended as of the date of the Underwriting Agreement (File No. 333-191239). In addition, we consent to the reference to our name under the caption “Legal Matters” in the prospectus, which is a part of the registration statement. In giving this consent, we do not admit that we are in the category of persons whose consent is required under Section 7 of the Securities Act of 1933, as amended.</w:t>
      </w:r>
    </w:p>
    <w:p>
      <w:pPr>
        <w:spacing w:after="0" w:line="21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Davis Polk &amp; Wardwell LLP</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decimal"/>
      <w:start w:val="2"/>
    </w:lvl>
  </w:abstractNum>
  <w:abstractNum w:abstractNumId="3">
    <w:nsid w:val="6763845E"/>
    <w:multiLevelType w:val="hybridMultilevel"/>
    <w:lvl w:ilvl="0">
      <w:lvlJc w:val="left"/>
      <w:lvlText w:val="%1."/>
      <w:numFmt w:val="decimal"/>
      <w:start w:val="3"/>
    </w:lvl>
  </w:abstractNum>
  <w:abstractNum w:abstractNumId="4">
    <w:nsid w:val="75A2A8D4"/>
    <w:multiLevelType w:val="hybridMultilevel"/>
    <w:lvl w:ilvl="0">
      <w:lvlJc w:val="left"/>
      <w:lvlText w:val="%1."/>
      <w:numFmt w:val="decimal"/>
      <w:start w:val="4"/>
    </w:lvl>
  </w:abstractNum>
  <w:abstractNum w:abstractNumId="5">
    <w:nsid w:val="8EDBDAB"/>
    <w:multiLevelType w:val="hybridMultilevel"/>
    <w:lvl w:ilvl="0">
      <w:lvlJc w:val="left"/>
      <w:lvlText w:val="%1."/>
      <w:numFmt w:val="decimal"/>
      <w:start w:val="5"/>
    </w:lvl>
  </w:abstractNum>
  <w:abstractNum w:abstractNumId="6">
    <w:nsid w:val="79838CB2"/>
    <w:multiLevelType w:val="hybridMultilevel"/>
    <w:lvl w:ilvl="0">
      <w:lvlJc w:val="left"/>
      <w:lvlText w:val="%1."/>
      <w:numFmt w:val="decimal"/>
      <w:start w:val="6"/>
    </w:lvl>
  </w:abstractNum>
  <w:abstractNum w:abstractNumId="7">
    <w:nsid w:val="4353D0CD"/>
    <w:multiLevelType w:val="hybridMultilevel"/>
    <w:lvl w:ilvl="0">
      <w:lvlJc w:val="left"/>
      <w:lvlText w:val="%1."/>
      <w:numFmt w:val="decimal"/>
      <w:start w:val="7"/>
    </w:lvl>
  </w:abstractNum>
  <w:abstractNum w:abstractNumId="8">
    <w:nsid w:val="B03E0C6"/>
    <w:multiLevelType w:val="hybridMultilevel"/>
    <w:lvl w:ilvl="0">
      <w:lvlJc w:val="left"/>
      <w:lvlText w:val="%1."/>
      <w:numFmt w:val="decimal"/>
      <w:start w:val="8"/>
    </w:lvl>
  </w:abstractNum>
  <w:abstractNum w:abstractNumId="9">
    <w:nsid w:val="189A769B"/>
    <w:multiLevelType w:val="hybridMultilevel"/>
    <w:lvl w:ilvl="0">
      <w:lvlJc w:val="left"/>
      <w:lvlText w:val="%1."/>
      <w:numFmt w:val="decimal"/>
      <w:start w:val="9"/>
    </w:lvl>
  </w:abstractNum>
  <w:abstractNum w:abstractNumId="10">
    <w:nsid w:val="54E49EB4"/>
    <w:multiLevelType w:val="hybridMultilevel"/>
    <w:lvl w:ilvl="0">
      <w:lvlJc w:val="left"/>
      <w:lvlText w:val="%1."/>
      <w:numFmt w:val="decimal"/>
      <w:start w:val="10"/>
    </w:lvl>
  </w:abstractNum>
  <w:abstractNum w:abstractNumId="11">
    <w:nsid w:val="71F32454"/>
    <w:multiLevelType w:val="hybridMultilevel"/>
    <w:lvl w:ilvl="0">
      <w:lvlJc w:val="left"/>
      <w:lvlText w:val="%1."/>
      <w:numFmt w:val="decimal"/>
      <w:start w:val="11"/>
    </w:lvl>
  </w:abstractNum>
  <w:abstractNum w:abstractNumId="12">
    <w:nsid w:val="2CA88611"/>
    <w:multiLevelType w:val="hybridMultilevel"/>
    <w:lvl w:ilvl="0">
      <w:lvlJc w:val="left"/>
      <w:lvlText w:val="%1."/>
      <w:numFmt w:val="decimal"/>
      <w:start w:val="12"/>
    </w:lvl>
  </w:abstractNum>
  <w:abstractNum w:abstractNumId="13">
    <w:nsid w:val="836C40E"/>
    <w:multiLevelType w:val="hybridMultilevel"/>
    <w:lvl w:ilvl="0">
      <w:lvlJc w:val="left"/>
      <w:lvlText w:val="%1."/>
      <w:numFmt w:val="decimal"/>
      <w:start w:val="13"/>
    </w:lvl>
  </w:abstractNum>
  <w:abstractNum w:abstractNumId="14">
    <w:nsid w:val="2901D82"/>
    <w:multiLevelType w:val="hybridMultilevel"/>
    <w:lvl w:ilvl="0">
      <w:lvlJc w:val="left"/>
      <w:lvlText w:val="%1."/>
      <w:numFmt w:val="decimal"/>
      <w:start w:val="14"/>
    </w:lvl>
  </w:abstractNum>
  <w:abstractNum w:abstractNumId="15">
    <w:nsid w:val="3A95F874"/>
    <w:multiLevelType w:val="hybridMultilevel"/>
    <w:lvl w:ilvl="0">
      <w:lvlJc w:val="left"/>
      <w:lvlText w:val="%1."/>
      <w:numFmt w:val="decimal"/>
      <w:start w:val="15"/>
    </w:lvl>
  </w:abstractNum>
  <w:abstractNum w:abstractNumId="16">
    <w:nsid w:val="8138641"/>
    <w:multiLevelType w:val="hybridMultilevel"/>
    <w:lvl w:ilvl="0">
      <w:lvlJc w:val="left"/>
      <w:lvlText w:val="%1."/>
      <w:numFmt w:val="decimal"/>
      <w:start w:val="16"/>
    </w:lvl>
  </w:abstractNum>
  <w:abstractNum w:abstractNumId="17">
    <w:nsid w:val="1E7FF521"/>
    <w:multiLevelType w:val="hybridMultilevel"/>
    <w:lvl w:ilvl="0">
      <w:lvlJc w:val="left"/>
      <w:lvlText w:val="%1."/>
      <w:numFmt w:val="decimal"/>
      <w:start w:val="17"/>
    </w:lvl>
  </w:abstractNum>
  <w:abstractNum w:abstractNumId="18">
    <w:nsid w:val="7C3DBD3D"/>
    <w:multiLevelType w:val="hybridMultilevel"/>
    <w:lvl w:ilvl="0">
      <w:lvlJc w:val="left"/>
      <w:lvlText w:val="%1."/>
      <w:numFmt w:val="decimal"/>
      <w:start w:val="18"/>
    </w:lvl>
  </w:abstractNum>
  <w:abstractNum w:abstractNumId="19">
    <w:nsid w:val="737B8DDC"/>
    <w:multiLevelType w:val="hybridMultilevel"/>
    <w:lvl w:ilvl="0">
      <w:lvlJc w:val="left"/>
      <w:lvlText w:val="%1."/>
      <w:numFmt w:val="decimal"/>
      <w:start w:val="19"/>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2"/>
    </w:lvl>
  </w:abstractNum>
  <w:abstractNum w:abstractNumId="22">
    <w:nsid w:val="4516DDE9"/>
    <w:multiLevelType w:val="hybridMultilevel"/>
    <w:lvl w:ilvl="0">
      <w:lvlJc w:val="left"/>
      <w:lvlText w:val="%1."/>
      <w:numFmt w:val="decimal"/>
      <w:start w:val="3"/>
    </w:lvl>
  </w:abstractNum>
  <w:abstractNum w:abstractNumId="23">
    <w:nsid w:val="3006C83E"/>
    <w:multiLevelType w:val="hybridMultilevel"/>
    <w:lvl w:ilvl="0">
      <w:lvlJc w:val="left"/>
      <w:lvlText w:val="%1."/>
      <w:numFmt w:val="decimal"/>
      <w:start w:val="4"/>
    </w:lvl>
  </w:abstractNum>
  <w:abstractNum w:abstractNumId="24">
    <w:nsid w:val="614FD4A1"/>
    <w:multiLevelType w:val="hybridMultilevel"/>
    <w:lvl w:ilvl="0">
      <w:lvlJc w:val="left"/>
      <w:lvlText w:val="%1."/>
      <w:numFmt w:val="decimal"/>
      <w:start w:val="5"/>
    </w:lvl>
  </w:abstractNum>
  <w:abstractNum w:abstractNumId="25">
    <w:nsid w:val="419AC241"/>
    <w:multiLevelType w:val="hybridMultilevel"/>
    <w:lvl w:ilvl="0">
      <w:lvlJc w:val="left"/>
      <w:lvlText w:val="%1."/>
      <w:numFmt w:val="decimal"/>
      <w:start w:val="6"/>
    </w:lvl>
  </w:abstractNum>
  <w:abstractNum w:abstractNumId="26">
    <w:nsid w:val="5577F8E1"/>
    <w:multiLevelType w:val="hybridMultilevel"/>
    <w:lvl w:ilvl="0">
      <w:lvlJc w:val="left"/>
      <w:lvlText w:val="%1."/>
      <w:numFmt w:val="decimal"/>
      <w:start w:val="7"/>
    </w:lvl>
  </w:abstractNum>
  <w:abstractNum w:abstractNumId="27">
    <w:nsid w:val="440BADFC"/>
    <w:multiLevelType w:val="hybridMultilevel"/>
    <w:lvl w:ilvl="0">
      <w:lvlJc w:val="left"/>
      <w:lvlText w:val="%1."/>
      <w:numFmt w:val="decimal"/>
      <w:start w:val="8"/>
    </w:lvl>
  </w:abstractNum>
  <w:abstractNum w:abstractNumId="28">
    <w:nsid w:val="5072367"/>
    <w:multiLevelType w:val="hybridMultilevel"/>
    <w:lvl w:ilvl="0">
      <w:lvlJc w:val="left"/>
      <w:lvlText w:val="%1."/>
      <w:numFmt w:val="decimal"/>
      <w:start w:val="9"/>
    </w:lvl>
  </w:abstractNum>
  <w:abstractNum w:abstractNumId="29">
    <w:nsid w:val="3804823E"/>
    <w:multiLevelType w:val="hybridMultilevel"/>
    <w:lvl w:ilvl="0">
      <w:lvlJc w:val="left"/>
      <w:lvlText w:val="%1."/>
      <w:numFmt w:val="decimal"/>
      <w:start w:val="10"/>
    </w:lvl>
  </w:abstractNum>
  <w:abstractNum w:abstractNumId="30">
    <w:nsid w:val="77465F01"/>
    <w:multiLevelType w:val="hybridMultilevel"/>
    <w:lvl w:ilvl="0">
      <w:lvlJc w:val="left"/>
      <w:lvlText w:val="%1."/>
      <w:numFmt w:val="decimal"/>
      <w:start w:val="11"/>
    </w:lvl>
  </w:abstractNum>
  <w:abstractNum w:abstractNumId="31">
    <w:nsid w:val="7724C67E"/>
    <w:multiLevelType w:val="hybridMultilevel"/>
    <w:lvl w:ilvl="0">
      <w:lvlJc w:val="left"/>
      <w:lvlText w:val="%1."/>
      <w:numFmt w:val="decimal"/>
      <w:start w:val="12"/>
    </w:lvl>
  </w:abstractNum>
  <w:abstractNum w:abstractNumId="32">
    <w:nsid w:val="5C482A97"/>
    <w:multiLevelType w:val="hybridMultilevel"/>
    <w:lvl w:ilvl="0">
      <w:lvlJc w:val="left"/>
      <w:lvlText w:val="%1."/>
      <w:numFmt w:val="decimal"/>
      <w:start w:val="13"/>
    </w:lvl>
  </w:abstractNum>
  <w:abstractNum w:abstractNumId="33">
    <w:nsid w:val="2463B9EA"/>
    <w:multiLevelType w:val="hybridMultilevel"/>
    <w:lvl w:ilvl="0">
      <w:lvlJc w:val="left"/>
      <w:lvlText w:val="%1."/>
      <w:numFmt w:val="decimal"/>
      <w:start w:val="14"/>
    </w:lvl>
  </w:abstractNum>
  <w:abstractNum w:abstractNumId="34">
    <w:nsid w:val="5E884ADC"/>
    <w:multiLevelType w:val="hybridMultilevel"/>
    <w:lvl w:ilvl="0">
      <w:lvlJc w:val="left"/>
      <w:lvlText w:val="%1."/>
      <w:numFmt w:val="decimal"/>
      <w:start w:val="15"/>
    </w:lvl>
  </w:abstractNum>
  <w:abstractNum w:abstractNumId="35">
    <w:nsid w:val="51EAD36B"/>
    <w:multiLevelType w:val="hybridMultilevel"/>
    <w:lvl w:ilvl="0">
      <w:lvlJc w:val="left"/>
      <w:lvlText w:val="%1."/>
      <w:numFmt w:val="decimal"/>
      <w:start w:val="16"/>
    </w:lvl>
  </w:abstractNum>
  <w:abstractNum w:abstractNumId="36">
    <w:nsid w:val="2D517796"/>
    <w:multiLevelType w:val="hybridMultilevel"/>
    <w:lvl w:ilvl="0">
      <w:lvlJc w:val="left"/>
      <w:lvlText w:val="%1."/>
      <w:numFmt w:val="decimal"/>
      <w:start w:val="17"/>
    </w:lvl>
  </w:abstractNum>
  <w:abstractNum w:abstractNumId="37">
    <w:nsid w:val="580BD78F"/>
    <w:multiLevelType w:val="hybridMultilevel"/>
    <w:lvl w:ilvl="0">
      <w:lvlJc w:val="left"/>
      <w:lvlText w:val="%1."/>
      <w:numFmt w:val="decimal"/>
      <w:start w:val="18"/>
    </w:lvl>
  </w:abstractNum>
  <w:abstractNum w:abstractNumId="38">
    <w:nsid w:val="153EA438"/>
    <w:multiLevelType w:val="hybridMultilevel"/>
    <w:lvl w:ilvl="0">
      <w:lvlJc w:val="left"/>
      <w:lvlText w:val="%1."/>
      <w:numFmt w:val="decimal"/>
      <w:start w:val="19"/>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lowerRoman"/>
      <w:start w:val="3"/>
    </w:lvl>
  </w:abstractNum>
  <w:abstractNum w:abstractNumId="42">
    <w:nsid w:val="2A487CB0"/>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2019-12-07T16:08:23Z</dcterms:created>
  <dcterms:modified xsi:type="dcterms:W3CDTF">2019-12-07T16:08:23Z</dcterms:modified>
</cp:coreProperties>
</file>