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362585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ind w:left="3600"/>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ind w:left="3520"/>
        <w:spacing w:after="0"/>
        <w:rPr>
          <w:sz w:val="20"/>
          <w:szCs w:val="20"/>
          <w:color w:val="auto"/>
        </w:rPr>
      </w:pPr>
      <w:r>
        <w:rPr>
          <w:rFonts w:ascii="Arial" w:cs="Arial" w:eastAsia="Arial" w:hAnsi="Arial"/>
          <w:sz w:val="29"/>
          <w:szCs w:val="29"/>
          <w:b w:val="1"/>
          <w:bCs w:val="1"/>
          <w:color w:val="auto"/>
        </w:rPr>
        <w:t>the Securities Exchange Act of 1934</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December 16, 2009</w:t>
      </w:r>
    </w:p>
    <w:p>
      <w:pPr>
        <w:spacing w:after="0" w:line="140"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83" w:lineRule="exact"/>
        <w:rPr>
          <w:sz w:val="24"/>
          <w:szCs w:val="24"/>
          <w:color w:val="auto"/>
        </w:rPr>
      </w:pPr>
    </w:p>
    <w:tbl>
      <w:tblPr>
        <w:tblLayout w:type="fixed"/>
        <w:tblInd w:w="240" w:type="dxa"/>
        <w:tblCellMar>
          <w:top w:w="0" w:type="dxa"/>
          <w:left w:w="0" w:type="dxa"/>
          <w:bottom w:w="0" w:type="dxa"/>
          <w:right w:w="0" w:type="dxa"/>
        </w:tblCellMar>
      </w:tblPr>
      <w:tr>
        <w:trPr>
          <w:trHeight w:val="220"/>
        </w:trPr>
        <w:tc>
          <w:tcPr>
            <w:tcW w:w="382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Pennsylvania</w:t>
            </w:r>
          </w:p>
        </w:tc>
        <w:tc>
          <w:tcPr>
            <w:tcW w:w="338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001-32871</w:t>
            </w:r>
          </w:p>
        </w:tc>
        <w:tc>
          <w:tcPr>
            <w:tcW w:w="330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82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tcPr>
          <w:p>
            <w:pPr>
              <w:jc w:val="center"/>
              <w:ind w:right="11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 No.)</w:t>
            </w:r>
          </w:p>
        </w:tc>
      </w:tr>
      <w:tr>
        <w:trPr>
          <w:trHeight w:val="346"/>
        </w:trPr>
        <w:tc>
          <w:tcPr>
            <w:tcW w:w="382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One Comcast Center</w:t>
            </w:r>
          </w:p>
        </w:tc>
        <w:tc>
          <w:tcPr>
            <w:tcW w:w="33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20"/>
        </w:trPr>
        <w:tc>
          <w:tcPr>
            <w:tcW w:w="382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Philadelphia, PA</w:t>
            </w:r>
          </w:p>
        </w:tc>
        <w:tc>
          <w:tcPr>
            <w:tcW w:w="3380" w:type="dxa"/>
            <w:vAlign w:val="bottom"/>
          </w:tcPr>
          <w:p>
            <w:pPr>
              <w:spacing w:after="0"/>
              <w:rPr>
                <w:sz w:val="19"/>
                <w:szCs w:val="19"/>
                <w:color w:val="auto"/>
              </w:rPr>
            </w:pPr>
          </w:p>
        </w:tc>
        <w:tc>
          <w:tcPr>
            <w:tcW w:w="330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820" w:type="dxa"/>
            <w:vAlign w:val="bottom"/>
          </w:tcPr>
          <w:p>
            <w:pPr>
              <w:jc w:val="center"/>
              <w:ind w:right="470"/>
              <w:spacing w:after="0"/>
              <w:rPr>
                <w:sz w:val="20"/>
                <w:szCs w:val="20"/>
                <w:color w:val="auto"/>
              </w:rPr>
            </w:pPr>
            <w:r>
              <w:rPr>
                <w:rFonts w:ascii="Arial" w:cs="Arial" w:eastAsia="Arial" w:hAnsi="Arial"/>
                <w:sz w:val="18"/>
                <w:szCs w:val="18"/>
                <w:color w:val="auto"/>
                <w:w w:val="92"/>
              </w:rPr>
              <w:t>(Address of Principal Executive Offices)</w:t>
            </w:r>
          </w:p>
        </w:tc>
        <w:tc>
          <w:tcPr>
            <w:tcW w:w="3380" w:type="dxa"/>
            <w:vAlign w:val="bottom"/>
          </w:tcPr>
          <w:p>
            <w:pPr>
              <w:spacing w:after="0"/>
              <w:rPr>
                <w:sz w:val="20"/>
                <w:szCs w:val="20"/>
                <w:color w:val="auto"/>
              </w:rPr>
            </w:pP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158"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94" w:lineRule="exact"/>
        <w:rPr>
          <w:sz w:val="24"/>
          <w:szCs w:val="24"/>
          <w:color w:val="auto"/>
        </w:rPr>
      </w:pPr>
    </w:p>
    <w:p>
      <w:pPr>
        <w:ind w:left="580" w:hanging="282"/>
        <w:spacing w:after="0"/>
        <w:tabs>
          <w:tab w:leader="none" w:pos="5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39" w:lineRule="exact"/>
        <w:rPr>
          <w:rFonts w:ascii="Arial" w:cs="Arial" w:eastAsia="Arial" w:hAnsi="Arial"/>
          <w:sz w:val="29"/>
          <w:szCs w:val="29"/>
          <w:color w:val="auto"/>
          <w:vertAlign w:val="superscript"/>
        </w:rPr>
      </w:pPr>
    </w:p>
    <w:p>
      <w:pPr>
        <w:ind w:left="580" w:hanging="282"/>
        <w:spacing w:after="0" w:line="210" w:lineRule="auto"/>
        <w:tabs>
          <w:tab w:leader="none" w:pos="5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0" w:lineRule="exact"/>
        <w:rPr>
          <w:rFonts w:ascii="Arial" w:cs="Arial" w:eastAsia="Arial" w:hAnsi="Arial"/>
          <w:sz w:val="29"/>
          <w:szCs w:val="29"/>
          <w:color w:val="auto"/>
          <w:vertAlign w:val="superscript"/>
        </w:rPr>
      </w:pPr>
    </w:p>
    <w:p>
      <w:pPr>
        <w:ind w:left="580" w:hanging="282"/>
        <w:spacing w:after="0" w:line="210" w:lineRule="auto"/>
        <w:tabs>
          <w:tab w:leader="none" w:pos="5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0" w:lineRule="exact"/>
        <w:rPr>
          <w:rFonts w:ascii="Arial" w:cs="Arial" w:eastAsia="Arial" w:hAnsi="Arial"/>
          <w:sz w:val="29"/>
          <w:szCs w:val="29"/>
          <w:color w:val="auto"/>
          <w:vertAlign w:val="superscript"/>
        </w:rPr>
      </w:pPr>
    </w:p>
    <w:p>
      <w:pPr>
        <w:ind w:left="580" w:hanging="282"/>
        <w:spacing w:after="0" w:line="210" w:lineRule="auto"/>
        <w:tabs>
          <w:tab w:leader="none" w:pos="58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783" w:right="77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16, 2009, we entered into a new employment agreement with Stephen B. Burke, our Executive Vice President, Chief Operating Officer and President of our Cable Division, which was effective as of such date. This agreement secures Mr. Burke’s employment with the Company for five years, through December 31, 2014, and acknowledges his substantially increased responsibilities: Mr. Burke, in his role as Chief Operating Officer, will be responsible for leading the transition planning and post-closing integration efforts for the Company’s recently announced joint venture (the “NBCU Joint Venture”) with General Electric, which will combine the NBC Universal businesses and the network businesses of the Company. Mr. Burke will also supervise the NBCU Joint Venture’s Chief Executive Officer.</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agreement follows the standard form of employment agreement used by the Company for its named executive officers, and includes an obligation to work full-time for the Company, as well as non-solicitation, non-competition and confidentiality obligations. Notwithstanding his increased responsibilities, the agreement does not provide for any increase in either base salary (Mr. Burke has had the same base salary since March 1, 2008) or annual cash bonus opportunity of 300% of base salary (based on the achievement of performance goals). The agreement continues the structure of Mr. Burke’s prior employment agreement of crediting contributions to the Company’s deferred compensation plan – here, $2,000,000 on the effective date and a credit in each year of a specified amount, beginning in 2010 in the amount of $2,000,000 (which is approximately the amount to which Mr. Burke was entitled under his prior agreement).</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Also under the agreement, Mr. Burke is eligible to receive two cash bonuses, each of $3,000,000, and two restricted stock unit grants, each having a value of approximately $6,000,000. Vesting under each restricted stock unit grant will occur on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anniversary of the date of grant, subject generally to continued employment and a performance condition of a year-over-year increase in free cash flow. One cash bonus and restricted stock unit grant was made following the effective date of the agreement and the other cash bonus and restricted stock unit grant will be made on the earlier of June 30, 2010 or the closing of the NBCU Joint Venture. Mr. Burke will continue to be subject to our Stock Ownership Policy.</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Similarly, on December 18, 2009, we entered into a new employment agreement with Michael J. Angelakis, our Executive Vice President and Chief Financial Officer, which was effective on December 16, 2009. This agreement secures Mr. Angelakis’ employment with the Company for three years, through December 31, 2012, and acknowledges his substantially increased responsibilities: Mr. Angelakis will assist Mr. Burke in the transition planning and post-closing integration efforts for the NBCU Joint Venture, will be responsible for managing the financing activities related to the closing of the NBCU Joint Venture, and will be the Chief Financial Officer of the larger and more complex Company following closing.</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agreement also follows the standard form of employment agreement used by the Company for its named executive officers, and includes an obligation to work full-time for the Company, as well as non-solicitation, non-competition and confidentiality obligations. Notwithstanding his increased responsibilities, the agreement does not provide for any increase in either base salary (Mr. Angelakis has had the same base salary since March 1, 2008) or annual cash bonus opportunity of 300% of base salary (based on the achievement of performance goals). The agreement continues the structure of Mr. Angelakis’ prior employment agreement of crediting contributions to the Company’s deferred compensation plan – here, $1,000,000 on the effective date and a credit in each year of a specified amount, beginning in 2010 in the amount of $1,500,000 (which is approximately the amount to which Mr. Angelakis was entitled under his prior agreement).</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Also under the agreement, Mr. Angelakis is eligible to receive two cash bonuses, each of $1,500,000, and two restricted stock unit grants, each having a value of approximately $3,000,000. Vesting under each restricted stock unit grant will occur on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anniversary of the date of grant, subject generally to continued employment and a performance condition of a year-over-year increase in free cash flow. One cash bonus and restricted stock unit grant was made following the effective date of the agreement and the other cash bonus and restricted stock unit grant will be made on the earlier of June 30, 2010 or the closing of the NBCU Joint Venture. Mr. Angelakis will continue to be subject to our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7"/>
          <w:szCs w:val="17"/>
          <w:color w:val="auto"/>
        </w:rPr>
        <w:t>Finally, on December 16, 2009, we entered into a new employment agreement with Arthur R. Block, our Senior Vice President, General Counsel and Secretary, which was effective as of such date. This agreement secures Mr. Block’s employment with the Company for five years, through December 31, 2014, and acknowledges his substantially increased responsibilities: Mr. Block will assist Mr. Burke in the transition planning and post-closing integration efforts for the NBCU Joint Venture and will also be responsible for managing the larger and more complex law function of the Company.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new agreement also follows the standard form of employment agreement used by the Company for its named executive officers, and includes an obligation to work full-time for the Company, as well as non-solicitation, non-competition and confidentiality obligations. Notwithstanding his increased responsibilities, the agreement does not provide for any increase in annual cash bonus opportunity of 100% of base salary (based on the achievement of performance goals). Under the employment agreement, Mr. Block will be entitled to an initial annual base salary of $900,000. He also received a stock option grant having a value of approximately $692,163 and a restricted stock unit grant having a value of approximately $1,692,163 (in each case with vesting generally subject to continued employment over a period of ten years (in the case of the stock option grant) and five years (in the case of the restricted stock unit grant), as set forth in the agreement, and with vesting under the restricted stock unit grant additionally subject to a performance condition of a year-over-year increase in free cash flow). Mr. Block will continue to be subject to our Stock Ownership Policy.</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summaries are qualified by their entirety by the terms and conditions set forth in: (i) the employment agreements of Messrs. Burke, Angelakis and Block, copies of which are attached hereto as Exhibits 99.1, 99.2 and 99.3, respectively; and (ii) the forms of restricted stock unit grant and long-term incentive awards summary schedule, copies of which are attached hereto as Exhibits 99.4 and 99.5, respectively.</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ind w:left="520"/>
              <w:spacing w:after="0"/>
              <w:rPr>
                <w:sz w:val="20"/>
                <w:szCs w:val="20"/>
                <w:color w:val="auto"/>
              </w:rPr>
            </w:pPr>
            <w:r>
              <w:rPr>
                <w:rFonts w:ascii="Arial" w:cs="Arial" w:eastAsia="Arial" w:hAnsi="Arial"/>
                <w:sz w:val="18"/>
                <w:szCs w:val="18"/>
                <w:color w:val="auto"/>
              </w:rPr>
              <w:t>(d)</w:t>
            </w:r>
          </w:p>
        </w:tc>
        <w:tc>
          <w:tcPr>
            <w:tcW w:w="10520" w:type="dxa"/>
            <w:vAlign w:val="bottom"/>
            <w:gridSpan w:val="3"/>
          </w:tcPr>
          <w:p>
            <w:pPr>
              <w:ind w:left="140"/>
              <w:spacing w:after="0"/>
              <w:rPr>
                <w:sz w:val="20"/>
                <w:szCs w:val="20"/>
                <w:color w:val="auto"/>
              </w:rPr>
            </w:pPr>
            <w:r>
              <w:rPr>
                <w:rFonts w:ascii="Arial" w:cs="Arial" w:eastAsia="Arial" w:hAnsi="Arial"/>
                <w:sz w:val="18"/>
                <w:szCs w:val="18"/>
                <w:color w:val="auto"/>
              </w:rPr>
              <w:t>Exhibits</w:t>
            </w:r>
          </w:p>
        </w:tc>
      </w:tr>
      <w:tr>
        <w:trPr>
          <w:trHeight w:val="688"/>
        </w:trPr>
        <w:tc>
          <w:tcPr>
            <w:tcW w:w="9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40" w:type="dxa"/>
            <w:vAlign w:val="bottom"/>
            <w:gridSpan w:val="2"/>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465"/>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Agreement with Stephen B. Burke, effective as of December 16, 2009.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Agreement with Michael J. Angelakis, effective as of December 16, 2009.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Employment Agreement with Arthur R. Block, effective as of December 16, 2009.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Restricted Stock Unit Grant.</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Long-Term Incentive Awards Summary Schedule.</w:t>
            </w:r>
          </w:p>
        </w:tc>
      </w:tr>
      <w:tr>
        <w:trPr>
          <w:trHeight w:val="848"/>
        </w:trPr>
        <w:tc>
          <w:tcPr>
            <w:tcW w:w="6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60" w:val="left"/>
          <w:tab w:leader="none" w:pos="5680" w:val="left"/>
          <w:tab w:leader="none" w:pos="6120" w:val="left"/>
        </w:tabs>
        <w:rPr>
          <w:sz w:val="20"/>
          <w:szCs w:val="20"/>
          <w:color w:val="auto"/>
        </w:rPr>
      </w:pPr>
      <w:r>
        <w:rPr>
          <w:rFonts w:ascii="Arial" w:cs="Arial" w:eastAsia="Arial" w:hAnsi="Arial"/>
          <w:sz w:val="18"/>
          <w:szCs w:val="18"/>
          <w:color w:val="auto"/>
        </w:rPr>
        <w:t>Date:</w:t>
        <w:tab/>
        <w:t>December 22,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6205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0520" cy="1714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14605</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6140"/>
        <w:spacing w:after="0"/>
        <w:tabs>
          <w:tab w:leader="none" w:pos="6700" w:val="left"/>
        </w:tabs>
        <w:rPr>
          <w:sz w:val="20"/>
          <w:szCs w:val="20"/>
          <w:color w:val="auto"/>
        </w:rPr>
      </w:pPr>
      <w:r>
        <w:rPr>
          <w:rFonts w:ascii="Arial" w:cs="Arial" w:eastAsia="Arial" w:hAnsi="Arial"/>
          <w:sz w:val="18"/>
          <w:szCs w:val="18"/>
          <w:color w:val="auto"/>
        </w:rPr>
        <w:t>Title:</w:t>
        <w:tab/>
        <w:t>Senior Vice President, General Counsel and</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607" w:right="10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83" w:lineRule="exact"/>
        <w:rPr>
          <w:sz w:val="20"/>
          <w:szCs w:val="20"/>
          <w:color w:val="auto"/>
        </w:rPr>
      </w:pPr>
    </w:p>
    <w:p>
      <w:pPr>
        <w:ind w:right="400"/>
        <w:spacing w:after="0" w:line="223" w:lineRule="auto"/>
        <w:rPr>
          <w:sz w:val="20"/>
          <w:szCs w:val="20"/>
          <w:color w:val="auto"/>
        </w:rPr>
      </w:pPr>
      <w:r>
        <w:rPr>
          <w:rFonts w:ascii="Arial" w:cs="Arial" w:eastAsia="Arial" w:hAnsi="Arial"/>
          <w:sz w:val="18"/>
          <w:szCs w:val="18"/>
          <w:color w:val="auto"/>
        </w:rPr>
        <w:t>This EMPLOYMENT AGREEMENT (the “Agreement”) is entered into as of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December, 2009, between COMCAST CORPORATION, a Pennsylvania corporation (together with its subsidiaries, the “Company”), and STEPHEN B. BURKE (“Employee”).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79"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79" w:lineRule="exact"/>
        <w:rPr>
          <w:sz w:val="20"/>
          <w:szCs w:val="20"/>
          <w:color w:val="auto"/>
        </w:rPr>
      </w:pPr>
    </w:p>
    <w:p>
      <w:pPr>
        <w:ind w:right="200" w:firstLine="8"/>
        <w:spacing w:after="0" w:line="286"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219" w:lineRule="exact"/>
        <w:rPr>
          <w:rFonts w:ascii="Arial" w:cs="Arial" w:eastAsia="Arial" w:hAnsi="Arial"/>
          <w:sz w:val="17"/>
          <w:szCs w:val="17"/>
          <w:color w:val="auto"/>
        </w:rPr>
      </w:pPr>
    </w:p>
    <w:p>
      <w:pPr>
        <w:ind w:right="20" w:firstLine="8"/>
        <w:spacing w:after="0" w:line="259"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241" w:lineRule="exact"/>
        <w:rPr>
          <w:sz w:val="20"/>
          <w:szCs w:val="20"/>
          <w:color w:val="auto"/>
        </w:rPr>
      </w:pPr>
    </w:p>
    <w:p>
      <w:pPr>
        <w:ind w:right="400" w:firstLine="1305"/>
        <w:spacing w:after="0" w:line="277" w:lineRule="auto"/>
        <w:tabs>
          <w:tab w:leader="none" w:pos="1991" w:val="left"/>
        </w:tabs>
        <w:numPr>
          <w:ilvl w:val="1"/>
          <w:numId w:val="4"/>
        </w:numPr>
        <w:rPr>
          <w:rFonts w:ascii="Arial" w:cs="Arial" w:eastAsia="Arial" w:hAnsi="Arial"/>
          <w:sz w:val="18"/>
          <w:szCs w:val="18"/>
          <w:color w:val="auto"/>
        </w:rPr>
      </w:pPr>
      <w:r>
        <w:rPr>
          <w:rFonts w:ascii="Arial" w:cs="Arial" w:eastAsia="Arial" w:hAnsi="Arial"/>
          <w:sz w:val="18"/>
          <w:szCs w:val="18"/>
          <w:color w:val="auto"/>
        </w:rPr>
        <w:t>Employee shall comply with all policies of the Company applicable to Employee, including the Employee Handbook and the Code of Ethics and Business Conduct.</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 of:</w:t>
      </w:r>
    </w:p>
    <w:p>
      <w:pPr>
        <w:spacing w:after="0" w:line="46" w:lineRule="exact"/>
        <w:rPr>
          <w:rFonts w:ascii="Arial" w:cs="Arial" w:eastAsia="Arial" w:hAnsi="Arial"/>
          <w:sz w:val="16"/>
          <w:szCs w:val="16"/>
          <w:color w:val="auto"/>
        </w:rPr>
      </w:pPr>
    </w:p>
    <w:p>
      <w:pPr>
        <w:ind w:right="260"/>
        <w:spacing w:after="0" w:line="277" w:lineRule="auto"/>
        <w:rPr>
          <w:rFonts w:ascii="Arial" w:cs="Arial" w:eastAsia="Arial" w:hAnsi="Arial"/>
          <w:sz w:val="16"/>
          <w:szCs w:val="16"/>
          <w:color w:val="auto"/>
        </w:rPr>
      </w:pPr>
      <w:r>
        <w:rPr>
          <w:rFonts w:ascii="Arial" w:cs="Arial" w:eastAsia="Arial" w:hAnsi="Arial"/>
          <w:sz w:val="17"/>
          <w:szCs w:val="17"/>
          <w:color w:val="auto"/>
        </w:rPr>
        <w:t>(a) the date Employee’s employment is terminated in accordance with Paragraph 6; or (b) December 31, 2014 (the date specified in subparagraph (b) is referred to as “Regular End Date”). Notwithstanding the end of the Term, the Company’s obligation to make any payments expressly set forth herein to be made after the Term, and Employee’s covenants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32" w:hanging="632"/>
        <w:spacing w:after="0"/>
        <w:tabs>
          <w:tab w:leader="none" w:pos="6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79" w:lineRule="exact"/>
        <w:rPr>
          <w:sz w:val="20"/>
          <w:szCs w:val="20"/>
          <w:color w:val="auto"/>
        </w:rPr>
      </w:pPr>
    </w:p>
    <w:p>
      <w:pPr>
        <w:ind w:left="-8" w:firstLine="8"/>
        <w:spacing w:after="0" w:line="255"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(“Base Salary”) from the Commencement Date through February 28, 2010 shall be at Employee’s current annual rate and shall not thereafter be reduced other than as part of a salary reduction program effected by the Company during the Term, on a basis consistent with that applicable to other employees at Employee’s level. Employee shall thereafter be entitled to participate in any salary increase program offered by the Company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247" w:lineRule="exact"/>
        <w:rPr>
          <w:rFonts w:ascii="Arial" w:cs="Arial" w:eastAsia="Arial" w:hAnsi="Arial"/>
          <w:sz w:val="18"/>
          <w:szCs w:val="18"/>
          <w:color w:val="auto"/>
        </w:rPr>
      </w:pPr>
    </w:p>
    <w:p>
      <w:pPr>
        <w:ind w:left="-8" w:right="240" w:firstLine="8"/>
        <w:spacing w:after="0" w:line="342" w:lineRule="auto"/>
        <w:tabs>
          <w:tab w:leader="none" w:pos="69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Signing Bonuses</w:t>
      </w:r>
      <w:r>
        <w:rPr>
          <w:rFonts w:ascii="Arial" w:cs="Arial" w:eastAsia="Arial" w:hAnsi="Arial"/>
          <w:sz w:val="16"/>
          <w:szCs w:val="16"/>
          <w:color w:val="auto"/>
        </w:rPr>
        <w:t>. As soon as practicable after each of (A) the Commencement Date and (B) the first to occur of June 30, 2010 and the closing of the Company’s NBC Universal transaction, Employee shall receive a cash signing bonus in the amount and on the terms set forth on Schedule 1.</w:t>
      </w:r>
    </w:p>
    <w:p>
      <w:pPr>
        <w:spacing w:after="0" w:line="177" w:lineRule="exact"/>
        <w:rPr>
          <w:rFonts w:ascii="Arial" w:cs="Arial" w:eastAsia="Arial" w:hAnsi="Arial"/>
          <w:sz w:val="16"/>
          <w:szCs w:val="16"/>
          <w:color w:val="auto"/>
        </w:rPr>
      </w:pPr>
    </w:p>
    <w:p>
      <w:pPr>
        <w:ind w:left="692" w:hanging="692"/>
        <w:spacing w:after="0"/>
        <w:tabs>
          <w:tab w:leader="none" w:pos="69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Restricted Stock/Stock Option Grants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 w:right="100" w:firstLine="1953"/>
        <w:spacing w:after="0" w:line="286" w:lineRule="auto"/>
        <w:tabs>
          <w:tab w:leader="none" w:pos="2592" w:val="left"/>
        </w:tabs>
        <w:numPr>
          <w:ilvl w:val="2"/>
          <w:numId w:val="7"/>
        </w:numPr>
        <w:rPr>
          <w:rFonts w:ascii="Arial" w:cs="Arial" w:eastAsia="Arial" w:hAnsi="Arial"/>
          <w:sz w:val="17"/>
          <w:szCs w:val="17"/>
          <w:color w:val="auto"/>
        </w:rPr>
      </w:pPr>
      <w:r>
        <w:rPr>
          <w:rFonts w:ascii="Arial" w:cs="Arial" w:eastAsia="Arial" w:hAnsi="Arial"/>
          <w:sz w:val="17"/>
          <w:szCs w:val="17"/>
          <w:color w:val="auto"/>
        </w:rPr>
        <w:t>As soon as practicable after each of (A) the Commencement Date and (B) the first to occur of June 1, 2010 and the closing of the Company’s NBC Universal transaction, Employee shall receive a grant of restricted stock units under the Company’s Restricted Stock Plan for the number of shares of the Company’s Class A Common Stock set forth on Schedule 1. Such units shall vest as set forth on Schedule 1.</w:t>
      </w:r>
    </w:p>
    <w:p>
      <w:pPr>
        <w:spacing w:after="0" w:line="219" w:lineRule="exact"/>
        <w:rPr>
          <w:rFonts w:ascii="Arial" w:cs="Arial" w:eastAsia="Arial" w:hAnsi="Arial"/>
          <w:sz w:val="17"/>
          <w:szCs w:val="17"/>
          <w:color w:val="auto"/>
        </w:rPr>
      </w:pPr>
    </w:p>
    <w:p>
      <w:pPr>
        <w:ind w:left="-8" w:right="100" w:firstLine="1953"/>
        <w:spacing w:after="0" w:line="286" w:lineRule="auto"/>
        <w:tabs>
          <w:tab w:leader="none" w:pos="2652" w:val="left"/>
        </w:tabs>
        <w:numPr>
          <w:ilvl w:val="2"/>
          <w:numId w:val="7"/>
        </w:numPr>
        <w:rPr>
          <w:rFonts w:ascii="Arial" w:cs="Arial" w:eastAsia="Arial" w:hAnsi="Arial"/>
          <w:sz w:val="17"/>
          <w:szCs w:val="17"/>
          <w:color w:val="auto"/>
        </w:rPr>
      </w:pPr>
      <w:r>
        <w:rPr>
          <w:rFonts w:ascii="Arial" w:cs="Arial" w:eastAsia="Arial" w:hAnsi="Arial"/>
          <w:sz w:val="17"/>
          <w:szCs w:val="17"/>
          <w:color w:val="auto"/>
        </w:rPr>
        <w:t>Continuing in 2010,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219" w:lineRule="exact"/>
        <w:rPr>
          <w:rFonts w:ascii="Arial" w:cs="Arial" w:eastAsia="Arial" w:hAnsi="Arial"/>
          <w:sz w:val="17"/>
          <w:szCs w:val="17"/>
          <w:color w:val="auto"/>
        </w:rPr>
      </w:pPr>
    </w:p>
    <w:p>
      <w:pPr>
        <w:ind w:left="1992" w:hanging="695"/>
        <w:spacing w:after="0"/>
        <w:tabs>
          <w:tab w:leader="none" w:pos="19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8" w:right="180" w:firstLine="1953"/>
        <w:spacing w:after="0" w:line="259" w:lineRule="auto"/>
        <w:tabs>
          <w:tab w:leader="none" w:pos="2647" w:val="left"/>
        </w:tabs>
        <w:numPr>
          <w:ilvl w:val="2"/>
          <w:numId w:val="7"/>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 as set forth on Schedule 1 through each of December 31, 2009 and December 31, 2010.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240" w:lineRule="exact"/>
        <w:rPr>
          <w:rFonts w:ascii="Arial" w:cs="Arial" w:eastAsia="Arial" w:hAnsi="Arial"/>
          <w:sz w:val="18"/>
          <w:szCs w:val="18"/>
          <w:color w:val="auto"/>
        </w:rPr>
      </w:pPr>
    </w:p>
    <w:p>
      <w:pPr>
        <w:ind w:left="-8" w:right="40" w:firstLine="1953"/>
        <w:spacing w:after="0" w:line="259" w:lineRule="auto"/>
        <w:tabs>
          <w:tab w:leader="none" w:pos="2652" w:val="left"/>
        </w:tabs>
        <w:numPr>
          <w:ilvl w:val="2"/>
          <w:numId w:val="7"/>
        </w:numPr>
        <w:rPr>
          <w:rFonts w:ascii="Arial" w:cs="Arial" w:eastAsia="Arial" w:hAnsi="Arial"/>
          <w:sz w:val="18"/>
          <w:szCs w:val="18"/>
          <w:color w:val="auto"/>
        </w:rPr>
      </w:pPr>
      <w:r>
        <w:rPr>
          <w:rFonts w:ascii="Arial" w:cs="Arial" w:eastAsia="Arial" w:hAnsi="Arial"/>
          <w:sz w:val="18"/>
          <w:szCs w:val="18"/>
          <w:color w:val="auto"/>
        </w:rPr>
        <w:t>Employee shall be entitled to continued participation in the Company’s Cash Bonus Plan (or any successor performance-based cash incentive compensation plan) with respect to each subsequent calendar year (or portion thereof) in the Term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6" w:name="page7"/>
    <w:bookmarkEnd w:id="6"/>
    <w:p>
      <w:pPr>
        <w:ind w:left="1992" w:hanging="695"/>
        <w:spacing w:after="0"/>
        <w:tabs>
          <w:tab w:leader="none" w:pos="199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 w:right="300" w:firstLine="2096"/>
        <w:spacing w:after="0" w:line="277" w:lineRule="auto"/>
        <w:tabs>
          <w:tab w:leader="none" w:pos="2790" w:val="left"/>
        </w:tabs>
        <w:numPr>
          <w:ilvl w:val="1"/>
          <w:numId w:val="8"/>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224" w:lineRule="exact"/>
        <w:rPr>
          <w:rFonts w:ascii="Arial" w:cs="Arial" w:eastAsia="Arial" w:hAnsi="Arial"/>
          <w:sz w:val="18"/>
          <w:szCs w:val="18"/>
          <w:color w:val="auto"/>
        </w:rPr>
      </w:pPr>
    </w:p>
    <w:p>
      <w:pPr>
        <w:ind w:left="-8" w:firstLine="2096"/>
        <w:spacing w:after="0" w:line="264" w:lineRule="auto"/>
        <w:tabs>
          <w:tab w:leader="none" w:pos="279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(A) as of the Commencement Date, $2,000,000, and (B) as of January 1 of each of the following calendar years, the following amounts:</w:t>
      </w:r>
    </w:p>
    <w:p>
      <w:pPr>
        <w:spacing w:after="0" w:line="218" w:lineRule="exact"/>
        <w:rPr>
          <w:sz w:val="20"/>
          <w:szCs w:val="20"/>
          <w:color w:val="auto"/>
        </w:rPr>
      </w:pPr>
    </w:p>
    <w:tbl>
      <w:tblPr>
        <w:tblLayout w:type="fixed"/>
        <w:tblInd w:w="453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Year</w:t>
            </w:r>
          </w:p>
        </w:tc>
        <w:tc>
          <w:tcPr>
            <w:tcW w:w="7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Amount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920" w:type="dxa"/>
            <w:vAlign w:val="bottom"/>
            <w:gridSpan w:val="3"/>
          </w:tcPr>
          <w:p>
            <w:pPr>
              <w:spacing w:after="0"/>
              <w:rPr>
                <w:sz w:val="20"/>
                <w:szCs w:val="20"/>
                <w:color w:val="auto"/>
              </w:rPr>
            </w:pPr>
            <w:r>
              <w:rPr>
                <w:rFonts w:ascii="Arial" w:cs="Arial" w:eastAsia="Arial" w:hAnsi="Arial"/>
                <w:sz w:val="18"/>
                <w:szCs w:val="18"/>
                <w:color w:val="auto"/>
              </w:rPr>
              <w:t>2010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2011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$2,100,000</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2012</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$2,205,000</w:t>
            </w:r>
          </w:p>
        </w:tc>
      </w:tr>
      <w:tr>
        <w:trPr>
          <w:trHeight w:val="216"/>
        </w:trPr>
        <w:tc>
          <w:tcPr>
            <w:tcW w:w="920" w:type="dxa"/>
            <w:vAlign w:val="bottom"/>
            <w:gridSpan w:val="3"/>
          </w:tcPr>
          <w:p>
            <w:pPr>
              <w:spacing w:after="0"/>
              <w:rPr>
                <w:sz w:val="20"/>
                <w:szCs w:val="20"/>
                <w:color w:val="auto"/>
              </w:rPr>
            </w:pPr>
            <w:r>
              <w:rPr>
                <w:rFonts w:ascii="Arial" w:cs="Arial" w:eastAsia="Arial" w:hAnsi="Arial"/>
                <w:sz w:val="18"/>
                <w:szCs w:val="18"/>
                <w:color w:val="auto"/>
              </w:rPr>
              <w:t>2013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$2,315,250</w:t>
            </w: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2014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$2,431,012</w:t>
            </w:r>
          </w:p>
        </w:tc>
      </w:tr>
    </w:tbl>
    <w:p>
      <w:pPr>
        <w:spacing w:after="0" w:line="256" w:lineRule="exact"/>
        <w:rPr>
          <w:sz w:val="20"/>
          <w:szCs w:val="20"/>
          <w:color w:val="auto"/>
        </w:rPr>
      </w:pPr>
    </w:p>
    <w:p>
      <w:pPr>
        <w:ind w:left="-8" w:right="60" w:firstLine="8"/>
        <w:spacing w:after="0" w:line="254" w:lineRule="auto"/>
        <w:tabs>
          <w:tab w:leader="none" w:pos="62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(“Other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Other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246" w:lineRule="exact"/>
        <w:rPr>
          <w:rFonts w:ascii="Arial" w:cs="Arial" w:eastAsia="Arial" w:hAnsi="Arial"/>
          <w:sz w:val="18"/>
          <w:szCs w:val="18"/>
          <w:color w:val="auto"/>
        </w:rPr>
      </w:pPr>
    </w:p>
    <w:p>
      <w:pPr>
        <w:jc w:val="both"/>
        <w:ind w:left="-8" w:right="460" w:firstLine="8"/>
        <w:spacing w:after="0" w:line="286" w:lineRule="auto"/>
        <w:tabs>
          <w:tab w:leader="none" w:pos="62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219" w:lineRule="exact"/>
        <w:rPr>
          <w:rFonts w:ascii="Arial" w:cs="Arial" w:eastAsia="Arial" w:hAnsi="Arial"/>
          <w:sz w:val="17"/>
          <w:szCs w:val="17"/>
          <w:color w:val="auto"/>
        </w:rPr>
      </w:pPr>
    </w:p>
    <w:p>
      <w:pPr>
        <w:ind w:left="-8" w:right="240" w:firstLine="8"/>
        <w:spacing w:after="0" w:line="286" w:lineRule="auto"/>
        <w:tabs>
          <w:tab w:leader="none" w:pos="62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benefit plans or programs), shall or may be terminated, in the circumstances set forth below.</w:t>
      </w:r>
    </w:p>
    <w:p>
      <w:pPr>
        <w:spacing w:after="0" w:line="2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665" w:right="279" w:bottom="1440" w:gutter="0" w:footer="0" w:header="0"/>
        </w:sectPr>
      </w:pPr>
    </w:p>
    <w:bookmarkStart w:id="7" w:name="page8"/>
    <w:bookmarkEnd w:id="7"/>
    <w:p>
      <w:pPr>
        <w:ind w:left="692" w:hanging="692"/>
        <w:spacing w:after="0"/>
        <w:tabs>
          <w:tab w:leader="none" w:pos="69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79" w:lineRule="exact"/>
        <w:rPr>
          <w:rFonts w:ascii="Arial" w:cs="Arial" w:eastAsia="Arial" w:hAnsi="Arial"/>
          <w:sz w:val="18"/>
          <w:szCs w:val="18"/>
          <w:color w:val="auto"/>
        </w:rPr>
      </w:pPr>
    </w:p>
    <w:p>
      <w:pPr>
        <w:jc w:val="both"/>
        <w:ind w:left="-8" w:right="60" w:firstLine="8"/>
        <w:spacing w:after="0" w:line="259"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240" w:lineRule="exact"/>
        <w:rPr>
          <w:rFonts w:ascii="Arial" w:cs="Arial" w:eastAsia="Arial" w:hAnsi="Arial"/>
          <w:sz w:val="18"/>
          <w:szCs w:val="18"/>
          <w:color w:val="auto"/>
        </w:rPr>
      </w:pPr>
    </w:p>
    <w:p>
      <w:pPr>
        <w:ind w:left="692" w:hanging="692"/>
        <w:spacing w:after="0"/>
        <w:tabs>
          <w:tab w:leader="none" w:pos="69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by Employee Without Good Reason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 w:right="40" w:firstLine="1953"/>
        <w:spacing w:after="0" w:line="273" w:lineRule="auto"/>
        <w:tabs>
          <w:tab w:leader="none" w:pos="2598"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with respect to the Company; material misrepresentation with respect to the Company; substantial failure to perform duties; gross negligence or misconduct in the performance of duties; material violation of the Employee Handbook, the Code of Ethics and Business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32" w:lineRule="exact"/>
        <w:rPr>
          <w:rFonts w:ascii="Arial" w:cs="Arial" w:eastAsia="Arial" w:hAnsi="Arial"/>
          <w:sz w:val="17"/>
          <w:szCs w:val="17"/>
          <w:color w:val="auto"/>
        </w:rPr>
      </w:pPr>
    </w:p>
    <w:p>
      <w:pPr>
        <w:ind w:left="-8" w:firstLine="1953"/>
        <w:spacing w:after="0" w:line="277" w:lineRule="auto"/>
        <w:tabs>
          <w:tab w:leader="none" w:pos="25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712" w:hanging="712"/>
        <w:spacing w:after="0"/>
        <w:tabs>
          <w:tab w:leader="none" w:pos="71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by Employee With Good Reason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 w:firstLine="1953"/>
        <w:spacing w:after="0" w:line="277" w:lineRule="auto"/>
        <w:tabs>
          <w:tab w:leader="none" w:pos="2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224" w:lineRule="exact"/>
        <w:rPr>
          <w:rFonts w:ascii="Arial" w:cs="Arial" w:eastAsia="Arial" w:hAnsi="Arial"/>
          <w:sz w:val="18"/>
          <w:szCs w:val="18"/>
          <w:color w:val="auto"/>
        </w:rPr>
      </w:pPr>
    </w:p>
    <w:p>
      <w:pPr>
        <w:jc w:val="both"/>
        <w:ind w:left="-8" w:right="120" w:firstLine="1953"/>
        <w:spacing w:after="0" w:line="257" w:lineRule="auto"/>
        <w:tabs>
          <w:tab w:leader="none" w:pos="256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any material provision of this Agreement (which, as to either such item, if capable of being cured (as determined by the Company), shall remain uncured following twenty (20) business days after written notice thereof) (“Good Reason”).</w:t>
      </w: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8" w:name="page9"/>
    <w:bookmarkEnd w:id="8"/>
    <w:p>
      <w:pPr>
        <w:ind w:right="20" w:firstLine="8"/>
        <w:spacing w:after="0" w:line="277"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224" w:lineRule="exact"/>
        <w:rPr>
          <w:rFonts w:ascii="Arial" w:cs="Arial" w:eastAsia="Arial" w:hAnsi="Arial"/>
          <w:sz w:val="18"/>
          <w:szCs w:val="18"/>
          <w:color w:val="auto"/>
        </w:rPr>
      </w:pPr>
    </w:p>
    <w:p>
      <w:pPr>
        <w:ind w:firstLine="1305"/>
        <w:spacing w:after="0" w:line="280" w:lineRule="auto"/>
        <w:tabs>
          <w:tab w:leader="none" w:pos="190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Other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 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 (a) shall be paid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216" w:lineRule="exact"/>
        <w:rPr>
          <w:rFonts w:ascii="Arial" w:cs="Arial" w:eastAsia="Arial" w:hAnsi="Arial"/>
          <w:sz w:val="16"/>
          <w:szCs w:val="16"/>
          <w:color w:val="auto"/>
        </w:rPr>
      </w:pPr>
    </w:p>
    <w:p>
      <w:pPr>
        <w:ind w:right="80" w:firstLine="1305"/>
        <w:spacing w:after="0" w:line="294" w:lineRule="auto"/>
        <w:tabs>
          <w:tab w:leader="none" w:pos="1911"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Termination With Cause or Termination Without Good Reason</w:t>
      </w:r>
      <w:r>
        <w:rPr>
          <w:rFonts w:ascii="Arial" w:cs="Arial" w:eastAsia="Arial" w:hAnsi="Arial"/>
          <w:sz w:val="16"/>
          <w:szCs w:val="16"/>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of termination.</w:t>
      </w:r>
    </w:p>
    <w:p>
      <w:pPr>
        <w:spacing w:after="0" w:line="134" w:lineRule="exact"/>
        <w:rPr>
          <w:rFonts w:ascii="Arial" w:cs="Arial" w:eastAsia="Arial" w:hAnsi="Arial"/>
          <w:sz w:val="16"/>
          <w:szCs w:val="16"/>
          <w:color w:val="auto"/>
        </w:rPr>
      </w:pPr>
    </w:p>
    <w:p>
      <w:pPr>
        <w:ind w:firstLine="1305"/>
        <w:spacing w:after="0" w:line="276" w:lineRule="auto"/>
        <w:tabs>
          <w:tab w:leader="none" w:pos="194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Termination With Good Reason</w:t>
      </w:r>
      <w:r>
        <w:rPr>
          <w:rFonts w:ascii="Arial" w:cs="Arial" w:eastAsia="Arial" w:hAnsi="Arial"/>
          <w:sz w:val="17"/>
          <w:szCs w:val="17"/>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within thirty (30) days following the date of termination, in a form and containing terms as the Company customarily requires of terminated employees receiving salary continuation payments:</w:t>
      </w:r>
    </w:p>
    <w:p>
      <w:pPr>
        <w:spacing w:after="0" w:line="226" w:lineRule="exact"/>
        <w:rPr>
          <w:rFonts w:ascii="Arial" w:cs="Arial" w:eastAsia="Arial" w:hAnsi="Arial"/>
          <w:sz w:val="17"/>
          <w:szCs w:val="17"/>
          <w:color w:val="auto"/>
        </w:rPr>
      </w:pPr>
    </w:p>
    <w:p>
      <w:pPr>
        <w:ind w:right="280" w:firstLine="1953"/>
        <w:spacing w:after="0" w:line="259" w:lineRule="auto"/>
        <w:tabs>
          <w:tab w:leader="none" w:pos="2610" w:val="left"/>
        </w:tabs>
        <w:numPr>
          <w:ilvl w:val="2"/>
          <w:numId w:val="11"/>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or receipt of benefits,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right="260"/>
        <w:spacing w:after="0" w:line="279" w:lineRule="auto"/>
        <w:rPr>
          <w:sz w:val="20"/>
          <w:szCs w:val="20"/>
          <w:color w:val="auto"/>
        </w:rPr>
      </w:pPr>
      <w:r>
        <w:rPr>
          <w:rFonts w:ascii="Arial" w:cs="Arial" w:eastAsia="Arial" w:hAnsi="Arial"/>
          <w:sz w:val="17"/>
          <w:szCs w:val="17"/>
          <w:color w:val="auto"/>
        </w:rPr>
        <w:t>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constitutes a “deferral of compensation” within the meaning of Section 409A of the Internal Revenue Code (the “Code”), and its implementing regulations and guidance, the provision of such benefits shall be subject to the terms and conditions of subparagraph 13(a).</w:t>
      </w:r>
    </w:p>
    <w:p>
      <w:pPr>
        <w:spacing w:after="0" w:line="225" w:lineRule="exact"/>
        <w:rPr>
          <w:sz w:val="20"/>
          <w:szCs w:val="20"/>
          <w:color w:val="auto"/>
        </w:rPr>
      </w:pPr>
    </w:p>
    <w:p>
      <w:pPr>
        <w:ind w:right="20" w:firstLine="1953"/>
        <w:spacing w:after="0"/>
        <w:tabs>
          <w:tab w:leader="none" w:pos="2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Employee shall also receive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(ii) shall be paid no later than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termination.</w:t>
      </w:r>
    </w:p>
    <w:p>
      <w:pPr>
        <w:spacing w:after="0" w:line="257" w:lineRule="exact"/>
        <w:rPr>
          <w:rFonts w:ascii="Arial" w:cs="Arial" w:eastAsia="Arial" w:hAnsi="Arial"/>
          <w:sz w:val="18"/>
          <w:szCs w:val="18"/>
          <w:color w:val="auto"/>
        </w:rPr>
      </w:pPr>
    </w:p>
    <w:p>
      <w:pPr>
        <w:ind w:right="80" w:firstLine="1953"/>
        <w:spacing w:after="0" w:line="279" w:lineRule="auto"/>
        <w:tabs>
          <w:tab w:leader="none" w:pos="271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Employee shall have no obligation to seek to obtain employment during the period in which Employee receives salary continuation payments under subparagraph (i) above. Any income received from any subsequent employer shall not reduce such salary continuation payments. However, Employee shall provide the Company with notice of any such subsequent employment and the Company's obligation to continue health and welfare benefits shall cease upon Employee's eligibility for health and welfare benefits from any subsequent employer.</w:t>
      </w:r>
    </w:p>
    <w:p>
      <w:pPr>
        <w:spacing w:after="0" w:line="225" w:lineRule="exact"/>
        <w:rPr>
          <w:rFonts w:ascii="Arial" w:cs="Arial" w:eastAsia="Arial" w:hAnsi="Arial"/>
          <w:sz w:val="17"/>
          <w:szCs w:val="17"/>
          <w:color w:val="auto"/>
        </w:rPr>
      </w:pPr>
    </w:p>
    <w:p>
      <w:pPr>
        <w:jc w:val="both"/>
        <w:ind w:firstLine="1953"/>
        <w:spacing w:after="0" w:line="279" w:lineRule="auto"/>
        <w:tabs>
          <w:tab w:leader="none" w:pos="27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Provided Employee is alive at the time of payment, Employee shall be entitled to receive payment on account of: (A) the current year’s Cash Bonus Plan grant; and (B) the following year’s Cash Bonus Plan grant (pro-rated for the period of time in the following year based on the number of months equal to twelve (12) minus the number of full months in the current year following the date of termination); in each case, assuming achievement of performance targets at 100% (payable at such times as otherwise applicable absent such termination).</w:t>
      </w:r>
    </w:p>
    <w:p>
      <w:pPr>
        <w:spacing w:after="0" w:line="225" w:lineRule="exact"/>
        <w:rPr>
          <w:rFonts w:ascii="Arial" w:cs="Arial" w:eastAsia="Arial" w:hAnsi="Arial"/>
          <w:sz w:val="17"/>
          <w:szCs w:val="17"/>
          <w:color w:val="auto"/>
        </w:rPr>
      </w:pPr>
    </w:p>
    <w:p>
      <w:pPr>
        <w:jc w:val="both"/>
        <w:ind w:right="280" w:firstLine="1953"/>
        <w:spacing w:after="0" w:line="279" w:lineRule="auto"/>
        <w:tabs>
          <w:tab w:leader="none" w:pos="265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225" w:lineRule="exact"/>
        <w:rPr>
          <w:rFonts w:ascii="Arial" w:cs="Arial" w:eastAsia="Arial" w:hAnsi="Arial"/>
          <w:sz w:val="17"/>
          <w:szCs w:val="17"/>
          <w:color w:val="auto"/>
        </w:rPr>
      </w:pPr>
    </w:p>
    <w:p>
      <w:pPr>
        <w:ind w:right="160" w:firstLine="737"/>
        <w:spacing w:after="0" w:line="259" w:lineRule="auto"/>
        <w:tabs>
          <w:tab w:leader="none" w:pos="131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(x) Employee’s skills, experience, knowledge and reputation are of special, unique and extraordinary value to the Company, (y) Employee is and will continue to be privy to confidential and proprietary information, processes and expertise that will be used by the Company, the confidentiality of which has significant value to the Company and its future success, and (z)</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certain restrictions on Employee’s activities as set forth below are necessary to protect the value of the goodwill and other tangible and intangible assets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Based upon the foregoing, Employee agrees as follows:</w:t>
      </w:r>
    </w:p>
    <w:p>
      <w:pPr>
        <w:spacing w:after="0" w:line="265" w:lineRule="exact"/>
        <w:rPr>
          <w:sz w:val="20"/>
          <w:szCs w:val="20"/>
          <w:color w:val="auto"/>
        </w:rPr>
      </w:pPr>
    </w:p>
    <w:p>
      <w:pPr>
        <w:jc w:val="both"/>
        <w:ind w:firstLine="8"/>
        <w:spacing w:after="0" w:line="302" w:lineRule="auto"/>
        <w:tabs>
          <w:tab w:leader="none" w:pos="692"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or (ii) solicit, induce, encourage or attempt to influence any employee, customer, consultant, independent contractor, service provider or supplier of the Company to cease to do business or terminate the employment or other relationship with the Company.</w:t>
      </w:r>
    </w:p>
    <w:p>
      <w:pPr>
        <w:spacing w:after="0" w:line="208" w:lineRule="exact"/>
        <w:rPr>
          <w:rFonts w:ascii="Arial" w:cs="Arial" w:eastAsia="Arial" w:hAnsi="Arial"/>
          <w:sz w:val="16"/>
          <w:szCs w:val="16"/>
          <w:color w:val="auto"/>
        </w:rPr>
      </w:pPr>
    </w:p>
    <w:p>
      <w:pPr>
        <w:ind w:right="20" w:firstLine="8"/>
        <w:spacing w:after="0" w:line="270" w:lineRule="auto"/>
        <w:tabs>
          <w:tab w:leader="none" w:pos="7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235" w:lineRule="exact"/>
        <w:rPr>
          <w:rFonts w:ascii="Arial" w:cs="Arial" w:eastAsia="Arial" w:hAnsi="Arial"/>
          <w:sz w:val="17"/>
          <w:szCs w:val="17"/>
          <w:color w:val="auto"/>
        </w:rPr>
      </w:pPr>
    </w:p>
    <w:p>
      <w:pPr>
        <w:ind w:right="20" w:firstLine="1971"/>
        <w:spacing w:after="0" w:line="264" w:lineRule="auto"/>
        <w:tabs>
          <w:tab w:leader="none" w:pos="26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OF THE COMPANY’S BUSINESSES, THE PARTIES AGREE THAT ANY BUSINESS ENGAGED IN ANY OF THE ACTIVITIES SET FORTH ON SCHEDULE 2 SHALL BE DEEMED TO BE A COMPETITIVE BUSINESS UNDER SUBPARAGRAPH (i) ABOVE.</w:t>
      </w:r>
    </w:p>
    <w:p>
      <w:pPr>
        <w:spacing w:after="0" w:line="235" w:lineRule="exact"/>
        <w:rPr>
          <w:rFonts w:ascii="Arial" w:cs="Arial" w:eastAsia="Arial" w:hAnsi="Arial"/>
          <w:sz w:val="18"/>
          <w:szCs w:val="18"/>
          <w:color w:val="auto"/>
        </w:rPr>
      </w:pPr>
    </w:p>
    <w:p>
      <w:pPr>
        <w:ind w:right="40" w:firstLine="1971"/>
        <w:spacing w:after="0" w:line="259" w:lineRule="auto"/>
        <w:tabs>
          <w:tab w:leader="none" w:pos="26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OF THE UNITED STATES IN WHICH THE COMPANY CARRIES OUT BUSINESS ACTIVITIES. EMPLOYEE AGREES THAT NOT SPECIFYING A MORE LIMITED GEOGRAPHIC AREA IS REASONABLE IN LIGHT OF THE BROAD GEOGRAPHIC SCOPE OF THE ACTIVITIES CARRIED OUT BY THE COMPANY IN THE UNITED STATES.</w:t>
      </w:r>
    </w:p>
    <w:p>
      <w:pPr>
        <w:spacing w:after="0" w:line="240" w:lineRule="exact"/>
        <w:rPr>
          <w:rFonts w:ascii="Arial" w:cs="Arial" w:eastAsia="Arial" w:hAnsi="Arial"/>
          <w:sz w:val="18"/>
          <w:szCs w:val="18"/>
          <w:color w:val="auto"/>
        </w:rPr>
      </w:pPr>
    </w:p>
    <w:p>
      <w:pPr>
        <w:ind w:right="80" w:firstLine="1971"/>
        <w:spacing w:after="0" w:line="264" w:lineRule="auto"/>
        <w:tabs>
          <w:tab w:leader="none" w:pos="27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or similar services to other businesses.</w:t>
      </w:r>
    </w:p>
    <w:p>
      <w:pPr>
        <w:spacing w:after="0" w:line="279" w:lineRule="exact"/>
        <w:rPr>
          <w:sz w:val="20"/>
          <w:szCs w:val="20"/>
          <w:color w:val="auto"/>
        </w:rPr>
      </w:pPr>
    </w:p>
    <w:p>
      <w:pPr>
        <w:ind w:right="520" w:firstLine="1953"/>
        <w:spacing w:after="0" w:line="277" w:lineRule="auto"/>
        <w:tabs>
          <w:tab w:leader="none" w:pos="2695"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 national securities exchange or market.</w:t>
      </w:r>
    </w:p>
    <w:p>
      <w:pPr>
        <w:spacing w:after="0" w:line="224" w:lineRule="exact"/>
        <w:rPr>
          <w:rFonts w:ascii="Arial" w:cs="Arial" w:eastAsia="Arial" w:hAnsi="Arial"/>
          <w:sz w:val="18"/>
          <w:szCs w:val="18"/>
          <w:color w:val="auto"/>
        </w:rPr>
      </w:pPr>
    </w:p>
    <w:p>
      <w:pPr>
        <w:ind w:right="140" w:firstLine="1305"/>
        <w:spacing w:after="0" w:line="271" w:lineRule="auto"/>
        <w:tabs>
          <w:tab w:leader="none" w:pos="20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w:t>
      </w: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ABOVE SHALL APPLY TO EMPLOYEE FOR A ONE-YEAR PERIOD FOLLOWING SUCH TERMINATION, PROVIDED THAT FOR THE PURPOSES OF THIS SUBPARAGRAPH THE TERM COMPETITIVE BUSINESS SHALL MEAN ANY OF THE FOLLOWING ENTITIES (OR THEIR SUCCESSORS) THAT IS ENGAGED IN COMPETITION WITH THE COMPANY’S BUSINESSES, DIRECTLY OR INDIRECTLY THROUGH ANY PARENT, SUBSIDIARY, AFFILIATE, JOINT VENTURE, PARTNERSHIP OR OTHERWISE: AT&amp;T INC.; DIRECTTV, INC.; DISH NETWORK CORPORATION; ECHOSTAR HOLDING CORPORATION; QWEST COMMUNICATIONS INTERNATIONAL, INC.; AND VERIZON COMMUNICATIONS, INC.; AND (ii) THE COMPANY SHALL PROVIDE TO EMPLOYEE, FOR A ONE-YEAR PERIOD FOLLOWING SUCH TERMINATION, THE PAYMENTS AND BENEFITS DESCRIBED IN SUBPARAGRAPHS 7(c)(i) AND 7(c)(iv) ON THE TERMS SET FORTH THEREIN, AS IF THERE HAD BEEN NO TERMINATION.</w:t>
      </w:r>
    </w:p>
    <w:p>
      <w:pPr>
        <w:spacing w:after="0" w:line="245" w:lineRule="exact"/>
        <w:rPr>
          <w:rFonts w:ascii="Arial" w:cs="Arial" w:eastAsia="Arial" w:hAnsi="Arial"/>
          <w:sz w:val="17"/>
          <w:szCs w:val="17"/>
          <w:color w:val="auto"/>
        </w:rPr>
      </w:pPr>
    </w:p>
    <w:p>
      <w:pPr>
        <w:ind w:right="40" w:firstLine="1305"/>
        <w:spacing w:after="0" w:line="283" w:lineRule="auto"/>
        <w:tabs>
          <w:tab w:leader="none" w:pos="20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affiliates,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(ii)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w:t>
      </w:r>
    </w:p>
    <w:p>
      <w:pPr>
        <w:spacing w:after="0" w:line="5"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ind w:right="20"/>
        <w:spacing w:after="0" w:line="271" w:lineRule="auto"/>
        <w:rPr>
          <w:sz w:val="20"/>
          <w:szCs w:val="20"/>
          <w:color w:val="auto"/>
        </w:rPr>
      </w:pPr>
      <w:r>
        <w:rPr>
          <w:rFonts w:ascii="Arial" w:cs="Arial" w:eastAsia="Arial" w:hAnsi="Arial"/>
          <w:sz w:val="17"/>
          <w:szCs w:val="17"/>
          <w:color w:val="auto"/>
        </w:rPr>
        <w:t>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or its affiliates,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Agreement.</w:t>
      </w:r>
    </w:p>
    <w:p>
      <w:pPr>
        <w:spacing w:after="0" w:line="233" w:lineRule="exact"/>
        <w:rPr>
          <w:sz w:val="20"/>
          <w:szCs w:val="20"/>
          <w:color w:val="auto"/>
        </w:rPr>
      </w:pPr>
    </w:p>
    <w:p>
      <w:pPr>
        <w:ind w:right="20" w:firstLine="1305"/>
        <w:spacing w:after="0" w:line="289" w:lineRule="auto"/>
        <w:tabs>
          <w:tab w:leader="none" w:pos="1991"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benefit plans and programs hereunder or thereunder (including in each case any arising following termination of employment); and (ii)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20" w:lineRule="exact"/>
        <w:rPr>
          <w:rFonts w:ascii="Arial" w:cs="Arial" w:eastAsia="Arial" w:hAnsi="Arial"/>
          <w:sz w:val="16"/>
          <w:szCs w:val="16"/>
          <w:color w:val="auto"/>
        </w:rPr>
      </w:pPr>
    </w:p>
    <w:p>
      <w:pPr>
        <w:ind w:right="20" w:firstLine="1305"/>
        <w:spacing w:after="0" w:line="276" w:lineRule="auto"/>
        <w:tabs>
          <w:tab w:leader="none" w:pos="19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26" w:lineRule="exact"/>
        <w:rPr>
          <w:rFonts w:ascii="Arial" w:cs="Arial" w:eastAsia="Arial" w:hAnsi="Arial"/>
          <w:sz w:val="17"/>
          <w:szCs w:val="17"/>
          <w:color w:val="auto"/>
        </w:rPr>
      </w:pPr>
    </w:p>
    <w:p>
      <w:pPr>
        <w:ind w:firstLine="1305"/>
        <w:spacing w:after="0" w:line="308" w:lineRule="auto"/>
        <w:tabs>
          <w:tab w:leader="none" w:pos="20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200" w:lineRule="exact"/>
        <w:rPr>
          <w:rFonts w:ascii="Arial" w:cs="Arial" w:eastAsia="Arial" w:hAnsi="Arial"/>
          <w:sz w:val="17"/>
          <w:szCs w:val="17"/>
          <w:color w:val="auto"/>
        </w:rPr>
      </w:pPr>
    </w:p>
    <w:p>
      <w:pPr>
        <w:ind w:right="440" w:firstLine="1305"/>
        <w:spacing w:after="0" w:line="277" w:lineRule="auto"/>
        <w:tabs>
          <w:tab w:leader="none" w:pos="20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13" w:name="page14"/>
    <w:bookmarkEnd w:id="13"/>
    <w:p>
      <w:pPr>
        <w:ind w:right="120"/>
        <w:spacing w:after="0" w:line="277" w:lineRule="auto"/>
        <w:rPr>
          <w:sz w:val="20"/>
          <w:szCs w:val="20"/>
          <w:color w:val="auto"/>
        </w:rPr>
      </w:pPr>
      <w:r>
        <w:rPr>
          <w:rFonts w:ascii="Arial" w:cs="Arial" w:eastAsia="Arial" w:hAnsi="Arial"/>
          <w:sz w:val="18"/>
          <w:szCs w:val="18"/>
          <w:color w:val="auto"/>
        </w:rPr>
        <w:t>in subparagraph (b)(i) or (c)(i) above, Employee will provide the prospective employer with written notice of the provisions of this Paragraph 8, with a copy of such notice provided simultaneously to the Company.</w:t>
      </w:r>
    </w:p>
    <w:p>
      <w:pPr>
        <w:spacing w:after="0" w:line="224" w:lineRule="exact"/>
        <w:rPr>
          <w:sz w:val="20"/>
          <w:szCs w:val="20"/>
          <w:color w:val="auto"/>
        </w:rPr>
      </w:pPr>
    </w:p>
    <w:p>
      <w:pPr>
        <w:ind w:right="20" w:firstLine="728"/>
        <w:spacing w:after="0" w:line="255" w:lineRule="auto"/>
        <w:tabs>
          <w:tab w:leader="none" w:pos="13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Non-Derogatory Statements</w:t>
      </w:r>
      <w:r>
        <w:rPr>
          <w:rFonts w:ascii="Arial" w:cs="Arial" w:eastAsia="Arial" w:hAnsi="Arial"/>
          <w:sz w:val="18"/>
          <w:szCs w:val="18"/>
          <w:color w:val="auto"/>
        </w:rPr>
        <w:t>. While employed by the Company (whether during the Term of thereafter), and for a period of five (5) years thereafter, Employee shall not, in any communication with any person or entity, including any actual or potential employer, customer, consultant, independent contractor, investor, lender, service provider or supplier of the Company, or any third party media outlet, make any significant derogatory or disparaging statements – orally, written or otherwise – against the Company or any of its directors, officers, agents, employees, contractors or affiliates (or any of their respective directors, officers, agents, employees, contractors or affiliates). The foregoing shall not be deemed to restrict Employee’s obligations to testify truthfully in any proceeding or cooperate in any governmental investigation.</w:t>
      </w:r>
    </w:p>
    <w:p>
      <w:pPr>
        <w:spacing w:after="0" w:line="247" w:lineRule="exact"/>
        <w:rPr>
          <w:rFonts w:ascii="Arial" w:cs="Arial" w:eastAsia="Arial" w:hAnsi="Arial"/>
          <w:sz w:val="18"/>
          <w:szCs w:val="18"/>
          <w:color w:val="auto"/>
        </w:rPr>
      </w:pPr>
    </w:p>
    <w:p>
      <w:pPr>
        <w:ind w:right="20" w:firstLine="728"/>
        <w:spacing w:after="0" w:line="283" w:lineRule="auto"/>
        <w:tabs>
          <w:tab w:leader="none" w:pos="130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agrees that the Company owns, and is entitled to receive all of the results and proceeds of, items produced or created by Employee (including, without limitation, inventions, patents, copyrights, trademarks, literary material and any other intellectual property), alone or in collaboration with others, that: (i) relate to the Company’s businesses, if produced or created during the period of Employee’s employment by the Company (whether during the Term or thereafter and whether during or outside working hours); or (ii) are produced or created during working hours or using the Company’s information, assets, technology or facilities (referred to collectively as the “Work”). Employee shall disclose and furnish to the Company, promptly following the Company’s request or immediately upon Employee’s termination of employment, any and all Work. Employee expressly acknowledges and agrees that the Work is specially ordered by the Company and shall be “works made-for-hire” under the United States copyright laws. In the event that a court of competent jurisdiction determines that any part of the Work is not made-for-hire, then Employee hereby irrevocably transfers and shall be deemed to have assigned all rights, title and interests in and to the Work to the Company, on an exclusive basis, including any and all copyrights, trademarks, trade secrets, patents or other proprietary rights, under the laws of the United States or of any other jurisdiction or country, in</w:t>
      </w:r>
    </w:p>
    <w:p>
      <w:pPr>
        <w:spacing w:after="0" w:line="5"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perpetuity. Employee shall, at the request of the Company, execute such documents as the Company may from time to time reasonably deem necessary or desirable to evidence, establish, maintain, protect, enforce and defend its title in and right to any such Work. In the event Employee fails or is unable to execute any such documents, Employee hereby appoints the Company as Employee’s attorney-in-fact with the full right, power and authority to execute and deliver the same, with full power of substitution and delegation, which appointment shall be deemed a power coupled with an interest and shall be irrevocable under any and all circumstances.</w:t>
      </w:r>
    </w:p>
    <w:p>
      <w:pPr>
        <w:spacing w:after="0" w:line="245" w:lineRule="exact"/>
        <w:rPr>
          <w:rFonts w:ascii="Arial" w:cs="Arial" w:eastAsia="Arial" w:hAnsi="Arial"/>
          <w:sz w:val="16"/>
          <w:szCs w:val="16"/>
          <w:color w:val="auto"/>
        </w:rPr>
      </w:pPr>
    </w:p>
    <w:p>
      <w:pPr>
        <w:ind w:left="1260" w:hanging="532"/>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79" w:lineRule="exact"/>
        <w:rPr>
          <w:sz w:val="20"/>
          <w:szCs w:val="20"/>
          <w:color w:val="auto"/>
        </w:rPr>
      </w:pPr>
    </w:p>
    <w:p>
      <w:pPr>
        <w:ind w:left="2420" w:hanging="476"/>
        <w:spacing w:after="0"/>
        <w:tabs>
          <w:tab w:leader="none" w:pos="2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terms of this Agreement.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4" w:name="page15"/>
    <w:bookmarkEnd w:id="14"/>
    <w:p>
      <w:pPr>
        <w:ind w:left="2560" w:hanging="616"/>
        <w:spacing w:after="0"/>
        <w:tabs>
          <w:tab w:leader="none" w:pos="2560" w:val="left"/>
        </w:tabs>
        <w:numPr>
          <w:ilvl w:val="3"/>
          <w:numId w:val="20"/>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79" w:lineRule="exact"/>
        <w:rPr>
          <w:rFonts w:ascii="Arial" w:cs="Arial" w:eastAsia="Arial" w:hAnsi="Arial"/>
          <w:sz w:val="18"/>
          <w:szCs w:val="18"/>
          <w:color w:val="auto"/>
        </w:rPr>
      </w:pPr>
    </w:p>
    <w:p>
      <w:pPr>
        <w:jc w:val="both"/>
        <w:ind w:firstLine="1944"/>
        <w:spacing w:after="0" w:line="342" w:lineRule="auto"/>
        <w:tabs>
          <w:tab w:leader="none" w:pos="2562" w:val="left"/>
        </w:tabs>
        <w:numPr>
          <w:ilvl w:val="3"/>
          <w:numId w:val="20"/>
        </w:numPr>
        <w:rPr>
          <w:rFonts w:ascii="Arial" w:cs="Arial" w:eastAsia="Arial" w:hAnsi="Arial"/>
          <w:sz w:val="16"/>
          <w:szCs w:val="16"/>
          <w:color w:val="auto"/>
        </w:rPr>
      </w:pPr>
      <w:r>
        <w:rPr>
          <w:rFonts w:ascii="Arial" w:cs="Arial" w:eastAsia="Arial" w:hAnsi="Arial"/>
          <w:sz w:val="16"/>
          <w:szCs w:val="16"/>
          <w:color w:val="auto"/>
        </w:rPr>
        <w:t>This Agreement, and the performance of Employee’s obligations hereunder, do not conflict with, violate or give rise to any rights of third parties under, any agreement, benefit plan or program, order, decree or judgment to which Employee is a party or by which Employee is bound.</w:t>
      </w:r>
    </w:p>
    <w:p>
      <w:pPr>
        <w:spacing w:after="0" w:line="177" w:lineRule="exact"/>
        <w:rPr>
          <w:rFonts w:ascii="Arial" w:cs="Arial" w:eastAsia="Arial" w:hAnsi="Arial"/>
          <w:sz w:val="16"/>
          <w:szCs w:val="16"/>
          <w:color w:val="auto"/>
        </w:rPr>
      </w:pPr>
    </w:p>
    <w:p>
      <w:pPr>
        <w:ind w:left="1840" w:hanging="482"/>
        <w:spacing w:after="0"/>
        <w:tabs>
          <w:tab w:leader="none" w:pos="18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79" w:lineRule="exact"/>
        <w:rPr>
          <w:rFonts w:ascii="Arial" w:cs="Arial" w:eastAsia="Arial" w:hAnsi="Arial"/>
          <w:sz w:val="18"/>
          <w:szCs w:val="18"/>
          <w:color w:val="auto"/>
        </w:rPr>
      </w:pPr>
    </w:p>
    <w:p>
      <w:pPr>
        <w:ind w:left="2520" w:hanging="576"/>
        <w:spacing w:after="0"/>
        <w:tabs>
          <w:tab w:leader="none" w:pos="2520" w:val="left"/>
        </w:tabs>
        <w:numPr>
          <w:ilvl w:val="3"/>
          <w:numId w:val="21"/>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the Company in accordance with its terms.</w:t>
      </w:r>
    </w:p>
    <w:p>
      <w:pPr>
        <w:spacing w:after="0" w:line="290" w:lineRule="exact"/>
        <w:rPr>
          <w:rFonts w:ascii="Arial" w:cs="Arial" w:eastAsia="Arial" w:hAnsi="Arial"/>
          <w:sz w:val="17"/>
          <w:szCs w:val="17"/>
          <w:color w:val="auto"/>
        </w:rPr>
      </w:pPr>
    </w:p>
    <w:p>
      <w:pPr>
        <w:ind w:right="120" w:firstLine="1944"/>
        <w:spacing w:after="0" w:line="308" w:lineRule="auto"/>
        <w:tabs>
          <w:tab w:leader="none" w:pos="2512" w:val="left"/>
        </w:tabs>
        <w:numPr>
          <w:ilvl w:val="3"/>
          <w:numId w:val="21"/>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third parties under, any agreement, order, decree or judgment to which the Company is a party or by which it is bound.</w:t>
      </w:r>
    </w:p>
    <w:p>
      <w:pPr>
        <w:spacing w:after="0" w:line="200" w:lineRule="exact"/>
        <w:rPr>
          <w:rFonts w:ascii="Arial" w:cs="Arial" w:eastAsia="Arial" w:hAnsi="Arial"/>
          <w:sz w:val="17"/>
          <w:szCs w:val="17"/>
          <w:color w:val="auto"/>
        </w:rPr>
      </w:pPr>
    </w:p>
    <w:p>
      <w:pPr>
        <w:ind w:left="1460" w:hanging="804"/>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compensation under this Agreement is subject to applicable tax withholding requirements and other deductions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64" w:lineRule="exact"/>
        <w:rPr>
          <w:rFonts w:ascii="Arial" w:cs="Arial" w:eastAsia="Arial" w:hAnsi="Arial"/>
          <w:sz w:val="16"/>
          <w:szCs w:val="16"/>
          <w:color w:val="auto"/>
        </w:rPr>
      </w:pPr>
    </w:p>
    <w:p>
      <w:pPr>
        <w:ind w:left="1520" w:hanging="864"/>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20" w:firstLine="1305"/>
        <w:spacing w:after="0" w:line="293" w:lineRule="auto"/>
        <w:tabs>
          <w:tab w:leader="none" w:pos="1991"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18" w:lineRule="exact"/>
        <w:rPr>
          <w:rFonts w:ascii="Arial" w:cs="Arial" w:eastAsia="Arial" w:hAnsi="Arial"/>
          <w:sz w:val="16"/>
          <w:szCs w:val="16"/>
          <w:color w:val="auto"/>
        </w:rPr>
      </w:pPr>
    </w:p>
    <w:p>
      <w:pPr>
        <w:ind w:right="100" w:firstLine="1305"/>
        <w:spacing w:after="0" w:line="277" w:lineRule="auto"/>
        <w:tabs>
          <w:tab w:leader="none" w:pos="20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224" w:lineRule="exact"/>
        <w:rPr>
          <w:rFonts w:ascii="Arial" w:cs="Arial" w:eastAsia="Arial" w:hAnsi="Arial"/>
          <w:sz w:val="18"/>
          <w:szCs w:val="18"/>
          <w:color w:val="auto"/>
        </w:rPr>
      </w:pPr>
    </w:p>
    <w:p>
      <w:pPr>
        <w:ind w:right="20" w:firstLine="1305"/>
        <w:spacing w:after="0" w:line="255" w:lineRule="auto"/>
        <w:tabs>
          <w:tab w:leader="none" w:pos="1991"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right="100"/>
        <w:spacing w:after="0" w:line="255" w:lineRule="auto"/>
        <w:rPr>
          <w:sz w:val="20"/>
          <w:szCs w:val="20"/>
          <w:color w:val="auto"/>
        </w:rPr>
      </w:pPr>
      <w:r>
        <w:rPr>
          <w:rFonts w:ascii="Arial" w:cs="Arial" w:eastAsia="Arial" w:hAnsi="Arial"/>
          <w:sz w:val="18"/>
          <w:szCs w:val="18"/>
          <w:color w:val="auto"/>
        </w:rPr>
        <w:t>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 (i) Employee’s annualized compensation for the year prior to his “separation from service” and (ii) the maximum amount that may be taken into account under a qualified plan pursuant to section 401(a)(17) of the Code, being paid to Employee in the first six months following his “separation from service.”</w:t>
      </w:r>
    </w:p>
    <w:p>
      <w:pPr>
        <w:spacing w:after="0" w:line="243" w:lineRule="exact"/>
        <w:rPr>
          <w:sz w:val="20"/>
          <w:szCs w:val="20"/>
          <w:color w:val="auto"/>
        </w:rPr>
      </w:pPr>
    </w:p>
    <w:p>
      <w:pPr>
        <w:ind w:firstLine="1305"/>
        <w:spacing w:after="0" w:line="259" w:lineRule="auto"/>
        <w:tabs>
          <w:tab w:leader="none" w:pos="1991"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Anything to the contrary herein notwithstanding, all benefits or payments provided by the Company to Employee that would be deemed to constitute “nonqualified deferred compensation” within the meaning of Section 401A of the Code are intended to comply with Section 409A of the Code. Notwithstanding anything in this Agreement to the contrary, distributions may only be made under this Agreement upon an event and in a manner permitted by Section 409A of the Code or an applicable exemption.</w:t>
      </w:r>
    </w:p>
    <w:p>
      <w:pPr>
        <w:spacing w:after="0" w:line="240" w:lineRule="exact"/>
        <w:rPr>
          <w:rFonts w:ascii="Arial" w:cs="Arial" w:eastAsia="Arial" w:hAnsi="Arial"/>
          <w:sz w:val="18"/>
          <w:szCs w:val="18"/>
          <w:color w:val="auto"/>
        </w:rPr>
      </w:pPr>
    </w:p>
    <w:p>
      <w:pPr>
        <w:ind w:left="1280" w:hanging="624"/>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305"/>
        <w:spacing w:after="0" w:line="286" w:lineRule="auto"/>
        <w:tabs>
          <w:tab w:leader="none" w:pos="2036"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219" w:lineRule="exact"/>
        <w:rPr>
          <w:rFonts w:ascii="Arial" w:cs="Arial" w:eastAsia="Arial" w:hAnsi="Arial"/>
          <w:sz w:val="17"/>
          <w:szCs w:val="17"/>
          <w:color w:val="auto"/>
        </w:rPr>
      </w:pPr>
    </w:p>
    <w:p>
      <w:pPr>
        <w:ind w:right="20" w:firstLine="1305"/>
        <w:spacing w:after="0" w:line="279" w:lineRule="auto"/>
        <w:tabs>
          <w:tab w:leader="none" w:pos="2046" w:val="left"/>
        </w:tabs>
        <w:numPr>
          <w:ilvl w:val="2"/>
          <w:numId w:val="24"/>
        </w:numPr>
        <w:rPr>
          <w:rFonts w:ascii="Arial" w:cs="Arial" w:eastAsia="Arial" w:hAnsi="Arial"/>
          <w:sz w:val="17"/>
          <w:szCs w:val="17"/>
          <w:color w:val="auto"/>
        </w:rPr>
      </w:pPr>
      <w:r>
        <w:rPr>
          <w:rFonts w:ascii="Arial" w:cs="Arial" w:eastAsia="Arial" w:hAnsi="Arial"/>
          <w:sz w:val="17"/>
          <w:szCs w:val="17"/>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221" w:lineRule="exact"/>
        <w:rPr>
          <w:rFonts w:ascii="Arial" w:cs="Arial" w:eastAsia="Arial" w:hAnsi="Arial"/>
          <w:sz w:val="17"/>
          <w:szCs w:val="17"/>
          <w:color w:val="auto"/>
        </w:rPr>
      </w:pPr>
    </w:p>
    <w:p>
      <w:pPr>
        <w:ind w:right="60" w:firstLine="8"/>
        <w:spacing w:after="0" w:line="256"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41" w:lineRule="exact"/>
        <w:rPr>
          <w:rFonts w:ascii="Arial" w:cs="Arial" w:eastAsia="Arial" w:hAnsi="Arial"/>
          <w:sz w:val="18"/>
          <w:szCs w:val="18"/>
          <w:color w:val="auto"/>
        </w:rPr>
      </w:pPr>
    </w:p>
    <w:p>
      <w:pPr>
        <w:ind w:left="1520" w:hanging="864"/>
        <w:spacing w:after="0"/>
        <w:tabs>
          <w:tab w:leader="none" w:pos="152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6" w:name="page17"/>
    <w:bookmarkEnd w:id="16"/>
    <w:p>
      <w:pPr>
        <w:spacing w:after="0" w:line="258" w:lineRule="auto"/>
        <w:rPr>
          <w:sz w:val="20"/>
          <w:szCs w:val="20"/>
          <w:color w:val="auto"/>
        </w:rPr>
      </w:pPr>
      <w:r>
        <w:rPr>
          <w:rFonts w:ascii="Arial" w:cs="Arial" w:eastAsia="Arial" w:hAnsi="Arial"/>
          <w:sz w:val="18"/>
          <w:szCs w:val="18"/>
          <w:b w:val="1"/>
          <w:bCs w:val="1"/>
          <w:color w:val="auto"/>
        </w:rPr>
        <w:t>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(a) PUNITIVE, EXEMPLARY, COMPENSATORY (OTHER THAN BASED ON ACTUAL ECONOMIC LOSS), EMOTIONAL DISTRESS, OR SPECIAL DAMAGES OR (b) ATTORNEYS’ FEES.</w:t>
      </w:r>
    </w:p>
    <w:p>
      <w:pPr>
        <w:spacing w:after="0" w:line="242" w:lineRule="exact"/>
        <w:rPr>
          <w:sz w:val="20"/>
          <w:szCs w:val="20"/>
          <w:color w:val="auto"/>
        </w:rPr>
      </w:pPr>
    </w:p>
    <w:p>
      <w:pPr>
        <w:ind w:right="120" w:firstLine="656"/>
        <w:spacing w:after="0" w:line="271" w:lineRule="auto"/>
        <w:tabs>
          <w:tab w:leader="none" w:pos="127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32" w:lineRule="exact"/>
        <w:rPr>
          <w:rFonts w:ascii="Arial" w:cs="Arial" w:eastAsia="Arial" w:hAnsi="Arial"/>
          <w:sz w:val="17"/>
          <w:szCs w:val="17"/>
          <w:color w:val="auto"/>
        </w:rPr>
      </w:pPr>
    </w:p>
    <w:p>
      <w:pPr>
        <w:ind w:right="560" w:firstLine="656"/>
        <w:spacing w:after="0" w:line="277" w:lineRule="auto"/>
        <w:tabs>
          <w:tab w:leader="none" w:pos="127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224" w:lineRule="exact"/>
        <w:rPr>
          <w:rFonts w:ascii="Arial" w:cs="Arial" w:eastAsia="Arial" w:hAnsi="Arial"/>
          <w:sz w:val="18"/>
          <w:szCs w:val="18"/>
          <w:color w:val="auto"/>
        </w:rPr>
      </w:pPr>
    </w:p>
    <w:p>
      <w:pPr>
        <w:ind w:right="160" w:firstLine="656"/>
        <w:spacing w:after="0" w:line="264" w:lineRule="auto"/>
        <w:tabs>
          <w:tab w:leader="none" w:pos="127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(215) 286-7794; and</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Employee’s address and fax number (if any) as indicated in the Company’s records.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7" w:name="page18"/>
    <w:bookmarkEnd w:id="17"/>
    <w:p>
      <w:pPr>
        <w:ind w:left="-40" w:firstLine="656"/>
        <w:spacing w:after="0" w:line="257" w:lineRule="auto"/>
        <w:tabs>
          <w:tab w:leader="none" w:pos="110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and supersedes and replaces in its entirety the Employment Agreement dated on November 22, 2005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42" w:lineRule="exact"/>
        <w:rPr>
          <w:rFonts w:ascii="Arial" w:cs="Arial" w:eastAsia="Arial" w:hAnsi="Arial"/>
          <w:sz w:val="18"/>
          <w:szCs w:val="18"/>
          <w:color w:val="auto"/>
        </w:rPr>
      </w:pPr>
    </w:p>
    <w:p>
      <w:pPr>
        <w:ind w:left="-40" w:right="140" w:firstLine="656"/>
        <w:spacing w:after="0" w:line="264" w:lineRule="auto"/>
        <w:tabs>
          <w:tab w:leader="none" w:pos="119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35" w:lineRule="exact"/>
        <w:rPr>
          <w:rFonts w:ascii="Arial" w:cs="Arial" w:eastAsia="Arial" w:hAnsi="Arial"/>
          <w:sz w:val="18"/>
          <w:szCs w:val="18"/>
          <w:color w:val="auto"/>
        </w:rPr>
      </w:pPr>
    </w:p>
    <w:p>
      <w:pPr>
        <w:ind w:left="-40" w:right="80" w:firstLine="656"/>
        <w:spacing w:after="0" w:line="259" w:lineRule="auto"/>
        <w:tabs>
          <w:tab w:leader="none" w:pos="119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40" w:lineRule="exact"/>
        <w:rPr>
          <w:rFonts w:ascii="Arial" w:cs="Arial" w:eastAsia="Arial" w:hAnsi="Arial"/>
          <w:sz w:val="18"/>
          <w:szCs w:val="18"/>
          <w:color w:val="auto"/>
        </w:rPr>
      </w:pPr>
    </w:p>
    <w:p>
      <w:pPr>
        <w:ind w:left="-40" w:firstLine="656"/>
        <w:spacing w:after="0" w:line="264" w:lineRule="auto"/>
        <w:tabs>
          <w:tab w:leader="none" w:pos="119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80"/>
        <w:spacing w:after="0"/>
        <w:tabs>
          <w:tab w:leader="none" w:pos="618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14605</wp:posOffset>
            </wp:positionV>
            <wp:extent cx="19983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98345" cy="17145"/>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12/16/09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14605</wp:posOffset>
            </wp:positionV>
            <wp:extent cx="19983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98345" cy="17145"/>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14605</wp:posOffset>
            </wp:positionV>
            <wp:extent cx="23241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Stephen B. Burke</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12/16/09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14605</wp:posOffset>
            </wp:positionV>
            <wp:extent cx="19983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98345" cy="17145"/>
                    </a:xfrm>
                    <a:prstGeom prst="rect">
                      <a:avLst/>
                    </a:prstGeom>
                    <a:noFill/>
                  </pic:spPr>
                </pic:pic>
              </a:graphicData>
            </a:graphic>
          </wp:anchor>
        </w:drawing>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80" w:top="66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u w:val="single" w:color="auto"/>
          <w:color w:val="auto"/>
        </w:rPr>
        <w:t>SCHEDULE 1 TO EMPLOYMENT AGREEMENT WITH STEPHEN B. BURKE</w:t>
      </w:r>
    </w:p>
    <w:p>
      <w:pPr>
        <w:spacing w:after="0" w:line="279" w:lineRule="exact"/>
        <w:rPr>
          <w:sz w:val="20"/>
          <w:szCs w:val="20"/>
          <w:color w:val="auto"/>
        </w:rPr>
      </w:pPr>
    </w:p>
    <w:p>
      <w:pPr>
        <w:spacing w:after="0"/>
        <w:tabs>
          <w:tab w:leader="none" w:pos="660" w:val="left"/>
          <w:tab w:leader="none" w:pos="2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Position:</w:t>
      </w:r>
      <w:r>
        <w:rPr>
          <w:sz w:val="20"/>
          <w:szCs w:val="20"/>
          <w:color w:val="auto"/>
        </w:rPr>
        <w:tab/>
      </w:r>
      <w:r>
        <w:rPr>
          <w:rFonts w:ascii="Arial" w:cs="Arial" w:eastAsia="Arial" w:hAnsi="Arial"/>
          <w:sz w:val="16"/>
          <w:szCs w:val="16"/>
          <w:color w:val="auto"/>
        </w:rPr>
        <w:t>Executive Vice President and Chief Operating Officer, Comcast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 and President, Cable Division.</w:t>
      </w:r>
    </w:p>
    <w:p>
      <w:pPr>
        <w:spacing w:after="0" w:line="265" w:lineRule="exact"/>
        <w:rPr>
          <w:sz w:val="20"/>
          <w:szCs w:val="20"/>
          <w:color w:val="auto"/>
        </w:rPr>
      </w:pPr>
    </w:p>
    <w:p>
      <w:pPr>
        <w:ind w:left="660" w:hanging="652"/>
        <w:spacing w:after="0" w:line="31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Signing Bonus Amount and Terms: $3,000,000; provided that Employee shall be required to reimburse the Company for 100% of the amount of each signing bonus in the event a Termination With Cause or Termination Without Good Reason occurs within six months of the date thereof, or fifty percent (50%) of the amount of the signing bonus if either such event occurs following six months but within one year of the date thereof.</w:t>
      </w:r>
    </w:p>
    <w:p>
      <w:pPr>
        <w:spacing w:after="0" w:line="200"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Amount and Vesting Schedule: units for shares having a market value of approximately $6,000,000; vesting: 100% on the thirteen-month anniversary of the date of grant. Employee shall remain subject to the Company’s Stock Ownership Policy.</w:t>
      </w:r>
    </w:p>
    <w:p>
      <w:pPr>
        <w:spacing w:after="0" w:line="224"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224" w:lineRule="exact"/>
        <w:rPr>
          <w:rFonts w:ascii="Arial" w:cs="Arial" w:eastAsia="Arial" w:hAnsi="Arial"/>
          <w:sz w:val="18"/>
          <w:szCs w:val="18"/>
          <w:color w:val="auto"/>
        </w:rPr>
      </w:pPr>
    </w:p>
    <w:p>
      <w:pPr>
        <w:ind w:left="660" w:right="128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Restricted Stock and Stock Option Plan Grants Continued Vesting Period following Termination Without Cause or Termination With Good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Reason: Twelve (12) months. Stock Option Plan Grants Continued Exercisability Period following Termination Without Cause or Termination With</w:t>
      </w:r>
    </w:p>
    <w:p>
      <w:pPr>
        <w:spacing w:after="0" w:line="3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Good Reason: the lesser of fifteen (15) months or the end of the stock option’s term.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4437"/>
        <w:spacing w:after="0"/>
        <w:rPr>
          <w:sz w:val="20"/>
          <w:szCs w:val="20"/>
          <w:color w:val="auto"/>
        </w:rPr>
      </w:pPr>
      <w:r>
        <w:rPr>
          <w:rFonts w:ascii="Arial" w:cs="Arial" w:eastAsia="Arial" w:hAnsi="Arial"/>
          <w:sz w:val="18"/>
          <w:szCs w:val="18"/>
          <w:u w:val="single" w:color="auto"/>
          <w:color w:val="auto"/>
        </w:rPr>
        <w:t>SCHEDULE 2</w:t>
      </w:r>
    </w:p>
    <w:p>
      <w:pPr>
        <w:spacing w:after="0" w:line="279" w:lineRule="exact"/>
        <w:rPr>
          <w:sz w:val="20"/>
          <w:szCs w:val="20"/>
          <w:color w:val="auto"/>
        </w:rPr>
      </w:pPr>
    </w:p>
    <w:p>
      <w:pPr>
        <w:ind w:left="3417"/>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79" w:lineRule="exact"/>
        <w:rPr>
          <w:sz w:val="20"/>
          <w:szCs w:val="20"/>
          <w:color w:val="auto"/>
        </w:rPr>
      </w:pPr>
    </w:p>
    <w:p>
      <w:pPr>
        <w:ind w:left="257" w:right="120" w:hanging="257"/>
        <w:spacing w:after="0" w:line="289"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or other), and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Bright House Networks; Cablevision Systems Corp.; Charter Communications, Inc.; Cox Communications, Inc.; DirecTV, Inc.; DISH Network Corporation; EchoStar Holding Corporation; Everest; Facebook, Inc.; Flixster, Inc; Google, Inc. (including YouTube); Joost Operations S.A.; Knology Holdings, Inc.; Microsoft Corporation (including Xbox); N-F NewSite, LLC d/b/a hulu.com; Qwest Communications International, Inc.; RCN Corporation; Roku, Inc.; Time Warner Cable, Inc.; TiVo Inc.; Verizon Communications, Inc.; VUDU, Inc.; and Wide Open West.</w:t>
      </w:r>
    </w:p>
    <w:p>
      <w:pPr>
        <w:spacing w:after="0" w:line="220" w:lineRule="exact"/>
        <w:rPr>
          <w:rFonts w:ascii="Arial" w:cs="Arial" w:eastAsia="Arial" w:hAnsi="Arial"/>
          <w:sz w:val="16"/>
          <w:szCs w:val="16"/>
          <w:color w:val="auto"/>
        </w:rPr>
      </w:pPr>
    </w:p>
    <w:p>
      <w:pPr>
        <w:ind w:left="257" w:hanging="247"/>
        <w:spacing w:after="0" w:line="270" w:lineRule="auto"/>
        <w:tabs>
          <w:tab w:leader="none" w:pos="25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AT&amp;T Inc.; Bright House Networks; Cablevision Systems Corp.; Charter Communications Inc.; Clearwire Corporation; Cox Communications, Inc.; DirecTV, Inc.; DISH Network Corporation; EchoStar Holding Corporation; Google, Inc.; Knology Holdings, Inc.; Microsoft Corporation (including MSN); Qwest Communications International, Inc.; RCN Corporation; Sprint Nextel Corporation; Time Warner Cable, Inc.; Time Warner Inc. (including AOL); Verizon Communications, Inc.; and Yahoo, Inc.</w:t>
      </w:r>
    </w:p>
    <w:p>
      <w:pPr>
        <w:spacing w:after="0" w:line="235" w:lineRule="exact"/>
        <w:rPr>
          <w:rFonts w:ascii="Arial" w:cs="Arial" w:eastAsia="Arial" w:hAnsi="Arial"/>
          <w:sz w:val="17"/>
          <w:szCs w:val="17"/>
          <w:color w:val="auto"/>
        </w:rPr>
      </w:pPr>
    </w:p>
    <w:p>
      <w:pPr>
        <w:ind w:left="257" w:right="60" w:hanging="247"/>
        <w:spacing w:after="0" w:line="273" w:lineRule="auto"/>
        <w:tabs>
          <w:tab w:leader="none" w:pos="25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provision of voice and/or data service to consumer or commercial customers or users, whether by analog or digital technology,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voice and/or data service as of the date hereof: AT&amp;T Inc.; Bright House Networks; Cablevision Systems Corp.; Charter Communications, Inc.; Clearwire Corporation; Cox Communications, Inc.; DirecTV, Inc.; DISH Network Corporation; EchoStar Holding Corporation; Embarq Corporation;</w:t>
      </w:r>
    </w:p>
    <w:p>
      <w:pPr>
        <w:spacing w:after="0" w:line="232" w:lineRule="exact"/>
        <w:rPr>
          <w:sz w:val="20"/>
          <w:szCs w:val="20"/>
          <w:color w:val="auto"/>
        </w:rPr>
      </w:pPr>
    </w:p>
    <w:p>
      <w:pPr>
        <w:ind w:left="487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77"/>
          </w:cols>
          <w:pgMar w:left="983" w:top="665" w:right="239" w:bottom="1440" w:gutter="0" w:footer="0" w:header="0"/>
        </w:sectPr>
      </w:pPr>
    </w:p>
    <w:bookmarkStart w:id="20" w:name="page21"/>
    <w:bookmarkEnd w:id="20"/>
    <w:p>
      <w:pPr>
        <w:ind w:left="257" w:right="660"/>
        <w:spacing w:after="0" w:line="308" w:lineRule="auto"/>
        <w:rPr>
          <w:sz w:val="20"/>
          <w:szCs w:val="20"/>
          <w:color w:val="auto"/>
        </w:rPr>
      </w:pPr>
      <w:r>
        <w:rPr>
          <w:rFonts w:ascii="Arial" w:cs="Arial" w:eastAsia="Arial" w:hAnsi="Arial"/>
          <w:sz w:val="17"/>
          <w:szCs w:val="17"/>
          <w:color w:val="auto"/>
        </w:rPr>
        <w:t>Google, Inc.; Knology Holdings, Inc.; Qwest Communications International, Inc.; RCN Corporation; Sprint Nextel Corporation; Skype Limited; Time Warner Cable, Inc.; Vonage Holdings Corp.; Verizon Communications, Inc.; and Wide Open West.</w:t>
      </w:r>
    </w:p>
    <w:p>
      <w:pPr>
        <w:spacing w:after="0" w:line="201" w:lineRule="exact"/>
        <w:rPr>
          <w:sz w:val="20"/>
          <w:szCs w:val="20"/>
          <w:color w:val="auto"/>
        </w:rPr>
      </w:pPr>
    </w:p>
    <w:p>
      <w:pPr>
        <w:ind w:left="257" w:right="140" w:hanging="257"/>
        <w:spacing w:after="0" w:line="273" w:lineRule="auto"/>
        <w:tabs>
          <w:tab w:leader="none" w:pos="25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AT&amp;T Inc.; Boingo Wireless, Inc.; Bright House Networks; Clearwire Corporation; Leap Wireless International, Inc.; MediaFLO USA, Inc.; MetroPCS Communications, Inc.; Sprint Nextel Corporation; T-Mobile USA, Inc.; and Verizon Communications, Inc.</w:t>
      </w:r>
    </w:p>
    <w:p>
      <w:pPr>
        <w:spacing w:after="0" w:line="232" w:lineRule="exact"/>
        <w:rPr>
          <w:rFonts w:ascii="Arial" w:cs="Arial" w:eastAsia="Arial" w:hAnsi="Arial"/>
          <w:sz w:val="17"/>
          <w:szCs w:val="17"/>
          <w:color w:val="auto"/>
        </w:rPr>
      </w:pPr>
    </w:p>
    <w:p>
      <w:pPr>
        <w:ind w:left="257" w:hanging="237"/>
        <w:spacing w:after="0" w:line="270" w:lineRule="auto"/>
        <w:tabs>
          <w:tab w:leader="none" w:pos="25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CBS Corporation; Cox Communications, Inc.; Discovery Communications, Inc.; Epix Joint Venture; EW Scripps Co.; General Electric Co. (including NBC-Universal); Google, Inc. (including YouTube); IAC/InterActive Corp; Liberty Media Corp.; Metro-Goldwyn-Mayer Inc.; News Corp. (including Fox and MySpace); Sony Corporation of America; The Walt Disney Company, Inc. (including ABC); Time Warner Inc. (including AOL, Turner and Warner Bros.); and Viacom Inc. (including Dreamworks and Paramount).</w:t>
      </w:r>
    </w:p>
    <w:p>
      <w:pPr>
        <w:spacing w:after="0" w:line="235" w:lineRule="exact"/>
        <w:rPr>
          <w:rFonts w:ascii="Arial" w:cs="Arial" w:eastAsia="Arial" w:hAnsi="Arial"/>
          <w:sz w:val="17"/>
          <w:szCs w:val="17"/>
          <w:color w:val="auto"/>
        </w:rPr>
      </w:pPr>
    </w:p>
    <w:p>
      <w:pPr>
        <w:ind w:left="257" w:right="40" w:hanging="213"/>
        <w:spacing w:after="0" w:line="273" w:lineRule="auto"/>
        <w:tabs>
          <w:tab w:leader="none" w:pos="25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AT&amp;T Inc.; BitTorrent, Inc.; Bright Cove, Inc.; CBS Interactive Inc. (including CNET); Facebook, Inc.; Flixster, Inc.; Friendfeed Inc.; Google, Inc. (including YouTube); hulu.com; Joost Operations S.A.; LinkedIn Corporation; Microsoft Corporation (including MSN); News Corp. (including MySpace); RealNetworks, Inc.; The Walt Disney Company, Inc.; Time Warner Inc. (including AOL); TiVo Inc.; Verizon Communications, Inc.; XING AG; Xobni Corporation; and Yahoo, Inc.</w:t>
      </w:r>
    </w:p>
    <w:p>
      <w:pPr>
        <w:spacing w:after="0" w:line="232" w:lineRule="exact"/>
        <w:rPr>
          <w:rFonts w:ascii="Arial" w:cs="Arial" w:eastAsia="Arial" w:hAnsi="Arial"/>
          <w:sz w:val="17"/>
          <w:szCs w:val="17"/>
          <w:color w:val="auto"/>
        </w:rPr>
      </w:pPr>
    </w:p>
    <w:p>
      <w:pPr>
        <w:ind w:left="257" w:right="280" w:hanging="257"/>
        <w:spacing w:after="0" w:line="277" w:lineRule="auto"/>
        <w:tabs>
          <w:tab w:leader="none" w:pos="2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creation, development, enhancement, testing, deployment, operation, licensing or sale of software or other technology used in any of the products or services described in A to F above.</w:t>
      </w:r>
    </w:p>
    <w:p>
      <w:pPr>
        <w:spacing w:after="0" w:line="197" w:lineRule="exact"/>
        <w:rPr>
          <w:sz w:val="20"/>
          <w:szCs w:val="20"/>
          <w:color w:val="auto"/>
        </w:rPr>
      </w:pPr>
    </w:p>
    <w:p>
      <w:pPr>
        <w:ind w:left="4897"/>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77"/>
          </w:cols>
          <w:pgMar w:left="983" w:top="66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ind w:right="400"/>
        <w:spacing w:after="0" w:line="223" w:lineRule="auto"/>
        <w:rPr>
          <w:sz w:val="20"/>
          <w:szCs w:val="20"/>
          <w:color w:val="auto"/>
        </w:rPr>
      </w:pPr>
      <w:r>
        <w:rPr>
          <w:rFonts w:ascii="Arial" w:cs="Arial" w:eastAsia="Arial" w:hAnsi="Arial"/>
          <w:sz w:val="18"/>
          <w:szCs w:val="18"/>
          <w:color w:val="auto"/>
        </w:rPr>
        <w:t>This EMPLOYMENT AGREEMENT (the “Agreement”) is entered into as of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December, 2009, between COMCAST CORPORATION, a Pennsylvania corporation (together with its subsidiaries, the “Company”), and MICHAEL J. ANGELAKIS (“Employee”).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52" w:lineRule="exact"/>
        <w:rPr>
          <w:sz w:val="20"/>
          <w:szCs w:val="20"/>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0" w:firstLine="8"/>
        <w:spacing w:after="0" w:line="286" w:lineRule="auto"/>
        <w:tabs>
          <w:tab w:leader="none" w:pos="6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192" w:lineRule="exact"/>
        <w:rPr>
          <w:rFonts w:ascii="Arial" w:cs="Arial" w:eastAsia="Arial" w:hAnsi="Arial"/>
          <w:sz w:val="17"/>
          <w:szCs w:val="17"/>
          <w:color w:val="auto"/>
        </w:rPr>
      </w:pPr>
    </w:p>
    <w:p>
      <w:pPr>
        <w:ind w:right="20" w:firstLine="8"/>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213" w:lineRule="exact"/>
        <w:rPr>
          <w:rFonts w:ascii="Arial" w:cs="Arial" w:eastAsia="Arial" w:hAnsi="Arial"/>
          <w:sz w:val="18"/>
          <w:szCs w:val="18"/>
          <w:color w:val="auto"/>
        </w:rPr>
      </w:pPr>
    </w:p>
    <w:p>
      <w:pPr>
        <w:ind w:right="400" w:firstLine="1305"/>
        <w:spacing w:after="0" w:line="277" w:lineRule="auto"/>
        <w:tabs>
          <w:tab w:leader="none" w:pos="1991" w:val="left"/>
        </w:tabs>
        <w:numPr>
          <w:ilvl w:val="2"/>
          <w:numId w:val="32"/>
        </w:numPr>
        <w:rPr>
          <w:rFonts w:ascii="Arial" w:cs="Arial" w:eastAsia="Arial" w:hAnsi="Arial"/>
          <w:sz w:val="18"/>
          <w:szCs w:val="18"/>
          <w:color w:val="auto"/>
        </w:rPr>
      </w:pPr>
      <w:r>
        <w:rPr>
          <w:rFonts w:ascii="Arial" w:cs="Arial" w:eastAsia="Arial" w:hAnsi="Arial"/>
          <w:sz w:val="18"/>
          <w:szCs w:val="18"/>
          <w:color w:val="auto"/>
        </w:rPr>
        <w:t>Employee shall comply with all policies of the Company applicable to Employee, including the Employee Handbook and the Code of Ethics and Business Conduct.</w:t>
      </w:r>
    </w:p>
    <w:p>
      <w:pPr>
        <w:spacing w:after="0" w:line="197"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(the “Term”) shall be from the date first-above written (the “Commencement Date”) through the first to occur</w:t>
      </w:r>
    </w:p>
    <w:p>
      <w:pPr>
        <w:spacing w:after="0" w:line="34" w:lineRule="exact"/>
        <w:rPr>
          <w:rFonts w:ascii="Arial" w:cs="Arial" w:eastAsia="Arial" w:hAnsi="Arial"/>
          <w:sz w:val="17"/>
          <w:szCs w:val="17"/>
          <w:color w:val="auto"/>
        </w:rPr>
      </w:pPr>
    </w:p>
    <w:p>
      <w:pPr>
        <w:jc w:val="both"/>
        <w:ind w:right="260"/>
        <w:spacing w:after="0" w:line="302" w:lineRule="auto"/>
        <w:rPr>
          <w:rFonts w:ascii="Arial" w:cs="Arial" w:eastAsia="Arial" w:hAnsi="Arial"/>
          <w:sz w:val="17"/>
          <w:szCs w:val="17"/>
          <w:color w:val="auto"/>
        </w:rPr>
      </w:pPr>
      <w:r>
        <w:rPr>
          <w:rFonts w:ascii="Arial" w:cs="Arial" w:eastAsia="Arial" w:hAnsi="Arial"/>
          <w:sz w:val="16"/>
          <w:szCs w:val="16"/>
          <w:color w:val="auto"/>
        </w:rPr>
        <w:t>of: (a) the date Employee’s employment is terminated in accordance with Paragraph 6; or (b) December 31, 2012 (the date specified in subparagraph (b) is referred to as “Regular End Date”). Notwithstanding the end of the Term, the Company’s obligation to make any payments expressly set forth herein to be made after the Term, and Employee’s covenants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ind w:left="952" w:hanging="506"/>
        <w:spacing w:after="0"/>
        <w:tabs>
          <w:tab w:leader="none" w:pos="95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 w:right="40" w:firstLine="1305"/>
        <w:spacing w:after="0" w:line="255" w:lineRule="auto"/>
        <w:tabs>
          <w:tab w:leader="none" w:pos="1983"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(“Base Salary”) from the Commencement Date through February 28, 2010 shall be at Employee’s current annual rate and shall not thereafter be reduced other than as part of a salary reduction program effected by the Company during the Term, on a basis consistent with that applicable to other employees at Employee’s level. Employee shall thereafter be entitled to participate in any salary increase program offered by the Company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220" w:lineRule="exact"/>
        <w:rPr>
          <w:rFonts w:ascii="Arial" w:cs="Arial" w:eastAsia="Arial" w:hAnsi="Arial"/>
          <w:sz w:val="18"/>
          <w:szCs w:val="18"/>
          <w:color w:val="auto"/>
        </w:rPr>
      </w:pPr>
    </w:p>
    <w:p>
      <w:pPr>
        <w:ind w:left="-8" w:right="200" w:firstLine="8"/>
        <w:spacing w:after="0" w:line="342" w:lineRule="auto"/>
        <w:tabs>
          <w:tab w:leader="none" w:pos="69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Signing Bonuses</w:t>
      </w:r>
      <w:r>
        <w:rPr>
          <w:rFonts w:ascii="Arial" w:cs="Arial" w:eastAsia="Arial" w:hAnsi="Arial"/>
          <w:sz w:val="16"/>
          <w:szCs w:val="16"/>
          <w:color w:val="auto"/>
        </w:rPr>
        <w:t>. As soon as practicable after each of (A) the Commencement Date and (B) the first to occur of June 30, 2010 and the closing of the Company’s NBC Universal transaction, Employee shall receive a cash signing bonus in the amount and on the terms set forth on Schedule 1.</w:t>
      </w:r>
    </w:p>
    <w:p>
      <w:pPr>
        <w:spacing w:after="0" w:line="150" w:lineRule="exact"/>
        <w:rPr>
          <w:rFonts w:ascii="Arial" w:cs="Arial" w:eastAsia="Arial" w:hAnsi="Arial"/>
          <w:sz w:val="16"/>
          <w:szCs w:val="16"/>
          <w:color w:val="auto"/>
        </w:rPr>
      </w:pPr>
    </w:p>
    <w:p>
      <w:pPr>
        <w:ind w:left="1952" w:hanging="655"/>
        <w:spacing w:after="0"/>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Restricted Stock/Stock Option Grants.</w:t>
      </w:r>
    </w:p>
    <w:p>
      <w:pPr>
        <w:spacing w:after="0" w:line="252" w:lineRule="exact"/>
        <w:rPr>
          <w:rFonts w:ascii="Arial" w:cs="Arial" w:eastAsia="Arial" w:hAnsi="Arial"/>
          <w:sz w:val="18"/>
          <w:szCs w:val="18"/>
          <w:color w:val="auto"/>
        </w:rPr>
      </w:pPr>
    </w:p>
    <w:p>
      <w:pPr>
        <w:ind w:left="-8" w:right="60" w:firstLine="1953"/>
        <w:spacing w:after="0" w:line="286" w:lineRule="auto"/>
        <w:tabs>
          <w:tab w:leader="none" w:pos="2592" w:val="left"/>
        </w:tabs>
        <w:numPr>
          <w:ilvl w:val="3"/>
          <w:numId w:val="35"/>
        </w:numPr>
        <w:rPr>
          <w:rFonts w:ascii="Arial" w:cs="Arial" w:eastAsia="Arial" w:hAnsi="Arial"/>
          <w:sz w:val="17"/>
          <w:szCs w:val="17"/>
          <w:color w:val="auto"/>
        </w:rPr>
      </w:pPr>
      <w:r>
        <w:rPr>
          <w:rFonts w:ascii="Arial" w:cs="Arial" w:eastAsia="Arial" w:hAnsi="Arial"/>
          <w:sz w:val="17"/>
          <w:szCs w:val="17"/>
          <w:color w:val="auto"/>
        </w:rPr>
        <w:t>As soon as practicable after each of (A) the Commencement Date and (B) the first to occur of June 1, 2010 and the closing of the Company’s NBC Universal transaction, Employee shall receive a grant of restricted stock units under the Company’s Restricted Stock Plan for the number of shares of the Company’s Class A Common Stock set forth on Schedule 1. Such units shall vest as set forth on Schedule 1.</w:t>
      </w:r>
    </w:p>
    <w:p>
      <w:pPr>
        <w:spacing w:after="0" w:line="192" w:lineRule="exact"/>
        <w:rPr>
          <w:rFonts w:ascii="Arial" w:cs="Arial" w:eastAsia="Arial" w:hAnsi="Arial"/>
          <w:sz w:val="17"/>
          <w:szCs w:val="17"/>
          <w:color w:val="auto"/>
        </w:rPr>
      </w:pPr>
    </w:p>
    <w:p>
      <w:pPr>
        <w:ind w:left="-8" w:right="60" w:firstLine="1953"/>
        <w:spacing w:after="0" w:line="286" w:lineRule="auto"/>
        <w:tabs>
          <w:tab w:leader="none" w:pos="2652" w:val="left"/>
        </w:tabs>
        <w:numPr>
          <w:ilvl w:val="3"/>
          <w:numId w:val="35"/>
        </w:numPr>
        <w:rPr>
          <w:rFonts w:ascii="Arial" w:cs="Arial" w:eastAsia="Arial" w:hAnsi="Arial"/>
          <w:sz w:val="17"/>
          <w:szCs w:val="17"/>
          <w:color w:val="auto"/>
        </w:rPr>
      </w:pPr>
      <w:r>
        <w:rPr>
          <w:rFonts w:ascii="Arial" w:cs="Arial" w:eastAsia="Arial" w:hAnsi="Arial"/>
          <w:sz w:val="17"/>
          <w:szCs w:val="17"/>
          <w:color w:val="auto"/>
        </w:rPr>
        <w:t>Continuing in 2010,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92" w:lineRule="exact"/>
        <w:rPr>
          <w:rFonts w:ascii="Arial" w:cs="Arial" w:eastAsia="Arial" w:hAnsi="Arial"/>
          <w:sz w:val="17"/>
          <w:szCs w:val="17"/>
          <w:color w:val="auto"/>
        </w:rPr>
      </w:pPr>
    </w:p>
    <w:p>
      <w:pPr>
        <w:ind w:left="1952" w:hanging="655"/>
        <w:spacing w:after="0"/>
        <w:tabs>
          <w:tab w:leader="none" w:pos="1952"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 w:right="140" w:firstLine="1953"/>
        <w:spacing w:after="0" w:line="259" w:lineRule="auto"/>
        <w:tabs>
          <w:tab w:leader="none" w:pos="2647" w:val="left"/>
        </w:tabs>
        <w:numPr>
          <w:ilvl w:val="3"/>
          <w:numId w:val="35"/>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 as set forth on Schedule 1 through each of December 31, 2009 and December 31, 2010.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213" w:lineRule="exact"/>
        <w:rPr>
          <w:rFonts w:ascii="Arial" w:cs="Arial" w:eastAsia="Arial" w:hAnsi="Arial"/>
          <w:sz w:val="18"/>
          <w:szCs w:val="18"/>
          <w:color w:val="auto"/>
        </w:rPr>
      </w:pPr>
    </w:p>
    <w:p>
      <w:pPr>
        <w:ind w:left="-8" w:firstLine="1953"/>
        <w:spacing w:after="0" w:line="259" w:lineRule="auto"/>
        <w:tabs>
          <w:tab w:leader="none" w:pos="2652" w:val="left"/>
        </w:tabs>
        <w:numPr>
          <w:ilvl w:val="3"/>
          <w:numId w:val="35"/>
        </w:numPr>
        <w:rPr>
          <w:rFonts w:ascii="Arial" w:cs="Arial" w:eastAsia="Arial" w:hAnsi="Arial"/>
          <w:sz w:val="18"/>
          <w:szCs w:val="18"/>
          <w:color w:val="auto"/>
        </w:rPr>
      </w:pPr>
      <w:r>
        <w:rPr>
          <w:rFonts w:ascii="Arial" w:cs="Arial" w:eastAsia="Arial" w:hAnsi="Arial"/>
          <w:sz w:val="18"/>
          <w:szCs w:val="18"/>
          <w:color w:val="auto"/>
        </w:rPr>
        <w:t>Employee shall be entitled to continued participation in the Company’s Cash Bonus Plan (or any successor performance-based cash incentive compensation plan) with respect to each subsequent calendar year (or portion thereof) in the Term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2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23" w:name="page24"/>
    <w:bookmarkEnd w:id="23"/>
    <w:p>
      <w:pPr>
        <w:ind w:left="1992" w:hanging="695"/>
        <w:spacing w:after="0"/>
        <w:tabs>
          <w:tab w:leader="none" w:pos="199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2" w:right="360" w:firstLine="1436"/>
        <w:spacing w:after="0" w:line="277" w:lineRule="auto"/>
        <w:tabs>
          <w:tab w:leader="none" w:pos="27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197" w:lineRule="exact"/>
        <w:rPr>
          <w:rFonts w:ascii="Arial" w:cs="Arial" w:eastAsia="Arial" w:hAnsi="Arial"/>
          <w:sz w:val="18"/>
          <w:szCs w:val="18"/>
          <w:color w:val="auto"/>
        </w:rPr>
      </w:pPr>
    </w:p>
    <w:p>
      <w:pPr>
        <w:ind w:left="-8" w:firstLine="2096"/>
        <w:spacing w:after="0" w:line="264" w:lineRule="auto"/>
        <w:tabs>
          <w:tab w:leader="none" w:pos="27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(A) as of the Commencement Date, $1,000,000, and (B) as of January 1 of each of the following calendar years, the following amounts:</w:t>
      </w:r>
    </w:p>
    <w:p>
      <w:pPr>
        <w:spacing w:after="0" w:line="191" w:lineRule="exact"/>
        <w:rPr>
          <w:sz w:val="20"/>
          <w:szCs w:val="20"/>
          <w:color w:val="auto"/>
        </w:rPr>
      </w:pPr>
    </w:p>
    <w:tbl>
      <w:tblPr>
        <w:tblLayout w:type="fixed"/>
        <w:tblInd w:w="4392"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Year</w:t>
            </w:r>
          </w:p>
        </w:tc>
        <w:tc>
          <w:tcPr>
            <w:tcW w:w="1700" w:type="dxa"/>
            <w:vAlign w:val="bottom"/>
            <w:gridSpan w:val="3"/>
          </w:tcPr>
          <w:p>
            <w:pPr>
              <w:ind w:left="980"/>
              <w:spacing w:after="0"/>
              <w:rPr>
                <w:sz w:val="20"/>
                <w:szCs w:val="20"/>
                <w:color w:val="auto"/>
              </w:rPr>
            </w:pPr>
            <w:r>
              <w:rPr>
                <w:rFonts w:ascii="Arial" w:cs="Arial" w:eastAsia="Arial" w:hAnsi="Arial"/>
                <w:sz w:val="18"/>
                <w:szCs w:val="18"/>
                <w:color w:val="auto"/>
              </w:rPr>
              <w:t>Amount</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8"/>
        </w:trPr>
        <w:tc>
          <w:tcPr>
            <w:tcW w:w="1200" w:type="dxa"/>
            <w:vAlign w:val="bottom"/>
            <w:gridSpan w:val="3"/>
          </w:tcPr>
          <w:p>
            <w:pPr>
              <w:spacing w:after="0"/>
              <w:rPr>
                <w:sz w:val="20"/>
                <w:szCs w:val="20"/>
                <w:color w:val="auto"/>
              </w:rPr>
            </w:pPr>
            <w:r>
              <w:rPr>
                <w:rFonts w:ascii="Arial" w:cs="Arial" w:eastAsia="Arial" w:hAnsi="Arial"/>
                <w:sz w:val="18"/>
                <w:szCs w:val="18"/>
                <w:color w:val="auto"/>
              </w:rPr>
              <w:t>2010</w:t>
            </w:r>
          </w:p>
        </w:tc>
        <w:tc>
          <w:tcPr>
            <w:tcW w:w="170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$1,500,000</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2011</w:t>
            </w:r>
          </w:p>
        </w:tc>
        <w:tc>
          <w:tcPr>
            <w:tcW w:w="170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$1,575,000</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2012</w:t>
            </w:r>
          </w:p>
        </w:tc>
        <w:tc>
          <w:tcPr>
            <w:tcW w:w="1700" w:type="dxa"/>
            <w:vAlign w:val="bottom"/>
            <w:gridSpan w:val="3"/>
          </w:tcPr>
          <w:p>
            <w:pPr>
              <w:jc w:val="center"/>
              <w:ind w:left="750"/>
              <w:spacing w:after="0"/>
              <w:rPr>
                <w:sz w:val="20"/>
                <w:szCs w:val="20"/>
                <w:color w:val="auto"/>
              </w:rPr>
            </w:pPr>
            <w:r>
              <w:rPr>
                <w:rFonts w:ascii="Arial" w:cs="Arial" w:eastAsia="Arial" w:hAnsi="Arial"/>
                <w:sz w:val="18"/>
                <w:szCs w:val="18"/>
                <w:color w:val="auto"/>
                <w:w w:val="90"/>
              </w:rPr>
              <w:t>$1,653,750.</w:t>
            </w:r>
          </w:p>
        </w:tc>
      </w:tr>
    </w:tbl>
    <w:p>
      <w:pPr>
        <w:spacing w:after="0" w:line="229" w:lineRule="exact"/>
        <w:rPr>
          <w:sz w:val="20"/>
          <w:szCs w:val="20"/>
          <w:color w:val="auto"/>
        </w:rPr>
      </w:pPr>
    </w:p>
    <w:p>
      <w:pPr>
        <w:ind w:left="-8" w:right="60" w:firstLine="8"/>
        <w:spacing w:after="0" w:line="254" w:lineRule="auto"/>
        <w:tabs>
          <w:tab w:leader="none" w:pos="62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(“Other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Other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219" w:lineRule="exact"/>
        <w:rPr>
          <w:rFonts w:ascii="Arial" w:cs="Arial" w:eastAsia="Arial" w:hAnsi="Arial"/>
          <w:sz w:val="18"/>
          <w:szCs w:val="18"/>
          <w:color w:val="auto"/>
        </w:rPr>
      </w:pPr>
    </w:p>
    <w:p>
      <w:pPr>
        <w:jc w:val="both"/>
        <w:ind w:left="-8" w:right="460" w:firstLine="8"/>
        <w:spacing w:after="0" w:line="286" w:lineRule="auto"/>
        <w:tabs>
          <w:tab w:leader="none" w:pos="62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192" w:lineRule="exact"/>
        <w:rPr>
          <w:rFonts w:ascii="Arial" w:cs="Arial" w:eastAsia="Arial" w:hAnsi="Arial"/>
          <w:sz w:val="17"/>
          <w:szCs w:val="17"/>
          <w:color w:val="auto"/>
        </w:rPr>
      </w:pPr>
    </w:p>
    <w:p>
      <w:pPr>
        <w:ind w:left="-8" w:right="240" w:firstLine="8"/>
        <w:spacing w:after="0" w:line="286" w:lineRule="auto"/>
        <w:tabs>
          <w:tab w:leader="none" w:pos="62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benefit plans or programs), shall or may be terminated, in the circumstances set forth below.</w:t>
      </w:r>
    </w:p>
    <w:p>
      <w:pPr>
        <w:spacing w:after="0" w:line="193" w:lineRule="exact"/>
        <w:rPr>
          <w:sz w:val="20"/>
          <w:szCs w:val="20"/>
          <w:color w:val="auto"/>
        </w:rPr>
      </w:pPr>
    </w:p>
    <w:p>
      <w:pPr>
        <w:ind w:left="5652" w:right="3740" w:hanging="5652"/>
        <w:spacing w:after="0" w:line="559" w:lineRule="auto"/>
        <w:tabs>
          <w:tab w:leader="none" w:pos="68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24" w:name="page25"/>
    <w:bookmarkEnd w:id="24"/>
    <w:p>
      <w:pPr>
        <w:jc w:val="both"/>
        <w:ind w:left="-8" w:firstLine="8"/>
        <w:spacing w:after="0" w:line="259" w:lineRule="auto"/>
        <w:tabs>
          <w:tab w:leader="none" w:pos="69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 (2) calendar year period.</w:t>
      </w:r>
    </w:p>
    <w:p>
      <w:pPr>
        <w:spacing w:after="0" w:line="213" w:lineRule="exact"/>
        <w:rPr>
          <w:rFonts w:ascii="Arial" w:cs="Arial" w:eastAsia="Arial" w:hAnsi="Arial"/>
          <w:sz w:val="18"/>
          <w:szCs w:val="18"/>
          <w:color w:val="auto"/>
        </w:rPr>
      </w:pPr>
    </w:p>
    <w:p>
      <w:pPr>
        <w:ind w:left="692" w:hanging="692"/>
        <w:spacing w:after="0"/>
        <w:tabs>
          <w:tab w:leader="none" w:pos="69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by Employee Without Good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 w:right="40" w:firstLine="1953"/>
        <w:spacing w:after="0" w:line="273" w:lineRule="auto"/>
        <w:tabs>
          <w:tab w:leader="none" w:pos="2643" w:val="left"/>
        </w:tabs>
        <w:numPr>
          <w:ilvl w:val="2"/>
          <w:numId w:val="39"/>
        </w:numPr>
        <w:rPr>
          <w:rFonts w:ascii="Arial" w:cs="Arial" w:eastAsia="Arial" w:hAnsi="Arial"/>
          <w:sz w:val="17"/>
          <w:szCs w:val="17"/>
          <w:color w:val="auto"/>
        </w:rPr>
      </w:pPr>
      <w:r>
        <w:rPr>
          <w:rFonts w:ascii="Arial" w:cs="Arial" w:eastAsia="Arial" w:hAnsi="Arial"/>
          <w:sz w:val="17"/>
          <w:szCs w:val="17"/>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with respect to the Company; material misrepresentation with respect to the Company; substantial failure to perform duties; gross negligence or misconduct in the performance of duties; material violation of the Employee Handbook, the Code of Ethics and Business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05" w:lineRule="exact"/>
        <w:rPr>
          <w:rFonts w:ascii="Arial" w:cs="Arial" w:eastAsia="Arial" w:hAnsi="Arial"/>
          <w:sz w:val="17"/>
          <w:szCs w:val="17"/>
          <w:color w:val="auto"/>
        </w:rPr>
      </w:pPr>
    </w:p>
    <w:p>
      <w:pPr>
        <w:ind w:left="-8" w:right="400" w:firstLine="1953"/>
        <w:spacing w:after="0" w:line="277" w:lineRule="auto"/>
        <w:tabs>
          <w:tab w:leader="none" w:pos="2697" w:val="left"/>
        </w:tabs>
        <w:numPr>
          <w:ilvl w:val="2"/>
          <w:numId w:val="39"/>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197" w:lineRule="exact"/>
        <w:rPr>
          <w:rFonts w:ascii="Arial" w:cs="Arial" w:eastAsia="Arial" w:hAnsi="Arial"/>
          <w:sz w:val="18"/>
          <w:szCs w:val="18"/>
          <w:color w:val="auto"/>
        </w:rPr>
      </w:pPr>
    </w:p>
    <w:p>
      <w:pPr>
        <w:ind w:left="712" w:hanging="712"/>
        <w:spacing w:after="0"/>
        <w:tabs>
          <w:tab w:leader="none" w:pos="71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by Employee With Good Reason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 w:right="520" w:firstLine="1953"/>
        <w:spacing w:after="0" w:line="277" w:lineRule="auto"/>
        <w:tabs>
          <w:tab w:leader="none" w:pos="2643"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197" w:lineRule="exact"/>
        <w:rPr>
          <w:rFonts w:ascii="Arial" w:cs="Arial" w:eastAsia="Arial" w:hAnsi="Arial"/>
          <w:sz w:val="18"/>
          <w:szCs w:val="18"/>
          <w:color w:val="auto"/>
        </w:rPr>
      </w:pPr>
    </w:p>
    <w:p>
      <w:pPr>
        <w:ind w:left="-8" w:right="160" w:firstLine="1953"/>
        <w:spacing w:after="0" w:line="257" w:lineRule="auto"/>
        <w:tabs>
          <w:tab w:leader="none" w:pos="2697" w:val="left"/>
        </w:tabs>
        <w:numPr>
          <w:ilvl w:val="2"/>
          <w:numId w:val="39"/>
        </w:numPr>
        <w:rPr>
          <w:rFonts w:ascii="Arial" w:cs="Arial" w:eastAsia="Arial" w:hAnsi="Arial"/>
          <w:sz w:val="18"/>
          <w:szCs w:val="18"/>
          <w:color w:val="auto"/>
        </w:rPr>
      </w:pPr>
      <w:r>
        <w:rPr>
          <w:rFonts w:ascii="Arial" w:cs="Arial" w:eastAsia="Arial" w:hAnsi="Arial"/>
          <w:sz w:val="18"/>
          <w:szCs w:val="18"/>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any material provision of this Agreement (which, as to either such item, if capable of being cured (as determined by the Company), shall remain uncured following twenty (20) business days after written notice thereof) (“Good Reason”).</w:t>
      </w:r>
    </w:p>
    <w:p>
      <w:pPr>
        <w:spacing w:after="0" w:line="215" w:lineRule="exact"/>
        <w:rPr>
          <w:rFonts w:ascii="Arial" w:cs="Arial" w:eastAsia="Arial" w:hAnsi="Arial"/>
          <w:sz w:val="18"/>
          <w:szCs w:val="18"/>
          <w:color w:val="auto"/>
        </w:rPr>
      </w:pPr>
    </w:p>
    <w:p>
      <w:pPr>
        <w:ind w:left="-8" w:firstLine="656"/>
        <w:spacing w:after="0" w:line="277" w:lineRule="auto"/>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97" w:lineRule="exact"/>
        <w:rPr>
          <w:sz w:val="20"/>
          <w:szCs w:val="20"/>
          <w:color w:val="auto"/>
        </w:rPr>
      </w:pPr>
    </w:p>
    <w:p>
      <w:pPr>
        <w:ind w:left="-8" w:right="220" w:firstLine="1305"/>
        <w:spacing w:after="0" w:line="277" w:lineRule="auto"/>
        <w:tabs>
          <w:tab w:leader="none" w:pos="198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Following termination due to death or Disability, Employee (or Employee’s estate, as applicable) shall be entitled to payment of Employee’s then-</w:t>
      </w:r>
    </w:p>
    <w:p>
      <w:pPr>
        <w:spacing w:after="0" w:line="1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25" w:name="page26"/>
    <w:bookmarkEnd w:id="25"/>
    <w:p>
      <w:pPr>
        <w:ind w:right="60"/>
        <w:spacing w:after="0" w:line="280" w:lineRule="auto"/>
        <w:rPr>
          <w:sz w:val="20"/>
          <w:szCs w:val="20"/>
          <w:color w:val="auto"/>
        </w:rPr>
      </w:pPr>
      <w:r>
        <w:rPr>
          <w:rFonts w:ascii="Arial" w:cs="Arial" w:eastAsia="Arial" w:hAnsi="Arial"/>
          <w:sz w:val="16"/>
          <w:szCs w:val="16"/>
          <w:color w:val="auto"/>
        </w:rPr>
        <w:t>current Base Salary through the date of termination and for a period of three (3) months thereafter (payable in accordance with the Company’s regular payroll practices), amounts accrued or payable under any Other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 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 (a) shall be paid no later than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188" w:lineRule="exact"/>
        <w:rPr>
          <w:sz w:val="20"/>
          <w:szCs w:val="20"/>
          <w:color w:val="auto"/>
        </w:rPr>
      </w:pPr>
    </w:p>
    <w:p>
      <w:pPr>
        <w:ind w:right="40" w:firstLine="1305"/>
        <w:spacing w:after="0" w:line="273" w:lineRule="auto"/>
        <w:tabs>
          <w:tab w:leader="none" w:pos="195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Termination With Cause or Termination Without Good Reason</w:t>
      </w:r>
      <w:r>
        <w:rPr>
          <w:rFonts w:ascii="Arial" w:cs="Arial" w:eastAsia="Arial" w:hAnsi="Arial"/>
          <w:sz w:val="17"/>
          <w:szCs w:val="17"/>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21" w:lineRule="exact"/>
        <w:rPr>
          <w:rFonts w:ascii="Arial" w:cs="Arial" w:eastAsia="Arial" w:hAnsi="Arial"/>
          <w:sz w:val="17"/>
          <w:szCs w:val="17"/>
          <w:color w:val="auto"/>
        </w:rPr>
      </w:pPr>
    </w:p>
    <w:p>
      <w:pPr>
        <w:ind w:firstLine="1305"/>
        <w:spacing w:after="0" w:line="276" w:lineRule="auto"/>
        <w:tabs>
          <w:tab w:leader="none" w:pos="199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Termination With Good Reason</w:t>
      </w:r>
      <w:r>
        <w:rPr>
          <w:rFonts w:ascii="Arial" w:cs="Arial" w:eastAsia="Arial" w:hAnsi="Arial"/>
          <w:sz w:val="17"/>
          <w:szCs w:val="17"/>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within thirty (30) days following the date of termination, in a form and containing terms as the Company customarily requires of terminated employees receiving salary continuation payments:</w:t>
      </w:r>
    </w:p>
    <w:p>
      <w:pPr>
        <w:spacing w:after="0" w:line="199" w:lineRule="exact"/>
        <w:rPr>
          <w:rFonts w:ascii="Arial" w:cs="Arial" w:eastAsia="Arial" w:hAnsi="Arial"/>
          <w:sz w:val="17"/>
          <w:szCs w:val="17"/>
          <w:color w:val="auto"/>
        </w:rPr>
      </w:pPr>
    </w:p>
    <w:p>
      <w:pPr>
        <w:ind w:right="60" w:firstLine="1953"/>
        <w:spacing w:after="0" w:line="273" w:lineRule="auto"/>
        <w:tabs>
          <w:tab w:leader="none" w:pos="2610" w:val="left"/>
        </w:tabs>
        <w:numPr>
          <w:ilvl w:val="1"/>
          <w:numId w:val="41"/>
        </w:numPr>
        <w:rPr>
          <w:rFonts w:ascii="Arial" w:cs="Arial" w:eastAsia="Arial" w:hAnsi="Arial"/>
          <w:sz w:val="17"/>
          <w:szCs w:val="17"/>
          <w:color w:val="auto"/>
        </w:rPr>
      </w:pPr>
      <w:r>
        <w:rPr>
          <w:rFonts w:ascii="Arial" w:cs="Arial" w:eastAsia="Arial" w:hAnsi="Arial"/>
          <w:sz w:val="17"/>
          <w:szCs w:val="17"/>
          <w:color w:val="auto"/>
        </w:rPr>
        <w:t>Provided Employee is alive at the time of payment or receipt of benefits,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constitutes a “deferral of compensation” within the meaning of Section 409A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ind w:right="420"/>
        <w:spacing w:after="0" w:line="277" w:lineRule="auto"/>
        <w:rPr>
          <w:sz w:val="20"/>
          <w:szCs w:val="20"/>
          <w:color w:val="auto"/>
        </w:rPr>
      </w:pPr>
      <w:r>
        <w:rPr>
          <w:rFonts w:ascii="Arial" w:cs="Arial" w:eastAsia="Arial" w:hAnsi="Arial"/>
          <w:sz w:val="18"/>
          <w:szCs w:val="18"/>
          <w:color w:val="auto"/>
        </w:rPr>
        <w:t>the Internal Revenue Code (the “Code”), and its implementing regulations and guidance, the provision of such benefits shall be subject to the terms and conditions of subparagraph 13(a).</w:t>
      </w:r>
    </w:p>
    <w:p>
      <w:pPr>
        <w:spacing w:after="0" w:line="197" w:lineRule="exact"/>
        <w:rPr>
          <w:sz w:val="20"/>
          <w:szCs w:val="20"/>
          <w:color w:val="auto"/>
        </w:rPr>
      </w:pPr>
    </w:p>
    <w:p>
      <w:pPr>
        <w:ind w:right="20" w:firstLine="1953"/>
        <w:spacing w:after="0"/>
        <w:tabs>
          <w:tab w:leader="none" w:pos="261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Employee shall also receive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(ii) shall be paid no later than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termination.</w:t>
      </w:r>
    </w:p>
    <w:p>
      <w:pPr>
        <w:spacing w:after="0" w:line="230" w:lineRule="exact"/>
        <w:rPr>
          <w:rFonts w:ascii="Arial" w:cs="Arial" w:eastAsia="Arial" w:hAnsi="Arial"/>
          <w:sz w:val="18"/>
          <w:szCs w:val="18"/>
          <w:color w:val="auto"/>
        </w:rPr>
      </w:pPr>
    </w:p>
    <w:p>
      <w:pPr>
        <w:ind w:right="20" w:firstLine="1953"/>
        <w:spacing w:after="0" w:line="279" w:lineRule="auto"/>
        <w:tabs>
          <w:tab w:leader="none" w:pos="2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Employee shall have no obligation to seek to obtain employment during the period in which Employee receives salary continuation payments under subparagraph (i) above. Any income received from any subsequent employer shall not reduce such salary continuation payments. However, Employee shall provide the Company with notice of any such subsequent employment and the Company's obligation to continue health and welfare benefits shall cease upon Employee's eligibility for health and welfare benefits from any subsequent employer.</w:t>
      </w:r>
    </w:p>
    <w:p>
      <w:pPr>
        <w:spacing w:after="0" w:line="198" w:lineRule="exact"/>
        <w:rPr>
          <w:rFonts w:ascii="Arial" w:cs="Arial" w:eastAsia="Arial" w:hAnsi="Arial"/>
          <w:sz w:val="17"/>
          <w:szCs w:val="17"/>
          <w:color w:val="auto"/>
        </w:rPr>
      </w:pPr>
    </w:p>
    <w:p>
      <w:pPr>
        <w:jc w:val="both"/>
        <w:ind w:firstLine="1953"/>
        <w:spacing w:after="0" w:line="279" w:lineRule="auto"/>
        <w:tabs>
          <w:tab w:leader="none" w:pos="2610" w:val="left"/>
        </w:tabs>
        <w:numPr>
          <w:ilvl w:val="1"/>
          <w:numId w:val="42"/>
        </w:numPr>
        <w:rPr>
          <w:rFonts w:ascii="Arial" w:cs="Arial" w:eastAsia="Arial" w:hAnsi="Arial"/>
          <w:sz w:val="17"/>
          <w:szCs w:val="17"/>
          <w:color w:val="auto"/>
        </w:rPr>
      </w:pPr>
      <w:r>
        <w:rPr>
          <w:rFonts w:ascii="Arial" w:cs="Arial" w:eastAsia="Arial" w:hAnsi="Arial"/>
          <w:sz w:val="17"/>
          <w:szCs w:val="17"/>
          <w:color w:val="auto"/>
        </w:rPr>
        <w:t>Provided Employee is alive at the time of payment, Employee shall be entitled to receive payment on account of: (A) the current year’s Cash Bonus Plan grant; and (B) the following year’s Cash Bonus Plan grant (pro-rated for the period of time in the following year based on the number of months equal to twelve (12) minus the number of full months in the current year following the date of termination); in each case, assuming achievement of performance targets at 100% (payable at such times as otherwise applicable absent such termination).</w:t>
      </w:r>
    </w:p>
    <w:p>
      <w:pPr>
        <w:spacing w:after="0" w:line="198" w:lineRule="exact"/>
        <w:rPr>
          <w:rFonts w:ascii="Arial" w:cs="Arial" w:eastAsia="Arial" w:hAnsi="Arial"/>
          <w:sz w:val="17"/>
          <w:szCs w:val="17"/>
          <w:color w:val="auto"/>
        </w:rPr>
      </w:pPr>
    </w:p>
    <w:p>
      <w:pPr>
        <w:jc w:val="both"/>
        <w:ind w:right="220" w:firstLine="1953"/>
        <w:spacing w:after="0" w:line="279" w:lineRule="auto"/>
        <w:tabs>
          <w:tab w:leader="none" w:pos="2605" w:val="left"/>
        </w:tabs>
        <w:numPr>
          <w:ilvl w:val="1"/>
          <w:numId w:val="42"/>
        </w:numPr>
        <w:rPr>
          <w:rFonts w:ascii="Arial" w:cs="Arial" w:eastAsia="Arial" w:hAnsi="Arial"/>
          <w:sz w:val="17"/>
          <w:szCs w:val="17"/>
          <w:color w:val="auto"/>
        </w:rPr>
      </w:pPr>
      <w:r>
        <w:rPr>
          <w:rFonts w:ascii="Arial" w:cs="Arial" w:eastAsia="Arial" w:hAnsi="Arial"/>
          <w:sz w:val="17"/>
          <w:szCs w:val="17"/>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198" w:lineRule="exact"/>
        <w:rPr>
          <w:rFonts w:ascii="Arial" w:cs="Arial" w:eastAsia="Arial" w:hAnsi="Arial"/>
          <w:sz w:val="17"/>
          <w:szCs w:val="17"/>
          <w:color w:val="auto"/>
        </w:rPr>
      </w:pPr>
    </w:p>
    <w:p>
      <w:pPr>
        <w:ind w:firstLine="656"/>
        <w:spacing w:after="0" w:line="257" w:lineRule="auto"/>
        <w:tabs>
          <w:tab w:leader="none" w:pos="123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(x) Employee’s skills, experience, knowledge and reputation are of special, unique and extraordinary value to the Company, (y) Employee is and will continue to be privy to confidential and proprietary information, processes and expertise that will be used by the Company, the confidentiality of which has significant value to the Company and its future success, and (z) certain restrictions on Employee’s activities as set forth below are necessary to protect the value of the goodwill and other tangible and intangible assets of the Company. Based upon the foregoing, Employee agrees as follows: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7" w:name="page28"/>
    <w:bookmarkEnd w:id="27"/>
    <w:p>
      <w:pPr>
        <w:ind w:left="-20" w:right="500" w:firstLine="1305"/>
        <w:spacing w:after="0" w:line="257" w:lineRule="auto"/>
        <w:tabs>
          <w:tab w:leader="none" w:pos="19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or (ii) solicit, induce, encourage or attempt to influence any employee, customer, consultant, independent contractor, service provider or supplier of the Company to cease to do business or terminate the employment or other relationship with the Company.</w:t>
      </w:r>
    </w:p>
    <w:p>
      <w:pPr>
        <w:spacing w:after="0" w:line="215" w:lineRule="exact"/>
        <w:rPr>
          <w:rFonts w:ascii="Arial" w:cs="Arial" w:eastAsia="Arial" w:hAnsi="Arial"/>
          <w:sz w:val="18"/>
          <w:szCs w:val="18"/>
          <w:color w:val="auto"/>
        </w:rPr>
      </w:pPr>
    </w:p>
    <w:p>
      <w:pPr>
        <w:ind w:left="-20" w:right="80" w:firstLine="1305"/>
        <w:spacing w:after="0" w:line="253" w:lineRule="auto"/>
        <w:tabs>
          <w:tab w:leader="none" w:pos="19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221" w:lineRule="exact"/>
        <w:rPr>
          <w:rFonts w:ascii="Arial" w:cs="Arial" w:eastAsia="Arial" w:hAnsi="Arial"/>
          <w:sz w:val="18"/>
          <w:szCs w:val="18"/>
          <w:color w:val="auto"/>
        </w:rPr>
      </w:pPr>
    </w:p>
    <w:p>
      <w:pPr>
        <w:ind w:left="-20" w:right="20" w:firstLine="1953"/>
        <w:spacing w:after="0" w:line="264" w:lineRule="auto"/>
        <w:tabs>
          <w:tab w:leader="none" w:pos="25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OF THE COMPANY’S BUSINESSES, THE PARTIES AGREE THAT ANY BUSINESS ENGAGED IN ANY OF THE ACTIVITIES SET FORTH ON SCHEDULE 2 SHALL BE DEEMED TO BE A COMPETITIVE BUSINESS UNDER SUBPARAGRAPH (i) ABOVE.</w:t>
      </w:r>
    </w:p>
    <w:p>
      <w:pPr>
        <w:spacing w:after="0" w:line="208" w:lineRule="exact"/>
        <w:rPr>
          <w:rFonts w:ascii="Arial" w:cs="Arial" w:eastAsia="Arial" w:hAnsi="Arial"/>
          <w:sz w:val="18"/>
          <w:szCs w:val="18"/>
          <w:color w:val="auto"/>
        </w:rPr>
      </w:pPr>
    </w:p>
    <w:p>
      <w:pPr>
        <w:ind w:left="-20" w:right="40" w:firstLine="1953"/>
        <w:spacing w:after="0" w:line="259" w:lineRule="auto"/>
        <w:tabs>
          <w:tab w:leader="none" w:pos="25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OF THE UNITED STATES IN WHICH THE COMPANY CARRIES OUT BUSINESS ACTIVITIES. EMPLOYEE AGREES THAT NOT SPECIFYING A MORE LIMITED GEOGRAPHIC AREA IS REASONABLE IN LIGHT OF THE BROAD GEOGRAPHIC SCOPE OF THE ACTIVITIES CARRIED OUT BY THE COMPANY IN THE UNITED STATES.</w:t>
      </w:r>
    </w:p>
    <w:p>
      <w:pPr>
        <w:spacing w:after="0" w:line="213" w:lineRule="exact"/>
        <w:rPr>
          <w:rFonts w:ascii="Arial" w:cs="Arial" w:eastAsia="Arial" w:hAnsi="Arial"/>
          <w:sz w:val="18"/>
          <w:szCs w:val="18"/>
          <w:color w:val="auto"/>
        </w:rPr>
      </w:pPr>
    </w:p>
    <w:p>
      <w:pPr>
        <w:ind w:left="-20" w:firstLine="1953"/>
        <w:spacing w:after="0" w:line="286" w:lineRule="auto"/>
        <w:tabs>
          <w:tab w:leader="none" w:pos="2590" w:val="left"/>
        </w:tabs>
        <w:numPr>
          <w:ilvl w:val="1"/>
          <w:numId w:val="44"/>
        </w:numPr>
        <w:rPr>
          <w:rFonts w:ascii="Arial" w:cs="Arial" w:eastAsia="Arial" w:hAnsi="Arial"/>
          <w:sz w:val="17"/>
          <w:szCs w:val="17"/>
          <w:color w:val="auto"/>
        </w:rPr>
      </w:pPr>
      <w:r>
        <w:rPr>
          <w:rFonts w:ascii="Arial" w:cs="Arial" w:eastAsia="Arial" w:hAnsi="Arial"/>
          <w:sz w:val="17"/>
          <w:szCs w:val="17"/>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 or similar services to other businesses.</w:t>
      </w:r>
    </w:p>
    <w:p>
      <w:pPr>
        <w:spacing w:after="0" w:line="192" w:lineRule="exact"/>
        <w:rPr>
          <w:rFonts w:ascii="Arial" w:cs="Arial" w:eastAsia="Arial" w:hAnsi="Arial"/>
          <w:sz w:val="17"/>
          <w:szCs w:val="17"/>
          <w:color w:val="auto"/>
        </w:rPr>
      </w:pPr>
    </w:p>
    <w:p>
      <w:pPr>
        <w:ind w:left="-20" w:firstLine="1953"/>
        <w:spacing w:after="0" w:line="277" w:lineRule="auto"/>
        <w:tabs>
          <w:tab w:leader="none" w:pos="25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Nothing herein shall prevent Employee from owning for investment up to one percent (1%) of any class of equity security of an entity whose securities are traded on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368" w:right="25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8"/>
          <w:szCs w:val="18"/>
          <w:color w:val="auto"/>
        </w:rPr>
        <w:t>national securities exchange or market. Further, nothing herein shall prevent Employee from being employed or otherwise engaged in any private equity or other financial services business (including related investing, monitoring and management activities (including serving as a director)) as long as the Employee is not employed by a Competitive Business as an officer or in any other operational capacity.</w:t>
      </w:r>
    </w:p>
    <w:p>
      <w:pPr>
        <w:spacing w:after="0" w:line="208" w:lineRule="exact"/>
        <w:rPr>
          <w:sz w:val="20"/>
          <w:szCs w:val="20"/>
          <w:color w:val="auto"/>
        </w:rPr>
      </w:pPr>
    </w:p>
    <w:p>
      <w:pPr>
        <w:ind w:right="140" w:firstLine="1305"/>
        <w:spacing w:after="0" w:line="271" w:lineRule="auto"/>
        <w:tabs>
          <w:tab w:leader="none" w:pos="199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w:t>
      </w:r>
    </w:p>
    <w:p>
      <w:pPr>
        <w:ind w:right="40"/>
        <w:spacing w:after="0" w:line="252" w:lineRule="auto"/>
        <w:rPr>
          <w:rFonts w:ascii="Arial" w:cs="Arial" w:eastAsia="Arial" w:hAnsi="Arial"/>
          <w:sz w:val="17"/>
          <w:szCs w:val="17"/>
          <w:color w:val="auto"/>
        </w:rPr>
      </w:pPr>
      <w:r>
        <w:rPr>
          <w:rFonts w:ascii="Arial" w:cs="Arial" w:eastAsia="Arial" w:hAnsi="Arial"/>
          <w:sz w:val="18"/>
          <w:szCs w:val="18"/>
          <w:color w:val="auto"/>
        </w:rPr>
        <w:t>ABOVE SHALL APPLY TO EMPLOYEE FOR A ONE-YEAR PERIOD FOLLOWING SUCH TERMINATION, PROVIDED THAT FOR THE PURPOSES OF THIS SUBPARAGRAPH THE TERM COMPETITIVE BUSINESS SHALL MEAN ANY OF THE FOLLOWING ENTITIES (OR THEIR SUCCESSORS) THAT IS ENGAGED IN COMPETITION WITH THE COMPANY’S BUSINESSES, DIRECTLY OR INDIRECTLY THROUGH ANY PARENT, SUBSIDIARY, AFFILIATE, JOINT VENTURE, PARTNERSHIP OR OTHERWISE: AT&amp;T INC.; DIRECTTV, INC.; DISH NETWORK CORPORATION; ECHOSTAR HOLDING CORPORATION; QWEST COMMUNICATIONS INTERNATIONAL, INC.; AND VERIZON COMMUNICATIONS, INC.; AND (ii) THE COMPANY SHALL PROVIDE TO EMPLOYEE, FOR A ONE-YEAR PERIOD FOLLOWING SUCH TERMINATION, THE PAYMENTS AND BENEFITS DESCRIBED IN SUBPARAGRAPHS 7(c)(i) AND 7(c)(iv) ON THE TERMS SET FORTH THEREIN, AS IF THERE HAD BEEN NO TERMINATION.</w:t>
      </w:r>
    </w:p>
    <w:p>
      <w:pPr>
        <w:spacing w:after="0" w:line="218" w:lineRule="exact"/>
        <w:rPr>
          <w:rFonts w:ascii="Arial" w:cs="Arial" w:eastAsia="Arial" w:hAnsi="Arial"/>
          <w:sz w:val="17"/>
          <w:szCs w:val="17"/>
          <w:color w:val="auto"/>
        </w:rPr>
      </w:pPr>
    </w:p>
    <w:p>
      <w:pPr>
        <w:ind w:right="40" w:firstLine="1305"/>
        <w:spacing w:after="0" w:line="283" w:lineRule="auto"/>
        <w:tabs>
          <w:tab w:leader="none" w:pos="20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affiliates,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(ii)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w:t>
      </w:r>
    </w:p>
    <w:p>
      <w:pPr>
        <w:spacing w:after="0" w:line="5"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ind w:right="20"/>
        <w:spacing w:after="0" w:line="271" w:lineRule="auto"/>
        <w:rPr>
          <w:sz w:val="20"/>
          <w:szCs w:val="20"/>
          <w:color w:val="auto"/>
        </w:rPr>
      </w:pPr>
      <w:r>
        <w:rPr>
          <w:rFonts w:ascii="Arial" w:cs="Arial" w:eastAsia="Arial" w:hAnsi="Arial"/>
          <w:sz w:val="17"/>
          <w:szCs w:val="17"/>
          <w:color w:val="auto"/>
        </w:rPr>
        <w:t>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or its affiliates,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Agreement.</w:t>
      </w:r>
    </w:p>
    <w:p>
      <w:pPr>
        <w:spacing w:after="0" w:line="206" w:lineRule="exact"/>
        <w:rPr>
          <w:sz w:val="20"/>
          <w:szCs w:val="20"/>
          <w:color w:val="auto"/>
        </w:rPr>
      </w:pPr>
    </w:p>
    <w:p>
      <w:pPr>
        <w:ind w:right="20" w:firstLine="1305"/>
        <w:spacing w:after="0" w:line="289" w:lineRule="auto"/>
        <w:tabs>
          <w:tab w:leader="none" w:pos="19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benefit plans and programs hereunder or thereunder (including in each case any arising following termination of employment); and (ii)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93" w:lineRule="exact"/>
        <w:rPr>
          <w:rFonts w:ascii="Arial" w:cs="Arial" w:eastAsia="Arial" w:hAnsi="Arial"/>
          <w:sz w:val="16"/>
          <w:szCs w:val="16"/>
          <w:color w:val="auto"/>
        </w:rPr>
      </w:pPr>
    </w:p>
    <w:p>
      <w:pPr>
        <w:ind w:right="20" w:firstLine="1305"/>
        <w:spacing w:after="0" w:line="276" w:lineRule="auto"/>
        <w:tabs>
          <w:tab w:leader="none" w:pos="19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99" w:lineRule="exact"/>
        <w:rPr>
          <w:rFonts w:ascii="Arial" w:cs="Arial" w:eastAsia="Arial" w:hAnsi="Arial"/>
          <w:sz w:val="17"/>
          <w:szCs w:val="17"/>
          <w:color w:val="auto"/>
        </w:rPr>
      </w:pPr>
    </w:p>
    <w:p>
      <w:pPr>
        <w:ind w:firstLine="1305"/>
        <w:spacing w:after="0" w:line="308" w:lineRule="auto"/>
        <w:tabs>
          <w:tab w:leader="none" w:pos="2001"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3" w:lineRule="exact"/>
        <w:rPr>
          <w:rFonts w:ascii="Arial" w:cs="Arial" w:eastAsia="Arial" w:hAnsi="Arial"/>
          <w:sz w:val="17"/>
          <w:szCs w:val="17"/>
          <w:color w:val="auto"/>
        </w:rPr>
      </w:pPr>
    </w:p>
    <w:p>
      <w:pPr>
        <w:ind w:right="440" w:firstLine="1305"/>
        <w:spacing w:after="0" w:line="277" w:lineRule="auto"/>
        <w:tabs>
          <w:tab w:leader="none" w:pos="20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in subparagraph (b)(i) or (c)(i) above, Employee will provide the prospective employer with written notice of the provisions of this Paragraph 8, with a copy of such notice provided simultaneously to the Company.</w:t>
      </w:r>
    </w:p>
    <w:p>
      <w:pPr>
        <w:spacing w:after="0" w:line="197" w:lineRule="exact"/>
        <w:rPr>
          <w:sz w:val="20"/>
          <w:szCs w:val="20"/>
          <w:color w:val="auto"/>
        </w:rPr>
      </w:pPr>
    </w:p>
    <w:p>
      <w:pPr>
        <w:ind w:right="20" w:firstLine="656"/>
        <w:spacing w:after="0" w:line="255" w:lineRule="auto"/>
        <w:tabs>
          <w:tab w:leader="none" w:pos="127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Non-Derogatory Statements</w:t>
      </w:r>
      <w:r>
        <w:rPr>
          <w:rFonts w:ascii="Arial" w:cs="Arial" w:eastAsia="Arial" w:hAnsi="Arial"/>
          <w:sz w:val="18"/>
          <w:szCs w:val="18"/>
          <w:color w:val="auto"/>
        </w:rPr>
        <w:t>. While employed by the Company (whether during the Term of thereafter), and for a period of five (5) years thereafter, Employee shall not, in any communication with any person or entity, including any actual or potential employer, customer, consultant, independent contractor, investor, lender, service provider or supplier of the Company, or any third party media outlet, make any significant derogatory or disparaging statements – orally, written or otherwise – against the Company or any of its directors, officers, agents, employees, contractors or affiliates (or any of their respective directors, officers, agents, employees, contractors or affiliates). The foregoing shall not be deemed to restrict Employee’s obligations to testify truthfully in any proceeding or cooperate in any governmental investigation.</w:t>
      </w:r>
    </w:p>
    <w:p>
      <w:pPr>
        <w:spacing w:after="0" w:line="220" w:lineRule="exact"/>
        <w:rPr>
          <w:rFonts w:ascii="Arial" w:cs="Arial" w:eastAsia="Arial" w:hAnsi="Arial"/>
          <w:sz w:val="18"/>
          <w:szCs w:val="18"/>
          <w:color w:val="auto"/>
        </w:rPr>
      </w:pPr>
    </w:p>
    <w:p>
      <w:pPr>
        <w:ind w:right="20" w:firstLine="656"/>
        <w:spacing w:after="0" w:line="283" w:lineRule="auto"/>
        <w:tabs>
          <w:tab w:leader="none" w:pos="136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Employee agrees that the Company owns, and is entitled to receive all of the results and proceeds of, items produced or created by Employee (including, without limitation, inventions, patents, copyrights, trademarks, literary material and any other intellectual property), alone or in collaboration with others, that: (i) relate to the Company’s businesses, if produced or created during the period of Employee’s employment by the Company (whether during the Term or thereafter and whether during or outside working hours); or (ii) are produced or created during working hours or using the Company’s information, assets, technology or facilities (referred to collectively as the “Work”). Employee shall disclose and furnish to the Company, promptly following the Company’s request or immediately upon Employee’s termination of employment, any and all Work. Employee expressly acknowledges and agrees that the Work is specially ordered by the Company and shall be “works made-for-hire” under the United States copyright laws. In the event that a court of competent jurisdiction determines that any part of the Work is not made-for-hire, then Employee hereby irrevocably transfers and shall be deemed to have assigned all rights, title and interests in and to the Work to the Company, on an exclusive basis, including any and all copyrights, trademarks, trade secrets, patents or other proprietary rights, under the laws of the United States or of any other jurisdiction or country, in</w:t>
      </w:r>
    </w:p>
    <w:p>
      <w:pPr>
        <w:spacing w:after="0" w:line="5"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perpetuity. Employee shall, at the request of the Company, execute such documents as the Company may from time to time reasonably deem necessary or desirable to evidence, establish, maintain, protect, enforce and defend its title in and right to any such Work. In the event Employee fails or is unable to execute any such documents, Employee hereby appoints the Company as Employee’s attorney-in-fact with the full right, power and authority to execute and deliver the same, with full power of substitution and delegation, which appointment shall be deemed a power coupled with an interest and shall be irrevocable under any and all circumstances.</w:t>
      </w:r>
    </w:p>
    <w:p>
      <w:pPr>
        <w:spacing w:after="0" w:line="218" w:lineRule="exact"/>
        <w:rPr>
          <w:rFonts w:ascii="Arial" w:cs="Arial" w:eastAsia="Arial" w:hAnsi="Arial"/>
          <w:sz w:val="16"/>
          <w:szCs w:val="16"/>
          <w:color w:val="auto"/>
        </w:rPr>
      </w:pPr>
    </w:p>
    <w:p>
      <w:pPr>
        <w:ind w:left="1280" w:hanging="624"/>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52" w:lineRule="exact"/>
        <w:rPr>
          <w:sz w:val="20"/>
          <w:szCs w:val="20"/>
          <w:color w:val="auto"/>
        </w:rPr>
      </w:pPr>
    </w:p>
    <w:p>
      <w:pPr>
        <w:ind w:right="680" w:firstLine="1953"/>
        <w:spacing w:after="0" w:line="277" w:lineRule="auto"/>
        <w:tabs>
          <w:tab w:leader="none" w:pos="256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ind w:left="2580" w:hanging="627"/>
        <w:spacing w:after="0"/>
        <w:tabs>
          <w:tab w:leader="none" w:pos="25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52" w:lineRule="exact"/>
        <w:rPr>
          <w:rFonts w:ascii="Arial" w:cs="Arial" w:eastAsia="Arial" w:hAnsi="Arial"/>
          <w:sz w:val="18"/>
          <w:szCs w:val="18"/>
          <w:color w:val="auto"/>
        </w:rPr>
      </w:pPr>
    </w:p>
    <w:p>
      <w:pPr>
        <w:jc w:val="both"/>
        <w:ind w:right="240" w:firstLine="1953"/>
        <w:spacing w:after="0" w:line="264" w:lineRule="auto"/>
        <w:tabs>
          <w:tab w:leader="none" w:pos="2571"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This Agreement, and the performance of Employee’s obligations hereunder, do not conflict with, violate or give rise to any rights of third parties under, any agreement, benefit plan or program, order, decree or judgment to which Employee is a party or by which Employee is bound.</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52" w:lineRule="exact"/>
        <w:rPr>
          <w:rFonts w:ascii="Arial" w:cs="Arial" w:eastAsia="Arial" w:hAnsi="Arial"/>
          <w:sz w:val="18"/>
          <w:szCs w:val="18"/>
          <w:color w:val="auto"/>
        </w:rPr>
      </w:pPr>
    </w:p>
    <w:p>
      <w:pPr>
        <w:ind w:left="2580" w:hanging="627"/>
        <w:spacing w:after="0"/>
        <w:tabs>
          <w:tab w:leader="none" w:pos="2580"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the Company in accordance with its terms.</w:t>
      </w:r>
    </w:p>
    <w:p>
      <w:pPr>
        <w:spacing w:after="0" w:line="263" w:lineRule="exact"/>
        <w:rPr>
          <w:rFonts w:ascii="Arial" w:cs="Arial" w:eastAsia="Arial" w:hAnsi="Arial"/>
          <w:sz w:val="17"/>
          <w:szCs w:val="17"/>
          <w:color w:val="auto"/>
        </w:rPr>
      </w:pPr>
    </w:p>
    <w:p>
      <w:pPr>
        <w:ind w:right="40" w:firstLine="1953"/>
        <w:spacing w:after="0" w:line="308" w:lineRule="auto"/>
        <w:tabs>
          <w:tab w:leader="none" w:pos="2566"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This Agreement, and the performance of the Company’s obligations hereunder, do not conflict with, violate or give rise to any rights to third parties under, any agreement, order, decree or judgment to which the Company is a party or by which it is bound.</w:t>
      </w:r>
    </w:p>
    <w:p>
      <w:pPr>
        <w:spacing w:after="0" w:line="173" w:lineRule="exact"/>
        <w:rPr>
          <w:rFonts w:ascii="Arial" w:cs="Arial" w:eastAsia="Arial" w:hAnsi="Arial"/>
          <w:sz w:val="17"/>
          <w:szCs w:val="17"/>
          <w:color w:val="auto"/>
        </w:rPr>
      </w:pPr>
    </w:p>
    <w:p>
      <w:pPr>
        <w:ind w:left="1280" w:hanging="624"/>
        <w:spacing w:after="0"/>
        <w:tabs>
          <w:tab w:leader="none" w:pos="128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compensation under this Agreement is subject to applicable tax withholding requirements and other deductions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37" w:lineRule="exact"/>
        <w:rPr>
          <w:rFonts w:ascii="Arial" w:cs="Arial" w:eastAsia="Arial" w:hAnsi="Arial"/>
          <w:sz w:val="16"/>
          <w:szCs w:val="16"/>
          <w:color w:val="auto"/>
        </w:rPr>
      </w:pPr>
    </w:p>
    <w:p>
      <w:pPr>
        <w:ind w:left="1340" w:hanging="684"/>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0" w:firstLine="1305"/>
        <w:spacing w:after="0" w:line="293" w:lineRule="auto"/>
        <w:tabs>
          <w:tab w:leader="none" w:pos="1991"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91" w:lineRule="exact"/>
        <w:rPr>
          <w:rFonts w:ascii="Arial" w:cs="Arial" w:eastAsia="Arial" w:hAnsi="Arial"/>
          <w:sz w:val="16"/>
          <w:szCs w:val="16"/>
          <w:color w:val="auto"/>
        </w:rPr>
      </w:pPr>
    </w:p>
    <w:p>
      <w:pPr>
        <w:ind w:right="80" w:firstLine="1305"/>
        <w:spacing w:after="0" w:line="277" w:lineRule="auto"/>
        <w:tabs>
          <w:tab w:leader="none" w:pos="20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197" w:lineRule="exact"/>
        <w:rPr>
          <w:rFonts w:ascii="Arial" w:cs="Arial" w:eastAsia="Arial" w:hAnsi="Arial"/>
          <w:sz w:val="18"/>
          <w:szCs w:val="18"/>
          <w:color w:val="auto"/>
        </w:rPr>
      </w:pPr>
    </w:p>
    <w:p>
      <w:pPr>
        <w:ind w:firstLine="1305"/>
        <w:spacing w:after="0" w:line="255" w:lineRule="auto"/>
        <w:tabs>
          <w:tab w:leader="none" w:pos="19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ind w:right="100"/>
        <w:spacing w:after="0" w:line="255" w:lineRule="auto"/>
        <w:rPr>
          <w:sz w:val="20"/>
          <w:szCs w:val="20"/>
          <w:color w:val="auto"/>
        </w:rPr>
      </w:pPr>
      <w:r>
        <w:rPr>
          <w:rFonts w:ascii="Arial" w:cs="Arial" w:eastAsia="Arial" w:hAnsi="Arial"/>
          <w:sz w:val="18"/>
          <w:szCs w:val="18"/>
          <w:color w:val="auto"/>
        </w:rPr>
        <w:t>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 (i) Employee’s annualized compensation for the year prior to his “separation from service” and (ii) the maximum amount that may be taken into account under a qualified plan pursuant to section 401(a)(17) of the Code, being paid to Employee in the first six months following his “separation from service.”</w:t>
      </w:r>
    </w:p>
    <w:p>
      <w:pPr>
        <w:spacing w:after="0" w:line="216" w:lineRule="exact"/>
        <w:rPr>
          <w:sz w:val="20"/>
          <w:szCs w:val="20"/>
          <w:color w:val="auto"/>
        </w:rPr>
      </w:pPr>
    </w:p>
    <w:p>
      <w:pPr>
        <w:ind w:firstLine="1305"/>
        <w:spacing w:after="0" w:line="259" w:lineRule="auto"/>
        <w:tabs>
          <w:tab w:leader="none" w:pos="199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Anything to the contrary herein notwithstanding, all benefits or payments provided by the Company to Employee that would be deemed to constitute “nonqualified deferred compensation” within the meaning of Section 401A of the Code are intended to comply with Section 409A of the Code. Notwithstanding anything in this Agreement to the contrary, distributions may only be made under this Agreement upon an event and in a manner permitted by Section 409A of the Code or an applicable exemption.</w:t>
      </w:r>
    </w:p>
    <w:p>
      <w:pPr>
        <w:spacing w:after="0" w:line="213"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86" w:lineRule="auto"/>
        <w:tabs>
          <w:tab w:leader="none" w:pos="1991" w:val="left"/>
        </w:tabs>
        <w:numPr>
          <w:ilvl w:val="1"/>
          <w:numId w:val="53"/>
        </w:numPr>
        <w:rPr>
          <w:rFonts w:ascii="Arial" w:cs="Arial" w:eastAsia="Arial" w:hAnsi="Arial"/>
          <w:sz w:val="17"/>
          <w:szCs w:val="17"/>
          <w:color w:val="auto"/>
        </w:rPr>
      </w:pPr>
      <w:r>
        <w:rPr>
          <w:rFonts w:ascii="Arial" w:cs="Arial" w:eastAsia="Arial" w:hAnsi="Arial"/>
          <w:sz w:val="17"/>
          <w:szCs w:val="17"/>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92" w:lineRule="exact"/>
        <w:rPr>
          <w:rFonts w:ascii="Arial" w:cs="Arial" w:eastAsia="Arial" w:hAnsi="Arial"/>
          <w:sz w:val="17"/>
          <w:szCs w:val="17"/>
          <w:color w:val="auto"/>
        </w:rPr>
      </w:pPr>
    </w:p>
    <w:p>
      <w:pPr>
        <w:ind w:right="60" w:firstLine="1305"/>
        <w:spacing w:after="0" w:line="302" w:lineRule="auto"/>
        <w:tabs>
          <w:tab w:leader="none" w:pos="2001"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77" w:lineRule="exact"/>
        <w:rPr>
          <w:rFonts w:ascii="Arial" w:cs="Arial" w:eastAsia="Arial" w:hAnsi="Arial"/>
          <w:sz w:val="16"/>
          <w:szCs w:val="16"/>
          <w:color w:val="auto"/>
        </w:rPr>
      </w:pPr>
    </w:p>
    <w:p>
      <w:pPr>
        <w:ind w:right="60" w:firstLine="656"/>
        <w:spacing w:after="0" w:line="256" w:lineRule="auto"/>
        <w:tabs>
          <w:tab w:leader="none" w:pos="1368"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14"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3" w:name="page34"/>
    <w:bookmarkEnd w:id="33"/>
    <w:p>
      <w:pPr>
        <w:spacing w:after="0" w:line="258" w:lineRule="auto"/>
        <w:rPr>
          <w:sz w:val="20"/>
          <w:szCs w:val="20"/>
          <w:color w:val="auto"/>
        </w:rPr>
      </w:pPr>
      <w:r>
        <w:rPr>
          <w:rFonts w:ascii="Arial" w:cs="Arial" w:eastAsia="Arial" w:hAnsi="Arial"/>
          <w:sz w:val="18"/>
          <w:szCs w:val="18"/>
          <w:b w:val="1"/>
          <w:bCs w:val="1"/>
          <w:color w:val="auto"/>
        </w:rPr>
        <w:t>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(a) PUNITIVE, EXEMPLARY, COMPENSATORY (OTHER THAN BASED ON ACTUAL ECONOMIC LOSS), EMOTIONAL DISTRESS, OR SPECIAL DAMAGES OR (b) ATTORNEYS’ FEES.</w:t>
      </w:r>
    </w:p>
    <w:p>
      <w:pPr>
        <w:spacing w:after="0" w:line="215" w:lineRule="exact"/>
        <w:rPr>
          <w:sz w:val="20"/>
          <w:szCs w:val="20"/>
          <w:color w:val="auto"/>
        </w:rPr>
      </w:pPr>
    </w:p>
    <w:p>
      <w:pPr>
        <w:ind w:right="120" w:firstLine="656"/>
        <w:spacing w:after="0" w:line="271" w:lineRule="auto"/>
        <w:tabs>
          <w:tab w:leader="none" w:pos="136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205" w:lineRule="exact"/>
        <w:rPr>
          <w:rFonts w:ascii="Arial" w:cs="Arial" w:eastAsia="Arial" w:hAnsi="Arial"/>
          <w:sz w:val="17"/>
          <w:szCs w:val="17"/>
          <w:color w:val="auto"/>
        </w:rPr>
      </w:pPr>
    </w:p>
    <w:p>
      <w:pPr>
        <w:ind w:right="480" w:firstLine="656"/>
        <w:spacing w:after="0" w:line="277" w:lineRule="auto"/>
        <w:tabs>
          <w:tab w:leader="none" w:pos="136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97" w:lineRule="exact"/>
        <w:rPr>
          <w:rFonts w:ascii="Arial" w:cs="Arial" w:eastAsia="Arial" w:hAnsi="Arial"/>
          <w:sz w:val="18"/>
          <w:szCs w:val="18"/>
          <w:color w:val="auto"/>
        </w:rPr>
      </w:pPr>
    </w:p>
    <w:p>
      <w:pPr>
        <w:ind w:right="60" w:firstLine="656"/>
        <w:spacing w:after="0" w:line="264" w:lineRule="auto"/>
        <w:tabs>
          <w:tab w:leader="none" w:pos="136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(215) 286-7794; 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Employee’s address and fax number (if any) as indicated in the Company’s records.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4" w:name="page35"/>
    <w:bookmarkEnd w:id="34"/>
    <w:p>
      <w:pPr>
        <w:ind w:left="-40" w:right="60" w:firstLine="656"/>
        <w:spacing w:after="0" w:line="257" w:lineRule="auto"/>
        <w:tabs>
          <w:tab w:leader="none" w:pos="1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and supersedes and replaces in its entirety the Employment Agreement dated on November 20, 2006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15" w:lineRule="exact"/>
        <w:rPr>
          <w:rFonts w:ascii="Arial" w:cs="Arial" w:eastAsia="Arial" w:hAnsi="Arial"/>
          <w:sz w:val="18"/>
          <w:szCs w:val="18"/>
          <w:color w:val="auto"/>
        </w:rPr>
      </w:pPr>
    </w:p>
    <w:p>
      <w:pPr>
        <w:ind w:left="-40" w:right="200" w:firstLine="656"/>
        <w:spacing w:after="0" w:line="264" w:lineRule="auto"/>
        <w:tabs>
          <w:tab w:leader="none" w:pos="1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8" w:lineRule="exact"/>
        <w:rPr>
          <w:rFonts w:ascii="Arial" w:cs="Arial" w:eastAsia="Arial" w:hAnsi="Arial"/>
          <w:sz w:val="18"/>
          <w:szCs w:val="18"/>
          <w:color w:val="auto"/>
        </w:rPr>
      </w:pPr>
    </w:p>
    <w:p>
      <w:pPr>
        <w:ind w:left="-40" w:right="140" w:firstLine="656"/>
        <w:spacing w:after="0" w:line="259" w:lineRule="auto"/>
        <w:tabs>
          <w:tab w:leader="none" w:pos="1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13" w:lineRule="exact"/>
        <w:rPr>
          <w:rFonts w:ascii="Arial" w:cs="Arial" w:eastAsia="Arial" w:hAnsi="Arial"/>
          <w:sz w:val="18"/>
          <w:szCs w:val="18"/>
          <w:color w:val="auto"/>
        </w:rPr>
      </w:pPr>
    </w:p>
    <w:p>
      <w:pPr>
        <w:ind w:left="-40" w:firstLine="656"/>
        <w:spacing w:after="0" w:line="264" w:lineRule="auto"/>
        <w:tabs>
          <w:tab w:leader="none" w:pos="13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14605</wp:posOffset>
            </wp:positionV>
            <wp:extent cx="27444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232"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Date:</w:t>
        <w:tab/>
        <w:t>12/18/09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25901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14605</wp:posOffset>
            </wp:positionV>
            <wp:extent cx="29159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1592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J. Angelakis</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12/18/09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14605</wp:posOffset>
            </wp:positionV>
            <wp:extent cx="26073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368"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SCHEDULE 1 TO EMPLOYMENT AGREEMENT WITH MICHAEL J. ANGELAKIS</w:t>
            </w:r>
          </w:p>
        </w:tc>
      </w:tr>
      <w:tr>
        <w:trPr>
          <w:trHeight w:val="465"/>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1.</w:t>
            </w:r>
          </w:p>
        </w:tc>
        <w:tc>
          <w:tcPr>
            <w:tcW w:w="1300" w:type="dxa"/>
            <w:vAlign w:val="bottom"/>
          </w:tcPr>
          <w:p>
            <w:pPr>
              <w:ind w:left="260"/>
              <w:spacing w:after="0"/>
              <w:rPr>
                <w:sz w:val="20"/>
                <w:szCs w:val="20"/>
                <w:color w:val="auto"/>
              </w:rPr>
            </w:pPr>
            <w:r>
              <w:rPr>
                <w:rFonts w:ascii="Arial" w:cs="Arial" w:eastAsia="Arial" w:hAnsi="Arial"/>
                <w:sz w:val="18"/>
                <w:szCs w:val="18"/>
                <w:color w:val="auto"/>
              </w:rPr>
              <w:t>Position:</w:t>
            </w: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and Chief Financial Officer, Comcast</w:t>
            </w:r>
          </w:p>
        </w:tc>
      </w:tr>
      <w:tr>
        <w:trPr>
          <w:trHeight w:val="230"/>
        </w:trPr>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Corporation.</w:t>
            </w:r>
          </w:p>
        </w:tc>
      </w:tr>
    </w:tbl>
    <w:p>
      <w:pPr>
        <w:spacing w:after="0" w:line="229" w:lineRule="exact"/>
        <w:rPr>
          <w:sz w:val="20"/>
          <w:szCs w:val="20"/>
          <w:color w:val="auto"/>
        </w:rPr>
      </w:pPr>
    </w:p>
    <w:p>
      <w:pPr>
        <w:ind w:left="660" w:hanging="652"/>
        <w:spacing w:after="0" w:line="31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Signing Bonus Amount and Terms: $1,500,000; provided that Employee shall be required to reimburse the Company for 100% of the amount of each signing bonus in the event a Termination With Cause or Termination Without Good Reason occurs within six months of the date thereof, or fifty percent (50%) of the amount of the signing bonus if either such event occurs following six months but within one year of the date thereof.</w:t>
      </w:r>
    </w:p>
    <w:p>
      <w:pPr>
        <w:spacing w:after="0" w:line="17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Restricted Stock Amount and Vesting Schedule: units for shares having a market value of approximately $3,000,000; vesting: 100% on the thirteen-month anniversary of the date of grant. Employee shall remain subject to the Company’s Stock Ownership Policy.</w:t>
      </w:r>
    </w:p>
    <w:p>
      <w:pPr>
        <w:spacing w:after="0" w:line="197"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197" w:lineRule="exact"/>
        <w:rPr>
          <w:rFonts w:ascii="Arial" w:cs="Arial" w:eastAsia="Arial" w:hAnsi="Arial"/>
          <w:sz w:val="18"/>
          <w:szCs w:val="18"/>
          <w:color w:val="auto"/>
        </w:rPr>
      </w:pPr>
    </w:p>
    <w:p>
      <w:pPr>
        <w:ind w:left="660" w:right="128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Restricted Stock and Stock Option Plan Grants Continued Vesting Period following Termination Without Cause or Termination With Good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Reason: Twelve (12) months. Stock Option Plan Grants Continued Exercisability Period following Termination Without Cause or Termination With</w:t>
      </w:r>
    </w:p>
    <w:p>
      <w:pPr>
        <w:spacing w:after="0" w:line="32"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Good Reason: the lesser of fifteen (15) months or the end of the stock option’s term.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6" w:name="page37"/>
    <w:bookmarkEnd w:id="36"/>
    <w:p>
      <w:pPr>
        <w:jc w:val="center"/>
        <w:ind w:right="312"/>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ind w:left="648" w:right="140" w:hanging="648"/>
        <w:spacing w:after="0" w:line="289"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or other), and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Bright House Networks; Cablevision Systems Corp.; Charter Communications, Inc.; Cox Communications, Inc.; DirecTV, Inc.; DISH Network Corporation; EchoStar Holding Corporation; Everest; Facebook, Inc.; Flixster, Inc; Google, Inc. (including YouTube); Joost Operations S.A.; Knology Holdings, Inc.; Microsoft Corporation (including Xbox); N-F NewSite, LLC d/b/a hulu.com; Qwest Communications International, Inc.; RCN Corporation; Roku, Inc.; Time Warner Cable, Inc.; TiVo Inc.; Verizon Communications, Inc.; VUDU, Inc.; and Wide Open West.</w:t>
      </w:r>
    </w:p>
    <w:p>
      <w:pPr>
        <w:spacing w:after="0" w:line="193" w:lineRule="exact"/>
        <w:rPr>
          <w:rFonts w:ascii="Arial" w:cs="Arial" w:eastAsia="Arial" w:hAnsi="Arial"/>
          <w:sz w:val="16"/>
          <w:szCs w:val="16"/>
          <w:color w:val="auto"/>
        </w:rPr>
      </w:pPr>
    </w:p>
    <w:p>
      <w:pPr>
        <w:ind w:left="648" w:hanging="648"/>
        <w:spacing w:after="0" w:line="270"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AT&amp;T Inc.; Bright House Networks; Cablevision Systems Corp.; Charter Communications Inc.; Clearwire Corporation; Cox Communications, Inc.; DirecTV, Inc.; DISH Network Corporation; EchoStar Holding Corporation; Google, Inc.; Knology Holdings, Inc.; Microsoft Corporation (including MSN); Qwest Communications International, Inc.; RCN Corporation; Sprint Nextel Corporation; Time Warner Cable, Inc.; Time Warner Inc. (including AOL); Verizon Communications, Inc.; and Yahoo, Inc.</w:t>
      </w:r>
    </w:p>
    <w:p>
      <w:pPr>
        <w:spacing w:after="0" w:line="208" w:lineRule="exact"/>
        <w:rPr>
          <w:rFonts w:ascii="Arial" w:cs="Arial" w:eastAsia="Arial" w:hAnsi="Arial"/>
          <w:sz w:val="17"/>
          <w:szCs w:val="17"/>
          <w:color w:val="auto"/>
        </w:rPr>
      </w:pPr>
    </w:p>
    <w:p>
      <w:pPr>
        <w:ind w:left="648" w:right="20" w:hanging="648"/>
        <w:spacing w:after="0" w:line="255"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 of voice and/or data service to consumer or commercial customers or users, whether by analog or digital technology,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voice and/or data service as of the date hereof: AT&amp;T Inc.; Bright House Networks; Cablevision Systems Corp.; Charter Communications, Inc.; Clearwire Corporation; Cox Communications, Inc.; DirecTV, Inc.; DISH Network Corporation; EchoStar Holding Corporation; Embarq Corporation;</w:t>
      </w:r>
    </w:p>
    <w:p>
      <w:pPr>
        <w:spacing w:after="0" w:line="22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37" w:name="page38"/>
    <w:bookmarkEnd w:id="37"/>
    <w:p>
      <w:pPr>
        <w:ind w:left="648"/>
        <w:spacing w:after="0" w:line="277" w:lineRule="auto"/>
        <w:rPr>
          <w:sz w:val="20"/>
          <w:szCs w:val="20"/>
          <w:color w:val="auto"/>
        </w:rPr>
      </w:pPr>
      <w:r>
        <w:rPr>
          <w:rFonts w:ascii="Arial" w:cs="Arial" w:eastAsia="Arial" w:hAnsi="Arial"/>
          <w:sz w:val="18"/>
          <w:szCs w:val="18"/>
          <w:color w:val="auto"/>
        </w:rPr>
        <w:t>Google, Inc.; Knology Holdings, Inc.; Qwest Communications International, Inc.; RCN Corporation; Sprint Nextel Corporation; Skype Limited; Time Warner Cable, Inc.; Vonage Holdings Corp.; Verizon Communications, Inc.; and Wide Open West.</w:t>
      </w:r>
    </w:p>
    <w:p>
      <w:pPr>
        <w:spacing w:after="0" w:line="197" w:lineRule="exact"/>
        <w:rPr>
          <w:sz w:val="20"/>
          <w:szCs w:val="20"/>
          <w:color w:val="auto"/>
        </w:rPr>
      </w:pPr>
    </w:p>
    <w:p>
      <w:pPr>
        <w:ind w:left="648" w:hanging="648"/>
        <w:spacing w:after="0" w:line="273" w:lineRule="auto"/>
        <w:tabs>
          <w:tab w:leader="none" w:pos="6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AT&amp;T Inc.; Boingo Wireless, Inc.; Bright House Networks; Clearwire Corporation; Leap Wireless International, Inc.; MediaFLO USA, Inc.; MetroPCS Communications, Inc.; Sprint Nextel Corporation; T-Mobile USA, Inc.; and Verizon Communications, Inc.</w:t>
      </w:r>
    </w:p>
    <w:p>
      <w:pPr>
        <w:spacing w:after="0" w:line="205" w:lineRule="exact"/>
        <w:rPr>
          <w:rFonts w:ascii="Arial" w:cs="Arial" w:eastAsia="Arial" w:hAnsi="Arial"/>
          <w:sz w:val="17"/>
          <w:szCs w:val="17"/>
          <w:color w:val="auto"/>
        </w:rPr>
      </w:pPr>
    </w:p>
    <w:p>
      <w:pPr>
        <w:ind w:left="648" w:right="20" w:hanging="648"/>
        <w:spacing w:after="0" w:line="270" w:lineRule="auto"/>
        <w:tabs>
          <w:tab w:leader="none" w:pos="6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CBS Corporation; Cox Communications, Inc.; Discovery Communications, Inc.; Epix Joint Venture; EW Scripps Co.; General Electric Co. (including NBC-Universal); Google, Inc. (including YouTube); IAC/InterActive Corp; Liberty Media Corp.; Metro-Goldwyn-Mayer Inc.; News Corp. (including Fox and MySpace); Sony Corporation of America; The Walt Disney Company, Inc. (including ABC); Time Warner Inc. (including AOL, Turner and Warner Bros.); and Viacom Inc. (including Dreamworks and Paramount).</w:t>
      </w:r>
    </w:p>
    <w:p>
      <w:pPr>
        <w:spacing w:after="0" w:line="208" w:lineRule="exact"/>
        <w:rPr>
          <w:rFonts w:ascii="Arial" w:cs="Arial" w:eastAsia="Arial" w:hAnsi="Arial"/>
          <w:sz w:val="17"/>
          <w:szCs w:val="17"/>
          <w:color w:val="auto"/>
        </w:rPr>
      </w:pPr>
    </w:p>
    <w:p>
      <w:pPr>
        <w:ind w:left="648" w:right="40" w:hanging="648"/>
        <w:spacing w:after="0" w:line="273" w:lineRule="auto"/>
        <w:tabs>
          <w:tab w:leader="none" w:pos="6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AT&amp;T Inc.; BitTorrent, Inc.; Bright Cove, Inc.; CBS Interactive Inc. (including CNET); Facebook, Inc.; Flixster, Inc.; Friendfeed Inc.; Google, Inc. (including YouTube); hulu.com; Joost Operations S.A.; LinkedIn Corporation; Microsoft Corporation (including MSN); News Corp. (including MySpace); RealNetworks, Inc.; The Walt Disney Company, Inc.; Time Warner Inc. (including AOL); TiVo Inc.; Verizon Communications, Inc.; XING AG; Xobni Corporation; and Yahoo, Inc.</w:t>
      </w:r>
    </w:p>
    <w:p>
      <w:pPr>
        <w:spacing w:after="0" w:line="205" w:lineRule="exact"/>
        <w:rPr>
          <w:rFonts w:ascii="Arial" w:cs="Arial" w:eastAsia="Arial" w:hAnsi="Arial"/>
          <w:sz w:val="17"/>
          <w:szCs w:val="17"/>
          <w:color w:val="auto"/>
        </w:rPr>
      </w:pPr>
    </w:p>
    <w:p>
      <w:pPr>
        <w:ind w:left="648" w:right="280" w:hanging="648"/>
        <w:spacing w:after="0" w:line="277"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creation, development, enhancement, testing, deployment, operation, licensing or sale of software or other technology used in any of the products or services described in A to F above.</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68"/>
          </w:cols>
          <w:pgMar w:left="572" w:top="368"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56" w:lineRule="exact"/>
        <w:rPr>
          <w:sz w:val="20"/>
          <w:szCs w:val="20"/>
          <w:color w:val="auto"/>
        </w:rPr>
      </w:pPr>
    </w:p>
    <w:p>
      <w:pPr>
        <w:ind w:right="400"/>
        <w:spacing w:after="0" w:line="223" w:lineRule="auto"/>
        <w:rPr>
          <w:sz w:val="20"/>
          <w:szCs w:val="20"/>
          <w:color w:val="auto"/>
        </w:rPr>
      </w:pPr>
      <w:r>
        <w:rPr>
          <w:rFonts w:ascii="Arial" w:cs="Arial" w:eastAsia="Arial" w:hAnsi="Arial"/>
          <w:sz w:val="18"/>
          <w:szCs w:val="18"/>
          <w:color w:val="auto"/>
        </w:rPr>
        <w:t>This EMPLOYMENT AGREEMENT (the “Agreement”) is entered into as of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December, 2009, between COMCAST CORPORATION, a Pennsylvania corporation (together with its subsidiaries, the “Company”), and ARTHUR R. BLOCK (“Employee”).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52"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52" w:lineRule="exact"/>
        <w:rPr>
          <w:sz w:val="20"/>
          <w:szCs w:val="20"/>
          <w:color w:val="auto"/>
        </w:rPr>
      </w:pPr>
    </w:p>
    <w:p>
      <w:pPr>
        <w:ind w:right="420" w:firstLine="8"/>
        <w:spacing w:after="0" w:line="342"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Employee shall serve and the Company shall employ Employee in the position set forth on Schedule 1, provided that the position and duties of Employee from time to time hereunder will be those assigned by the Company commensurate with Employee’s education, skills and experience.</w:t>
      </w:r>
    </w:p>
    <w:p>
      <w:pPr>
        <w:spacing w:after="0" w:line="150" w:lineRule="exact"/>
        <w:rPr>
          <w:rFonts w:ascii="Arial" w:cs="Arial" w:eastAsia="Arial" w:hAnsi="Arial"/>
          <w:sz w:val="16"/>
          <w:szCs w:val="16"/>
          <w:color w:val="auto"/>
        </w:rPr>
      </w:pPr>
    </w:p>
    <w:p>
      <w:pPr>
        <w:ind w:right="20" w:firstLine="8"/>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213" w:lineRule="exact"/>
        <w:rPr>
          <w:rFonts w:ascii="Arial" w:cs="Arial" w:eastAsia="Arial" w:hAnsi="Arial"/>
          <w:sz w:val="18"/>
          <w:szCs w:val="18"/>
          <w:color w:val="auto"/>
        </w:rPr>
      </w:pPr>
    </w:p>
    <w:p>
      <w:pPr>
        <w:ind w:right="280" w:firstLine="8"/>
        <w:spacing w:after="0" w:line="27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shall comply with all policies of the Company applicable to Employee, including the Employee Handbook and the Code of Ethics and Business Conduct.</w:t>
      </w:r>
    </w:p>
    <w:p>
      <w:pPr>
        <w:spacing w:after="0" w:line="197"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 of:</w:t>
      </w:r>
    </w:p>
    <w:p>
      <w:pPr>
        <w:spacing w:after="0" w:line="46" w:lineRule="exact"/>
        <w:rPr>
          <w:rFonts w:ascii="Arial" w:cs="Arial" w:eastAsia="Arial" w:hAnsi="Arial"/>
          <w:sz w:val="16"/>
          <w:szCs w:val="16"/>
          <w:color w:val="auto"/>
        </w:rPr>
      </w:pPr>
    </w:p>
    <w:p>
      <w:pPr>
        <w:ind w:right="260"/>
        <w:spacing w:after="0" w:line="277" w:lineRule="auto"/>
        <w:rPr>
          <w:rFonts w:ascii="Arial" w:cs="Arial" w:eastAsia="Arial" w:hAnsi="Arial"/>
          <w:sz w:val="16"/>
          <w:szCs w:val="16"/>
          <w:color w:val="auto"/>
        </w:rPr>
      </w:pPr>
      <w:r>
        <w:rPr>
          <w:rFonts w:ascii="Arial" w:cs="Arial" w:eastAsia="Arial" w:hAnsi="Arial"/>
          <w:sz w:val="17"/>
          <w:szCs w:val="17"/>
          <w:color w:val="auto"/>
        </w:rPr>
        <w:t>(a) the date Employee’s employment is terminated in accordance with Paragraph 6; or (b) December 31, 2014 (the date specified in subparagraph (b) is referred to as “Regular End Date”). Notwithstanding the end of the Term, the Company’s obligation to make any payments expressly set forth herein to be made after the Term, and Employee’s covenants contained in Paragraphs 8, 9 and 10, shall be enforceable after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9" w:name="page40"/>
    <w:bookmarkEnd w:id="39"/>
    <w:p>
      <w:pPr>
        <w:ind w:left="632" w:hanging="632"/>
        <w:spacing w:after="0"/>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52" w:lineRule="exact"/>
        <w:rPr>
          <w:sz w:val="20"/>
          <w:szCs w:val="20"/>
          <w:color w:val="auto"/>
        </w:rPr>
      </w:pPr>
    </w:p>
    <w:p>
      <w:pPr>
        <w:ind w:left="-8" w:right="80" w:firstLine="8"/>
        <w:spacing w:after="0" w:line="255" w:lineRule="auto"/>
        <w:tabs>
          <w:tab w:leader="none" w:pos="6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base salary (“Base Salary”) from the Commencement Date through February 28, 2011 shall be at the annual rate set forth on Schedule 1, and shall not thereafter be reduced other than as part of a salary reduction program effected by the Company during the Term, on a basis consistent with that applicable to other employees at Employee’s level. Employee shall thereafter be entitled to participate in any salary increase program offered by the Company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220" w:lineRule="exact"/>
        <w:rPr>
          <w:rFonts w:ascii="Arial" w:cs="Arial" w:eastAsia="Arial" w:hAnsi="Arial"/>
          <w:sz w:val="18"/>
          <w:szCs w:val="18"/>
          <w:color w:val="auto"/>
        </w:rPr>
      </w:pPr>
    </w:p>
    <w:p>
      <w:pPr>
        <w:ind w:left="712" w:hanging="712"/>
        <w:spacing w:after="0"/>
        <w:tabs>
          <w:tab w:leader="none" w:pos="71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w:t>
      </w:r>
    </w:p>
    <w:p>
      <w:pPr>
        <w:spacing w:after="0" w:line="252" w:lineRule="exact"/>
        <w:rPr>
          <w:sz w:val="20"/>
          <w:szCs w:val="20"/>
          <w:color w:val="auto"/>
        </w:rPr>
      </w:pPr>
    </w:p>
    <w:p>
      <w:pPr>
        <w:ind w:left="652" w:hanging="652"/>
        <w:spacing w:after="0"/>
        <w:tabs>
          <w:tab w:leader="none" w:pos="6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soon as practicable after the Commencement Date, Employee shall receive a grant of:</w:t>
      </w:r>
    </w:p>
    <w:p>
      <w:pPr>
        <w:spacing w:after="0" w:line="252" w:lineRule="exact"/>
        <w:rPr>
          <w:sz w:val="20"/>
          <w:szCs w:val="20"/>
          <w:color w:val="auto"/>
        </w:rPr>
      </w:pPr>
    </w:p>
    <w:p>
      <w:pPr>
        <w:ind w:left="-8" w:right="120" w:firstLine="8"/>
        <w:spacing w:after="0" w:line="264" w:lineRule="auto"/>
        <w:tabs>
          <w:tab w:leader="none" w:pos="7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non-qualified stock option under the Company’s Stock Option Plan to purchase the number of shares of the Company’s Class A Common Stock set forth on Schedule 1. The exercise price of such option shall be the closing price of the Class A Common Stock on the date of grant. Such option shall have a term of ten (10) years and shall vest as set forth on Schedule 1.</w:t>
      </w:r>
    </w:p>
    <w:p>
      <w:pPr>
        <w:spacing w:after="0" w:line="208" w:lineRule="exact"/>
        <w:rPr>
          <w:rFonts w:ascii="Arial" w:cs="Arial" w:eastAsia="Arial" w:hAnsi="Arial"/>
          <w:sz w:val="18"/>
          <w:szCs w:val="18"/>
          <w:color w:val="auto"/>
        </w:rPr>
      </w:pPr>
    </w:p>
    <w:p>
      <w:pPr>
        <w:ind w:left="-8" w:right="160" w:firstLine="8"/>
        <w:spacing w:after="0" w:line="277" w:lineRule="auto"/>
        <w:tabs>
          <w:tab w:leader="none" w:pos="7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Restricted stock units under the Company’s Restricted Stock Plan for the number of shares of the Company’s Class A Common Stock set forth on Schedule 1. Such units shall vest as set forth on Schedule 1.</w:t>
      </w:r>
    </w:p>
    <w:p>
      <w:pPr>
        <w:spacing w:after="0" w:line="197" w:lineRule="exact"/>
        <w:rPr>
          <w:sz w:val="20"/>
          <w:szCs w:val="20"/>
          <w:color w:val="auto"/>
        </w:rPr>
      </w:pPr>
    </w:p>
    <w:p>
      <w:pPr>
        <w:ind w:left="-8" w:firstLine="8"/>
        <w:spacing w:after="0" w:line="264" w:lineRule="auto"/>
        <w:tabs>
          <w:tab w:leader="none" w:pos="7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Continuing in 2010,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208" w:lineRule="exact"/>
        <w:rPr>
          <w:rFonts w:ascii="Arial" w:cs="Arial" w:eastAsia="Arial" w:hAnsi="Arial"/>
          <w:sz w:val="18"/>
          <w:szCs w:val="18"/>
          <w:color w:val="auto"/>
        </w:rPr>
      </w:pPr>
    </w:p>
    <w:p>
      <w:pPr>
        <w:ind w:left="1352" w:hanging="704"/>
        <w:spacing w:after="0"/>
        <w:tabs>
          <w:tab w:leader="none" w:pos="135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52" w:lineRule="exact"/>
        <w:rPr>
          <w:sz w:val="20"/>
          <w:szCs w:val="20"/>
          <w:color w:val="auto"/>
        </w:rPr>
      </w:pPr>
    </w:p>
    <w:p>
      <w:pPr>
        <w:ind w:left="-8" w:right="80" w:firstLine="656"/>
        <w:spacing w:after="0" w:line="259" w:lineRule="auto"/>
        <w:tabs>
          <w:tab w:leader="none" w:pos="13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 through each of December 31, 2009 and December 31, 2010 with respect to the same percentage of eligible earnings target bonus potential as applicable for 2009.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213" w:lineRule="exact"/>
        <w:rPr>
          <w:rFonts w:ascii="Arial" w:cs="Arial" w:eastAsia="Arial" w:hAnsi="Arial"/>
          <w:sz w:val="18"/>
          <w:szCs w:val="18"/>
          <w:color w:val="auto"/>
        </w:rPr>
      </w:pPr>
    </w:p>
    <w:p>
      <w:pPr>
        <w:ind w:left="-8" w:right="540" w:firstLine="656"/>
        <w:spacing w:after="0" w:line="308" w:lineRule="auto"/>
        <w:tabs>
          <w:tab w:leader="none" w:pos="13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Employee shall be entitled to continued participation in the Company’s Cash Bonus Plan (or any successor performance-based cash incentive compensation plan) with respect to each subsequent calendar year (or portion thereof) in the Term on a basis</w:t>
      </w:r>
    </w:p>
    <w:p>
      <w:pPr>
        <w:spacing w:after="0" w:line="200" w:lineRule="exact"/>
        <w:rPr>
          <w:sz w:val="20"/>
          <w:szCs w:val="20"/>
          <w:color w:val="auto"/>
        </w:rPr>
      </w:pPr>
    </w:p>
    <w:p>
      <w:pPr>
        <w:spacing w:after="0" w:line="21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40" w:name="page41"/>
    <w:bookmarkEnd w:id="40"/>
    <w:p>
      <w:pPr>
        <w:ind w:right="60"/>
        <w:spacing w:after="0" w:line="277" w:lineRule="auto"/>
        <w:rPr>
          <w:sz w:val="20"/>
          <w:szCs w:val="20"/>
          <w:color w:val="auto"/>
        </w:rPr>
      </w:pPr>
      <w:r>
        <w:rPr>
          <w:rFonts w:ascii="Arial" w:cs="Arial" w:eastAsia="Arial" w:hAnsi="Arial"/>
          <w:sz w:val="18"/>
          <w:szCs w:val="18"/>
          <w:color w:val="auto"/>
        </w:rPr>
        <w:t>consistent with that applicable to other employees at Employee’s level, taking into account Employee’s position, duties and performance, provided that in no event will the aggregate target bonus thereunder be less than the percentage of eligible earnings as applicable for 2009.</w:t>
      </w:r>
    </w:p>
    <w:p>
      <w:pPr>
        <w:spacing w:after="0" w:line="197"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w:t>
      </w:r>
    </w:p>
    <w:p>
      <w:pPr>
        <w:spacing w:after="0" w:line="252" w:lineRule="exact"/>
        <w:rPr>
          <w:sz w:val="20"/>
          <w:szCs w:val="20"/>
          <w:color w:val="auto"/>
        </w:rPr>
      </w:pPr>
    </w:p>
    <w:p>
      <w:pPr>
        <w:ind w:right="80" w:firstLine="8"/>
        <w:spacing w:after="0" w:line="291" w:lineRule="auto"/>
        <w:tabs>
          <w:tab w:leader="none" w:pos="6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(“Other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Other Benefit Plans at any time, provided no such action may adversely affect any vested rights of Employee thereunder. The provisions of this subparagraph (i) shall not apply to compensation and benefit plans and programs specifically addressed in this Agreement, in which case the applicable terms of this Agreement shall control.</w:t>
      </w:r>
    </w:p>
    <w:p>
      <w:pPr>
        <w:spacing w:after="0" w:line="194" w:lineRule="exact"/>
        <w:rPr>
          <w:rFonts w:ascii="Arial" w:cs="Arial" w:eastAsia="Arial" w:hAnsi="Arial"/>
          <w:sz w:val="16"/>
          <w:szCs w:val="16"/>
          <w:color w:val="auto"/>
        </w:rPr>
      </w:pPr>
    </w:p>
    <w:p>
      <w:pPr>
        <w:ind w:firstLine="8"/>
        <w:spacing w:after="0" w:line="264" w:lineRule="auto"/>
        <w:tabs>
          <w:tab w:leader="none" w:pos="7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the terms hereof or of any employee benefit plan, policy or grant document, Employee agrees to be subject to the provisions of the Company’s Recoupment Policy as in effect from time to time and any decision of the Board of Directors thereunder requiring repayment of any amounts by Employee or cancellation of any of Employee’s unvested restricted stock units.</w:t>
      </w:r>
    </w:p>
    <w:p>
      <w:pPr>
        <w:spacing w:after="0" w:line="208" w:lineRule="exact"/>
        <w:rPr>
          <w:sz w:val="20"/>
          <w:szCs w:val="20"/>
          <w:color w:val="auto"/>
        </w:rPr>
      </w:pPr>
    </w:p>
    <w:p>
      <w:pPr>
        <w:jc w:val="both"/>
        <w:ind w:right="440" w:firstLine="8"/>
        <w:spacing w:after="0" w:line="286" w:lineRule="auto"/>
        <w:tabs>
          <w:tab w:leader="none" w:pos="63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192" w:lineRule="exact"/>
        <w:rPr>
          <w:rFonts w:ascii="Arial" w:cs="Arial" w:eastAsia="Arial" w:hAnsi="Arial"/>
          <w:sz w:val="17"/>
          <w:szCs w:val="17"/>
          <w:color w:val="auto"/>
        </w:rPr>
      </w:pPr>
    </w:p>
    <w:p>
      <w:pPr>
        <w:ind w:right="220" w:firstLine="8"/>
        <w:spacing w:after="0" w:line="286" w:lineRule="auto"/>
        <w:tabs>
          <w:tab w:leader="none" w:pos="63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benefit plans or programs), shall or may be terminated, in the circumstances set forth below.</w:t>
      </w:r>
    </w:p>
    <w:p>
      <w:pPr>
        <w:spacing w:after="0" w:line="193" w:lineRule="exact"/>
        <w:rPr>
          <w:sz w:val="20"/>
          <w:szCs w:val="20"/>
          <w:color w:val="auto"/>
        </w:rPr>
      </w:pPr>
    </w:p>
    <w:p>
      <w:pPr>
        <w:ind w:left="700" w:hanging="692"/>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Employee's employment shall terminate automatically in the event of Employee’s death.</w:t>
      </w:r>
    </w:p>
    <w:p>
      <w:pPr>
        <w:spacing w:after="0" w:line="252" w:lineRule="exact"/>
        <w:rPr>
          <w:rFonts w:ascii="Arial" w:cs="Arial" w:eastAsia="Arial" w:hAnsi="Arial"/>
          <w:sz w:val="18"/>
          <w:szCs w:val="18"/>
          <w:color w:val="auto"/>
        </w:rPr>
      </w:pPr>
    </w:p>
    <w:p>
      <w:pPr>
        <w:jc w:val="both"/>
        <w:ind w:right="420" w:firstLine="8"/>
        <w:spacing w:after="0" w:line="264"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period of twelve (12) consecutive months or for a cumulative period of fifty-two (52) weeks in any two (2) calendar year period.</w:t>
      </w:r>
    </w:p>
    <w:p>
      <w:pPr>
        <w:spacing w:after="0" w:line="252" w:lineRule="exact"/>
        <w:rPr>
          <w:sz w:val="20"/>
          <w:szCs w:val="20"/>
          <w:color w:val="auto"/>
        </w:rPr>
      </w:pPr>
    </w:p>
    <w:p>
      <w:pPr>
        <w:ind w:left="700" w:hanging="692"/>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by Employee Without Good Reason</w:t>
      </w:r>
      <w:r>
        <w:rPr>
          <w:rFonts w:ascii="Arial" w:cs="Arial" w:eastAsia="Arial" w:hAnsi="Arial"/>
          <w:sz w:val="18"/>
          <w:szCs w:val="18"/>
          <w:color w:val="auto"/>
        </w:rPr>
        <w:t>.</w:t>
      </w:r>
    </w:p>
    <w:p>
      <w:pPr>
        <w:spacing w:after="0" w:line="252" w:lineRule="exact"/>
        <w:rPr>
          <w:sz w:val="20"/>
          <w:szCs w:val="20"/>
          <w:color w:val="auto"/>
        </w:rPr>
      </w:pPr>
    </w:p>
    <w:p>
      <w:pPr>
        <w:ind w:right="220" w:firstLine="8"/>
        <w:spacing w:after="0" w:line="255" w:lineRule="auto"/>
        <w:tabs>
          <w:tab w:leader="none" w:pos="6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with respect to the Company; material misrepresentation with respect to the Company; substantial failure to perform duties; gross negligence or misconduct in the performance of duties; material violation of the Employee Handbook, the Code of Ethics and Business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220" w:lineRule="exact"/>
        <w:rPr>
          <w:rFonts w:ascii="Arial" w:cs="Arial" w:eastAsia="Arial" w:hAnsi="Arial"/>
          <w:sz w:val="18"/>
          <w:szCs w:val="18"/>
          <w:color w:val="auto"/>
        </w:rPr>
      </w:pPr>
    </w:p>
    <w:p>
      <w:pPr>
        <w:ind w:right="200" w:firstLine="8"/>
        <w:spacing w:after="0" w:line="277" w:lineRule="auto"/>
        <w:tabs>
          <w:tab w:leader="none" w:pos="7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197"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by Employee With Good Reason</w:t>
      </w:r>
      <w:r>
        <w:rPr>
          <w:rFonts w:ascii="Arial" w:cs="Arial" w:eastAsia="Arial" w:hAnsi="Arial"/>
          <w:sz w:val="18"/>
          <w:szCs w:val="18"/>
          <w:color w:val="auto"/>
        </w:rPr>
        <w:t>.</w:t>
      </w:r>
    </w:p>
    <w:p>
      <w:pPr>
        <w:spacing w:after="0" w:line="252" w:lineRule="exact"/>
        <w:rPr>
          <w:sz w:val="20"/>
          <w:szCs w:val="20"/>
          <w:color w:val="auto"/>
        </w:rPr>
      </w:pPr>
    </w:p>
    <w:p>
      <w:pPr>
        <w:ind w:right="100" w:firstLine="8"/>
        <w:spacing w:after="0" w:line="277" w:lineRule="auto"/>
        <w:tabs>
          <w:tab w:leader="none" w:pos="6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197" w:lineRule="exact"/>
        <w:rPr>
          <w:rFonts w:ascii="Arial" w:cs="Arial" w:eastAsia="Arial" w:hAnsi="Arial"/>
          <w:sz w:val="18"/>
          <w:szCs w:val="18"/>
          <w:color w:val="auto"/>
        </w:rPr>
      </w:pPr>
    </w:p>
    <w:p>
      <w:pPr>
        <w:jc w:val="both"/>
        <w:ind w:firstLine="8"/>
        <w:spacing w:after="0" w:line="302" w:lineRule="auto"/>
        <w:tabs>
          <w:tab w:leader="none" w:pos="7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any material provision of this Agreement (which, as to either such item, if capable of being cured (as determined by the Company), shall remain uncured following twenty (20) business days after written notice thereof) (“Good Reason”).</w:t>
      </w:r>
    </w:p>
    <w:p>
      <w:pPr>
        <w:spacing w:after="0" w:line="181" w:lineRule="exact"/>
        <w:rPr>
          <w:sz w:val="20"/>
          <w:szCs w:val="20"/>
          <w:color w:val="auto"/>
        </w:rPr>
      </w:pPr>
    </w:p>
    <w:p>
      <w:pPr>
        <w:ind w:right="20" w:firstLine="8"/>
        <w:spacing w:after="0" w:line="277" w:lineRule="auto"/>
        <w:tabs>
          <w:tab w:leader="none" w:pos="63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97" w:lineRule="exact"/>
        <w:rPr>
          <w:sz w:val="20"/>
          <w:szCs w:val="20"/>
          <w:color w:val="auto"/>
        </w:rPr>
      </w:pPr>
    </w:p>
    <w:p>
      <w:pPr>
        <w:ind w:right="80" w:firstLine="8"/>
        <w:spacing w:after="0" w:line="279"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Following termination due to death or Disability, Employee (or Employee’s estate, as applicable) shall be entitled to payment of Employee’s then-current Base Salary through the date of termination, amounts accrued or payable under any Other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ind w:right="60"/>
        <w:spacing w:after="0" w:line="235" w:lineRule="auto"/>
        <w:rPr>
          <w:sz w:val="20"/>
          <w:szCs w:val="20"/>
          <w:color w:val="auto"/>
        </w:rPr>
      </w:pPr>
      <w:r>
        <w:rPr>
          <w:rFonts w:ascii="Arial" w:cs="Arial" w:eastAsia="Arial" w:hAnsi="Arial"/>
          <w:sz w:val="18"/>
          <w:szCs w:val="18"/>
          <w:color w:val="auto"/>
        </w:rPr>
        <w:t>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 (a) shall be paid no later than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termination.</w:t>
      </w:r>
    </w:p>
    <w:p>
      <w:pPr>
        <w:spacing w:after="0" w:line="231" w:lineRule="exact"/>
        <w:rPr>
          <w:sz w:val="20"/>
          <w:szCs w:val="20"/>
          <w:color w:val="auto"/>
        </w:rPr>
      </w:pPr>
    </w:p>
    <w:p>
      <w:pPr>
        <w:ind w:right="20" w:firstLine="8"/>
        <w:spacing w:after="0" w:line="273" w:lineRule="auto"/>
        <w:tabs>
          <w:tab w:leader="none" w:pos="70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Termination With Cause or Termination Without Good Reason</w:t>
      </w:r>
      <w:r>
        <w:rPr>
          <w:rFonts w:ascii="Arial" w:cs="Arial" w:eastAsia="Arial" w:hAnsi="Arial"/>
          <w:sz w:val="17"/>
          <w:szCs w:val="17"/>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date of termination.</w:t>
      </w:r>
    </w:p>
    <w:p>
      <w:pPr>
        <w:spacing w:after="0" w:line="121" w:lineRule="exact"/>
        <w:rPr>
          <w:rFonts w:ascii="Arial" w:cs="Arial" w:eastAsia="Arial" w:hAnsi="Arial"/>
          <w:sz w:val="17"/>
          <w:szCs w:val="17"/>
          <w:color w:val="auto"/>
        </w:rPr>
      </w:pPr>
    </w:p>
    <w:p>
      <w:pPr>
        <w:ind w:right="260" w:firstLine="8"/>
        <w:spacing w:after="0" w:line="276" w:lineRule="auto"/>
        <w:tabs>
          <w:tab w:leader="none" w:pos="69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Termination With Good Reason</w:t>
      </w:r>
      <w:r>
        <w:rPr>
          <w:rFonts w:ascii="Arial" w:cs="Arial" w:eastAsia="Arial" w:hAnsi="Arial"/>
          <w:sz w:val="17"/>
          <w:szCs w:val="17"/>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within thirty (30) days following the date of termination, in a form and containing terms as the Company customarily requires of terminated employees receiving salary continuation payments:</w:t>
      </w:r>
    </w:p>
    <w:p>
      <w:pPr>
        <w:spacing w:after="0" w:line="199" w:lineRule="exact"/>
        <w:rPr>
          <w:rFonts w:ascii="Arial" w:cs="Arial" w:eastAsia="Arial" w:hAnsi="Arial"/>
          <w:sz w:val="17"/>
          <w:szCs w:val="17"/>
          <w:color w:val="auto"/>
        </w:rPr>
      </w:pPr>
    </w:p>
    <w:p>
      <w:pPr>
        <w:ind w:right="20" w:firstLine="1953"/>
        <w:spacing w:after="0" w:line="291" w:lineRule="auto"/>
        <w:tabs>
          <w:tab w:leader="none" w:pos="2610" w:val="left"/>
        </w:tabs>
        <w:numPr>
          <w:ilvl w:val="1"/>
          <w:numId w:val="78"/>
        </w:numPr>
        <w:rPr>
          <w:rFonts w:ascii="Arial" w:cs="Arial" w:eastAsia="Arial" w:hAnsi="Arial"/>
          <w:sz w:val="16"/>
          <w:szCs w:val="16"/>
          <w:color w:val="auto"/>
        </w:rPr>
      </w:pPr>
      <w:r>
        <w:rPr>
          <w:rFonts w:ascii="Arial" w:cs="Arial" w:eastAsia="Arial" w:hAnsi="Arial"/>
          <w:sz w:val="16"/>
          <w:szCs w:val="16"/>
          <w:color w:val="auto"/>
        </w:rPr>
        <w:t>Provided Employee is alive at the time of payment or receipt of benefits,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constitutes a “deferral of compensation” within the meaning of Section 409A of the Internal Revenue Code (the “Code”), and its implementing regulations and guidance, the provision of such benefits shall be subject to the terms and conditions of subparagraph 13(a).</w:t>
      </w:r>
    </w:p>
    <w:p>
      <w:pPr>
        <w:spacing w:after="0" w:line="194" w:lineRule="exact"/>
        <w:rPr>
          <w:sz w:val="20"/>
          <w:szCs w:val="20"/>
          <w:color w:val="auto"/>
        </w:rPr>
      </w:pPr>
    </w:p>
    <w:p>
      <w:pPr>
        <w:ind w:firstLine="8"/>
        <w:spacing w:after="0" w:line="312" w:lineRule="auto"/>
        <w:tabs>
          <w:tab w:leader="none" w:pos="7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Employee shall also receive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3" w:name="page44"/>
    <w:bookmarkEnd w:id="43"/>
    <w:p>
      <w:pPr>
        <w:ind w:right="180"/>
        <w:spacing w:after="0" w:line="231" w:lineRule="auto"/>
        <w:rPr>
          <w:sz w:val="20"/>
          <w:szCs w:val="20"/>
          <w:color w:val="auto"/>
        </w:rPr>
      </w:pPr>
      <w:r>
        <w:rPr>
          <w:rFonts w:ascii="Arial" w:cs="Arial" w:eastAsia="Arial" w:hAnsi="Arial"/>
          <w:sz w:val="18"/>
          <w:szCs w:val="18"/>
          <w:color w:val="auto"/>
        </w:rPr>
        <w:t>current year on account of the prior year’s Cash Bonus Plan grant (payable at such time as otherwise applicable absent such termination). Except as otherwise provided herein, any amounts payable to Employee pursuant to this subparagraph (ii) shall be paid no later than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of termination.</w:t>
      </w:r>
    </w:p>
    <w:p>
      <w:pPr>
        <w:spacing w:after="0" w:line="230" w:lineRule="exact"/>
        <w:rPr>
          <w:sz w:val="20"/>
          <w:szCs w:val="20"/>
          <w:color w:val="auto"/>
        </w:rPr>
      </w:pPr>
    </w:p>
    <w:p>
      <w:pPr>
        <w:ind w:firstLine="8"/>
        <w:spacing w:after="0" w:line="259" w:lineRule="auto"/>
        <w:tabs>
          <w:tab w:leader="none" w:pos="765" w:val="left"/>
        </w:tabs>
        <w:numPr>
          <w:ilvl w:val="0"/>
          <w:numId w:val="80"/>
        </w:numPr>
        <w:rPr>
          <w:rFonts w:ascii="Arial" w:cs="Arial" w:eastAsia="Arial" w:hAnsi="Arial"/>
          <w:sz w:val="18"/>
          <w:szCs w:val="18"/>
          <w:color w:val="auto"/>
        </w:rPr>
      </w:pPr>
      <w:r>
        <w:rPr>
          <w:rFonts w:ascii="Arial" w:cs="Arial" w:eastAsia="Arial" w:hAnsi="Arial"/>
          <w:sz w:val="18"/>
          <w:szCs w:val="18"/>
          <w:color w:val="auto"/>
        </w:rPr>
        <w:t>Employee shall have no obligation to seek to obtain employment during the period in which Employee receives salary continuation payments under subparagraph (i) above. Any income received from any subsequent employer shall not reduce such salary continuation payments. However, Employee shall provide the Company with notice of any such subsequent employment and the Company's obligation to continue health and welfare benefits shall cease upon Employee's eligibility for health and welfare benefits from any subsequent employer.</w:t>
      </w:r>
    </w:p>
    <w:p>
      <w:pPr>
        <w:spacing w:after="0" w:line="213" w:lineRule="exact"/>
        <w:rPr>
          <w:rFonts w:ascii="Arial" w:cs="Arial" w:eastAsia="Arial" w:hAnsi="Arial"/>
          <w:sz w:val="18"/>
          <w:szCs w:val="18"/>
          <w:color w:val="auto"/>
        </w:rPr>
      </w:pPr>
    </w:p>
    <w:p>
      <w:pPr>
        <w:jc w:val="both"/>
        <w:ind w:firstLine="8"/>
        <w:spacing w:after="0" w:line="259" w:lineRule="auto"/>
        <w:tabs>
          <w:tab w:leader="none" w:pos="7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and (B) the following year’s Cash Bonus Plan grant (pro-rated for the period of time in the following year based on the number of months equal to twelve (12) minus the number of full months in the current year following the date of termination); in each case, assuming achievement of performance targets at 100% (payable at such times as otherwise applicable absent such termination).</w:t>
      </w:r>
    </w:p>
    <w:p>
      <w:pPr>
        <w:spacing w:after="0" w:line="213" w:lineRule="exact"/>
        <w:rPr>
          <w:rFonts w:ascii="Arial" w:cs="Arial" w:eastAsia="Arial" w:hAnsi="Arial"/>
          <w:sz w:val="18"/>
          <w:szCs w:val="18"/>
          <w:color w:val="auto"/>
        </w:rPr>
      </w:pPr>
    </w:p>
    <w:p>
      <w:pPr>
        <w:ind w:right="260" w:firstLine="8"/>
        <w:spacing w:after="0" w:line="259"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214" w:lineRule="exact"/>
        <w:rPr>
          <w:sz w:val="20"/>
          <w:szCs w:val="20"/>
          <w:color w:val="auto"/>
        </w:rPr>
      </w:pPr>
    </w:p>
    <w:p>
      <w:pPr>
        <w:ind w:right="160" w:firstLine="8"/>
        <w:spacing w:after="0" w:line="257" w:lineRule="auto"/>
        <w:tabs>
          <w:tab w:leader="none" w:pos="112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(x) Employee’s skills, experience, knowledge and reputation are of special, unique and extraordinary value to the Company, (y) Employee is and will continue to be privy to confidential and proprietary information, processes and expertise that will be used by the Company, the confidentiality of which has significant value to the Company and its future success, and (z) certain restrictions on Employee’s activities as set forth below are necessary to protect the value of the goodwill and other tangible and intangible assets of the Company. Based upon the foregoing, Employee agrees as follows:</w:t>
      </w:r>
    </w:p>
    <w:p>
      <w:pPr>
        <w:spacing w:after="0" w:line="215" w:lineRule="exact"/>
        <w:rPr>
          <w:sz w:val="20"/>
          <w:szCs w:val="20"/>
          <w:color w:val="auto"/>
        </w:rPr>
      </w:pPr>
    </w:p>
    <w:p>
      <w:pPr>
        <w:jc w:val="both"/>
        <w:ind w:right="20" w:firstLine="8"/>
        <w:spacing w:after="0" w:line="302" w:lineRule="auto"/>
        <w:tabs>
          <w:tab w:leader="none" w:pos="692"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or (ii) solicit, induce, encourage or attempt to influence any employee, customer, consultant, independent contractor, service provider or supplier of the Company to cease to do business or terminate the employment or other relationship with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ind w:left="-8" w:firstLine="8"/>
        <w:spacing w:after="0" w:line="270" w:lineRule="auto"/>
        <w:tabs>
          <w:tab w:leader="none" w:pos="69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209" w:lineRule="exact"/>
        <w:rPr>
          <w:sz w:val="20"/>
          <w:szCs w:val="20"/>
          <w:color w:val="auto"/>
        </w:rPr>
      </w:pPr>
    </w:p>
    <w:p>
      <w:pPr>
        <w:ind w:left="-8" w:right="60" w:firstLine="8"/>
        <w:spacing w:after="0" w:line="264" w:lineRule="auto"/>
        <w:tabs>
          <w:tab w:leader="none" w:pos="7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APPROPRIATELY TAKE ACCOUNT OF THE HIGHLY COMPETITIVE ENVIRONMENT OF THE COMPANY’S BUSINESSES, THE PARTIES AGREE THAT ANY BUSINESS ENGAGED IN ANY OF THE ACTIVITIES SET FORTH ON SCHEDULE 2 SHALL BE DEEMED TO BE A COMPETITIVE BUSINESS UNDER SUBPARAGRAPH (i) ABOVE.</w:t>
      </w:r>
    </w:p>
    <w:p>
      <w:pPr>
        <w:spacing w:after="0" w:line="208" w:lineRule="exact"/>
        <w:rPr>
          <w:rFonts w:ascii="Arial" w:cs="Arial" w:eastAsia="Arial" w:hAnsi="Arial"/>
          <w:sz w:val="18"/>
          <w:szCs w:val="18"/>
          <w:color w:val="auto"/>
        </w:rPr>
      </w:pPr>
    </w:p>
    <w:p>
      <w:pPr>
        <w:jc w:val="both"/>
        <w:ind w:left="-8" w:right="20" w:firstLine="1953"/>
        <w:spacing w:after="0" w:line="259" w:lineRule="auto"/>
        <w:tabs>
          <w:tab w:leader="none" w:pos="2698"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THIS RESTRICTION SHALL APPLY IN ANY GEOGRAPHIC AREA OF THE UNITED STATES IN WHICH THE COMPANY CARRIES OUT BUSINESS ACTIVITIES. EMPLOYEE AGREES THAT NOT SPECIFYING A MORE LIMITED GEOGRAPHIC AREA IS REASONABLE IN LIGHT OF THE BROAD GEOGRAPHIC SCOPE OF THE ACTIVITIES CARRIED OUT BY THE COMPANY IN THE UNITED STATES.</w:t>
      </w:r>
    </w:p>
    <w:p>
      <w:pPr>
        <w:spacing w:after="0" w:line="213" w:lineRule="exact"/>
        <w:rPr>
          <w:rFonts w:ascii="Arial" w:cs="Arial" w:eastAsia="Arial" w:hAnsi="Arial"/>
          <w:sz w:val="18"/>
          <w:szCs w:val="18"/>
          <w:color w:val="auto"/>
        </w:rPr>
      </w:pPr>
    </w:p>
    <w:p>
      <w:pPr>
        <w:ind w:left="-8" w:right="60" w:firstLine="1953"/>
        <w:spacing w:after="0" w:line="286" w:lineRule="auto"/>
        <w:tabs>
          <w:tab w:leader="none" w:pos="2692"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 or similar services to other businesses.</w:t>
      </w:r>
    </w:p>
    <w:p>
      <w:pPr>
        <w:spacing w:after="0" w:line="193" w:lineRule="exact"/>
        <w:rPr>
          <w:sz w:val="20"/>
          <w:szCs w:val="20"/>
          <w:color w:val="auto"/>
        </w:rPr>
      </w:pPr>
    </w:p>
    <w:p>
      <w:pPr>
        <w:ind w:left="-8" w:right="500" w:firstLine="8"/>
        <w:spacing w:after="0" w:line="342" w:lineRule="auto"/>
        <w:tabs>
          <w:tab w:leader="none" w:pos="697"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51" w:lineRule="exact"/>
        <w:rPr>
          <w:sz w:val="20"/>
          <w:szCs w:val="20"/>
          <w:color w:val="auto"/>
        </w:rPr>
      </w:pPr>
    </w:p>
    <w:p>
      <w:pPr>
        <w:ind w:left="-8" w:right="40" w:firstLine="8"/>
        <w:spacing w:after="0" w:line="286" w:lineRule="auto"/>
        <w:tabs>
          <w:tab w:leader="none" w:pos="6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 ABOVE SHALL APPLY</w:t>
      </w:r>
    </w:p>
    <w:p>
      <w:pPr>
        <w:spacing w:after="0" w:line="200" w:lineRule="exact"/>
        <w:rPr>
          <w:sz w:val="20"/>
          <w:szCs w:val="20"/>
          <w:color w:val="auto"/>
        </w:rPr>
      </w:pPr>
    </w:p>
    <w:p>
      <w:pPr>
        <w:spacing w:after="0" w:line="23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611" w:right="279" w:bottom="1440" w:gutter="0" w:footer="0" w:header="0"/>
        </w:sectPr>
      </w:pPr>
    </w:p>
    <w:bookmarkStart w:id="45" w:name="page46"/>
    <w:bookmarkEnd w:id="45"/>
    <w:p>
      <w:pPr>
        <w:jc w:val="both"/>
        <w:ind w:right="160"/>
        <w:spacing w:after="0" w:line="264" w:lineRule="auto"/>
        <w:rPr>
          <w:sz w:val="20"/>
          <w:szCs w:val="20"/>
          <w:color w:val="auto"/>
        </w:rPr>
      </w:pPr>
      <w:r>
        <w:rPr>
          <w:rFonts w:ascii="Arial" w:cs="Arial" w:eastAsia="Arial" w:hAnsi="Arial"/>
          <w:sz w:val="18"/>
          <w:szCs w:val="18"/>
          <w:color w:val="auto"/>
        </w:rPr>
        <w:t>TO EMPLOYEE FOR A ONE-YEAR PERIOD FOLLOWING SUCH TERMINATION; AND (ii) THE COMPANY SHALL PROVIDE TO EMPLOYEE, FOR A ONE-YEAR PERIOD FOLLOWING SUCH TERMINATION, THE PAYMENTS AND BENEFITS DESCRIBED IN SUBPARAGRAPHS 7(c)(i) AND 7(c)(iv) ON THE TERMS SET FORTH THEREIN, AS IF THERE HAD BEEN NO TERMINATION.</w:t>
      </w:r>
    </w:p>
    <w:p>
      <w:pPr>
        <w:spacing w:after="0" w:line="208" w:lineRule="exact"/>
        <w:rPr>
          <w:sz w:val="20"/>
          <w:szCs w:val="20"/>
          <w:color w:val="auto"/>
        </w:rPr>
      </w:pPr>
    </w:p>
    <w:p>
      <w:pPr>
        <w:ind w:right="100" w:firstLine="8"/>
        <w:spacing w:after="0" w:line="283"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affiliates,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(ii)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w:t>
      </w:r>
    </w:p>
    <w:p>
      <w:pPr>
        <w:spacing w:after="0" w:line="5"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or its affiliates,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Agreement.</w:t>
      </w:r>
    </w:p>
    <w:p>
      <w:pPr>
        <w:spacing w:after="0" w:line="213" w:lineRule="exact"/>
        <w:rPr>
          <w:rFonts w:ascii="Arial" w:cs="Arial" w:eastAsia="Arial" w:hAnsi="Arial"/>
          <w:sz w:val="16"/>
          <w:szCs w:val="16"/>
          <w:color w:val="auto"/>
        </w:rPr>
      </w:pPr>
    </w:p>
    <w:p>
      <w:pPr>
        <w:ind w:right="20" w:firstLine="8"/>
        <w:spacing w:after="0" w:line="264"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spacing w:after="0" w:line="272" w:lineRule="auto"/>
        <w:rPr>
          <w:sz w:val="20"/>
          <w:szCs w:val="20"/>
          <w:color w:val="auto"/>
        </w:rPr>
      </w:pPr>
      <w:r>
        <w:rPr>
          <w:rFonts w:ascii="Arial" w:cs="Arial" w:eastAsia="Arial" w:hAnsi="Arial"/>
          <w:sz w:val="17"/>
          <w:szCs w:val="17"/>
          <w:color w:val="auto"/>
        </w:rPr>
        <w:t>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benefit plans and programs hereunder or thereunder (including in each case any arising following termination of employment); and (ii)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05" w:lineRule="exact"/>
        <w:rPr>
          <w:sz w:val="20"/>
          <w:szCs w:val="20"/>
          <w:color w:val="auto"/>
        </w:rPr>
      </w:pPr>
    </w:p>
    <w:p>
      <w:pPr>
        <w:ind w:right="120" w:firstLine="8"/>
        <w:spacing w:after="0" w:line="257" w:lineRule="auto"/>
        <w:tabs>
          <w:tab w:leader="none" w:pos="6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15" w:lineRule="exact"/>
        <w:rPr>
          <w:rFonts w:ascii="Arial" w:cs="Arial" w:eastAsia="Arial" w:hAnsi="Arial"/>
          <w:sz w:val="18"/>
          <w:szCs w:val="18"/>
          <w:color w:val="auto"/>
        </w:rPr>
      </w:pPr>
    </w:p>
    <w:p>
      <w:pPr>
        <w:ind w:right="460" w:firstLine="8"/>
        <w:spacing w:after="0" w:line="277"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97"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208" w:lineRule="exact"/>
        <w:rPr>
          <w:sz w:val="20"/>
          <w:szCs w:val="20"/>
          <w:color w:val="auto"/>
        </w:rPr>
      </w:pPr>
    </w:p>
    <w:p>
      <w:pPr>
        <w:ind w:right="120" w:firstLine="8"/>
        <w:spacing w:after="0" w:line="255" w:lineRule="auto"/>
        <w:tabs>
          <w:tab w:leader="none" w:pos="63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Non-Derogatory Statements</w:t>
      </w:r>
      <w:r>
        <w:rPr>
          <w:rFonts w:ascii="Arial" w:cs="Arial" w:eastAsia="Arial" w:hAnsi="Arial"/>
          <w:sz w:val="18"/>
          <w:szCs w:val="18"/>
          <w:color w:val="auto"/>
        </w:rPr>
        <w:t>. While employed by the Company (whether during the Term of thereafter), and for a period of five (5) years thereafter, Employee shall not, in any communication with any person or entity, including any actual or potential employer, customer, consultant, independent contractor, investor, lender, service provider or supplier of the Company, or any third party media outlet, make any significant derogatory or disparaging statements – orally, written or otherwise – against the Company or any of its directors, officers, agents, employees, contractors or affiliates (or any of their respective directors, officers, agents, employees, contractors or affiliates). The foregoing shall not be deemed to restrict Employee’s obligations to testify truthfully in any proceeding or cooperate in any governmental investigation.</w:t>
      </w:r>
    </w:p>
    <w:p>
      <w:pPr>
        <w:spacing w:after="0" w:line="220" w:lineRule="exact"/>
        <w:rPr>
          <w:rFonts w:ascii="Arial" w:cs="Arial" w:eastAsia="Arial" w:hAnsi="Arial"/>
          <w:sz w:val="18"/>
          <w:szCs w:val="18"/>
          <w:color w:val="auto"/>
        </w:rPr>
      </w:pPr>
    </w:p>
    <w:p>
      <w:pPr>
        <w:ind w:right="20" w:firstLine="8"/>
        <w:spacing w:after="0" w:line="264"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Employee agrees that the Company owns, and is entitled to receive all of the results and proceeds of, items produced or created by Employee (including, without limitation, inventions, patents, copyrights, trademarks, literary material and any other intellectual property), alone or in collaboration with others, that: (i) relate to the Company’s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6"/>
          <w:szCs w:val="16"/>
          <w:color w:val="auto"/>
        </w:rPr>
        <w:t>businesses, if produced or created during the period of Employee’s employment by the Company (whether during the Term or thereafter and whether during or outside working hours); or (ii) are produced or created during working hours or using the Company’s information, assets, technology or facilities (referred to collectively as the “Work”). Employee shall disclose and furnish to the Company, promptly following the Company’s request or immediately upon Employee’s termination of employment, any and all Work. Employee expressly acknowledges and agrees that the Work is specially ordered by the Company and shall be “works made-for-hire” under the United States copyright laws. In the event that a court of competent jurisdiction determines that any part of the Work is not made-for-hire, then Employee hereby irrevocably transfers and shall be deemed to have assigned all rights, title and interests in and to the Work to the Company, on an exclusive basis, including any and all copyrights, trademarks, trade secrets, patents or other proprietary rights, under the laws of the United States or of any other jurisdiction or country, in perpetuity. Employee shall, at the request of the Company, execute such documents as the Company may from time to time reasonably deem necessary or desirable to evidence, establish, maintain, protect, enforce and defend its title in and right to any such Work. In the event Employee fails or is unable to execute any such documents, Employee hereby appoints the Company as Employee’s attorney-in-fact with the full right, power and authority to execute and deliver the same, with full power of substitution and delegation, which appointment shall be deemed a power coupled with an interest and shall be irrevocable under any and all circumstances.</w:t>
      </w:r>
    </w:p>
    <w:p>
      <w:pPr>
        <w:spacing w:after="0" w:line="196" w:lineRule="exact"/>
        <w:rPr>
          <w:sz w:val="20"/>
          <w:szCs w:val="20"/>
          <w:color w:val="auto"/>
        </w:rPr>
      </w:pPr>
    </w:p>
    <w:p>
      <w:pPr>
        <w:ind w:left="1360" w:hanging="704"/>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252" w:lineRule="exact"/>
        <w:rPr>
          <w:rFonts w:ascii="Arial" w:cs="Arial" w:eastAsia="Arial" w:hAnsi="Arial"/>
          <w:sz w:val="18"/>
          <w:szCs w:val="18"/>
          <w:color w:val="auto"/>
        </w:rPr>
      </w:pPr>
    </w:p>
    <w:p>
      <w:pPr>
        <w:ind w:right="620" w:firstLine="8"/>
        <w:spacing w:after="0" w:line="277" w:lineRule="auto"/>
        <w:tabs>
          <w:tab w:leader="none" w:pos="6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52" w:lineRule="exact"/>
        <w:rPr>
          <w:rFonts w:ascii="Arial" w:cs="Arial" w:eastAsia="Arial" w:hAnsi="Arial"/>
          <w:sz w:val="18"/>
          <w:szCs w:val="18"/>
          <w:color w:val="auto"/>
        </w:rPr>
      </w:pPr>
    </w:p>
    <w:p>
      <w:pPr>
        <w:ind w:right="220" w:firstLine="8"/>
        <w:spacing w:after="0" w:line="308" w:lineRule="auto"/>
        <w:tabs>
          <w:tab w:leader="none" w:pos="762"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This Agreement, and the performance of Employee’s obligations hereunder, do not conflict with, violate or give rise to any rights of third parties under, any agreement, benefit plan or program, order, decree or judgment to which Employee is a party or by which Employee is bound.</w:t>
      </w:r>
    </w:p>
    <w:p>
      <w:pPr>
        <w:spacing w:after="0" w:line="174" w:lineRule="exact"/>
        <w:rPr>
          <w:sz w:val="20"/>
          <w:szCs w:val="20"/>
          <w:color w:val="auto"/>
        </w:rPr>
      </w:pPr>
    </w:p>
    <w:p>
      <w:pPr>
        <w:ind w:left="700" w:hanging="692"/>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52" w:lineRule="exact"/>
        <w:rPr>
          <w:sz w:val="20"/>
          <w:szCs w:val="20"/>
          <w:color w:val="auto"/>
        </w:rPr>
      </w:pPr>
    </w:p>
    <w:p>
      <w:pPr>
        <w:ind w:left="680" w:hanging="672"/>
        <w:spacing w:after="0"/>
        <w:tabs>
          <w:tab w:leader="none" w:pos="6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the Company in accordance with its terms.</w:t>
      </w:r>
    </w:p>
    <w:p>
      <w:pPr>
        <w:spacing w:after="0" w:line="252" w:lineRule="exact"/>
        <w:rPr>
          <w:rFonts w:ascii="Arial" w:cs="Arial" w:eastAsia="Arial" w:hAnsi="Arial"/>
          <w:sz w:val="18"/>
          <w:szCs w:val="18"/>
          <w:color w:val="auto"/>
        </w:rPr>
      </w:pPr>
    </w:p>
    <w:p>
      <w:pPr>
        <w:ind w:right="60" w:firstLine="8"/>
        <w:spacing w:after="0" w:line="277" w:lineRule="auto"/>
        <w:tabs>
          <w:tab w:leader="none" w:pos="71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and the performance of the Company’s obligations hereunder, do not conflict with, violate or give rise to any rights to third parties under, any agreement, order, decree or judgment to which the Company is a party or by which it is bound.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8" w:name="page49"/>
    <w:bookmarkEnd w:id="48"/>
    <w:p>
      <w:pPr>
        <w:ind w:left="712" w:hanging="712"/>
        <w:spacing w:after="0"/>
        <w:tabs>
          <w:tab w:leader="none" w:pos="71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compensation under this Agreement is subject to applicable tax withholding requirements and other deductions required by law.</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sz w:val="20"/>
          <w:szCs w:val="20"/>
          <w:color w:val="auto"/>
        </w:rPr>
      </w:pPr>
    </w:p>
    <w:p>
      <w:pPr>
        <w:ind w:left="-8" w:right="100" w:firstLine="8"/>
        <w:spacing w:after="0" w:line="291" w:lineRule="auto"/>
        <w:tabs>
          <w:tab w:leader="none" w:pos="687"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w:t>
      </w:r>
    </w:p>
    <w:p>
      <w:pPr>
        <w:ind w:left="-8" w:firstLine="8"/>
        <w:spacing w:after="0" w:line="295" w:lineRule="auto"/>
        <w:tabs>
          <w:tab w:leader="none" w:pos="20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88" w:lineRule="exact"/>
        <w:rPr>
          <w:rFonts w:ascii="Arial" w:cs="Arial" w:eastAsia="Arial" w:hAnsi="Arial"/>
          <w:sz w:val="16"/>
          <w:szCs w:val="16"/>
          <w:color w:val="auto"/>
        </w:rPr>
      </w:pPr>
    </w:p>
    <w:p>
      <w:pPr>
        <w:ind w:left="-8" w:right="520" w:firstLine="8"/>
        <w:spacing w:after="0" w:line="277" w:lineRule="auto"/>
        <w:tabs>
          <w:tab w:leader="none" w:pos="6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197" w:lineRule="exact"/>
        <w:rPr>
          <w:rFonts w:ascii="Arial" w:cs="Arial" w:eastAsia="Arial" w:hAnsi="Arial"/>
          <w:sz w:val="18"/>
          <w:szCs w:val="18"/>
          <w:color w:val="auto"/>
        </w:rPr>
      </w:pPr>
    </w:p>
    <w:p>
      <w:pPr>
        <w:ind w:left="-8" w:firstLine="8"/>
        <w:spacing w:after="0" w:line="269" w:lineRule="auto"/>
        <w:tabs>
          <w:tab w:leader="none" w:pos="687"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 (i) Employee’s annualized compensation for the year prior to his “separation from service” and (ii) the maximum amount that may be taken into account under a qualified plan pursuant to section 401(a)(17) of the Code, being paid to Employee in the first six months following his “separation from service.”</w:t>
      </w:r>
    </w:p>
    <w:p>
      <w:pPr>
        <w:spacing w:after="0" w:line="206" w:lineRule="exact"/>
        <w:rPr>
          <w:rFonts w:ascii="Arial" w:cs="Arial" w:eastAsia="Arial" w:hAnsi="Arial"/>
          <w:sz w:val="17"/>
          <w:szCs w:val="17"/>
          <w:color w:val="auto"/>
        </w:rPr>
      </w:pPr>
    </w:p>
    <w:p>
      <w:pPr>
        <w:ind w:left="-8" w:right="380" w:firstLine="8"/>
        <w:spacing w:after="0" w:line="259" w:lineRule="auto"/>
        <w:tabs>
          <w:tab w:leader="none" w:pos="6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Anything to the contrary herein notwithstanding, all benefits or payments provided by the Company to Employee that would be deemed to constitute “nonqualified deferred compensation” within the meaning of Section 401A of the Code are intended to comply with Section 409A of the Code. Notwithstanding anything in this Agreement to the contrary, distributions may only be made under this Agreement upon an event and in a manner permitted by</w:t>
      </w: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Section 409A of the Code or an applicable exemption.</w:t>
      </w:r>
    </w:p>
    <w:p>
      <w:pPr>
        <w:spacing w:after="0" w:line="252" w:lineRule="exact"/>
        <w:rPr>
          <w:sz w:val="20"/>
          <w:szCs w:val="20"/>
          <w:color w:val="auto"/>
        </w:rPr>
      </w:pPr>
    </w:p>
    <w:p>
      <w:pPr>
        <w:ind w:left="1380" w:hanging="724"/>
        <w:spacing w:after="0"/>
        <w:tabs>
          <w:tab w:leader="none" w:pos="13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52" w:lineRule="exact"/>
        <w:rPr>
          <w:sz w:val="20"/>
          <w:szCs w:val="20"/>
          <w:color w:val="auto"/>
        </w:rPr>
      </w:pPr>
    </w:p>
    <w:p>
      <w:pPr>
        <w:ind w:firstLine="656"/>
        <w:spacing w:after="0" w:line="286" w:lineRule="auto"/>
        <w:tabs>
          <w:tab w:leader="none" w:pos="1343" w:val="left"/>
        </w:tabs>
        <w:numPr>
          <w:ilvl w:val="1"/>
          <w:numId w:val="99"/>
        </w:numPr>
        <w:rPr>
          <w:rFonts w:ascii="Arial" w:cs="Arial" w:eastAsia="Arial" w:hAnsi="Arial"/>
          <w:sz w:val="17"/>
          <w:szCs w:val="17"/>
          <w:color w:val="auto"/>
        </w:rPr>
      </w:pPr>
      <w:r>
        <w:rPr>
          <w:rFonts w:ascii="Arial" w:cs="Arial" w:eastAsia="Arial" w:hAnsi="Arial"/>
          <w:sz w:val="17"/>
          <w:szCs w:val="17"/>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92" w:lineRule="exact"/>
        <w:rPr>
          <w:rFonts w:ascii="Arial" w:cs="Arial" w:eastAsia="Arial" w:hAnsi="Arial"/>
          <w:sz w:val="17"/>
          <w:szCs w:val="17"/>
          <w:color w:val="auto"/>
        </w:rPr>
      </w:pPr>
    </w:p>
    <w:p>
      <w:pPr>
        <w:ind w:firstLine="656"/>
        <w:spacing w:after="0" w:line="279" w:lineRule="auto"/>
        <w:tabs>
          <w:tab w:leader="none" w:pos="1353" w:val="left"/>
        </w:tabs>
        <w:numPr>
          <w:ilvl w:val="1"/>
          <w:numId w:val="99"/>
        </w:numPr>
        <w:rPr>
          <w:rFonts w:ascii="Arial" w:cs="Arial" w:eastAsia="Arial" w:hAnsi="Arial"/>
          <w:sz w:val="17"/>
          <w:szCs w:val="17"/>
          <w:color w:val="auto"/>
        </w:rPr>
      </w:pPr>
      <w:r>
        <w:rPr>
          <w:rFonts w:ascii="Arial" w:cs="Arial" w:eastAsia="Arial" w:hAnsi="Arial"/>
          <w:sz w:val="17"/>
          <w:szCs w:val="17"/>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94" w:lineRule="exact"/>
        <w:rPr>
          <w:rFonts w:ascii="Arial" w:cs="Arial" w:eastAsia="Arial" w:hAnsi="Arial"/>
          <w:sz w:val="17"/>
          <w:szCs w:val="17"/>
          <w:color w:val="auto"/>
        </w:rPr>
      </w:pPr>
    </w:p>
    <w:p>
      <w:pPr>
        <w:ind w:right="60" w:firstLine="8"/>
        <w:spacing w:after="0" w:line="256"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214" w:lineRule="exact"/>
        <w:rPr>
          <w:rFonts w:ascii="Arial" w:cs="Arial" w:eastAsia="Arial" w:hAnsi="Arial"/>
          <w:sz w:val="18"/>
          <w:szCs w:val="18"/>
          <w:color w:val="auto"/>
        </w:rPr>
      </w:pPr>
    </w:p>
    <w:p>
      <w:pPr>
        <w:ind w:firstLine="8"/>
        <w:spacing w:after="0" w:line="256"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(a) PUNITIVE, EXEMPLARY, COMPENSATORY (OTHER THAN BASED ON ACTUAL ECONOMIC LOSS), EMOTIONAL DISTRESS, OR SPECIAL DAMAGES OR (b) ATTORNEYS’ FEES.</w:t>
      </w:r>
    </w:p>
    <w:p>
      <w:pPr>
        <w:spacing w:after="0" w:line="218" w:lineRule="exact"/>
        <w:rPr>
          <w:rFonts w:ascii="Arial" w:cs="Arial" w:eastAsia="Arial" w:hAnsi="Arial"/>
          <w:sz w:val="18"/>
          <w:szCs w:val="18"/>
          <w:color w:val="auto"/>
        </w:rPr>
      </w:pPr>
    </w:p>
    <w:p>
      <w:pPr>
        <w:ind w:right="80" w:firstLine="8"/>
        <w:spacing w:after="0" w:line="279" w:lineRule="auto"/>
        <w:tabs>
          <w:tab w:leader="none" w:pos="720"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0" w:name="page51"/>
    <w:bookmarkEnd w:id="50"/>
    <w:p>
      <w:pPr>
        <w:spacing w:after="0" w:line="279" w:lineRule="auto"/>
        <w:rPr>
          <w:sz w:val="20"/>
          <w:szCs w:val="20"/>
          <w:color w:val="auto"/>
        </w:rPr>
      </w:pPr>
      <w:r>
        <w:rPr>
          <w:rFonts w:ascii="Arial" w:cs="Arial" w:eastAsia="Arial" w:hAnsi="Arial"/>
          <w:sz w:val="17"/>
          <w:szCs w:val="17"/>
          <w:color w:val="auto"/>
        </w:rPr>
        <w:t>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98" w:lineRule="exact"/>
        <w:rPr>
          <w:sz w:val="20"/>
          <w:szCs w:val="20"/>
          <w:color w:val="auto"/>
        </w:rPr>
      </w:pPr>
    </w:p>
    <w:p>
      <w:pPr>
        <w:ind w:right="100" w:firstLine="8"/>
        <w:spacing w:after="0" w:line="27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97" w:lineRule="exact"/>
        <w:rPr>
          <w:rFonts w:ascii="Arial" w:cs="Arial" w:eastAsia="Arial" w:hAnsi="Arial"/>
          <w:sz w:val="18"/>
          <w:szCs w:val="18"/>
          <w:color w:val="auto"/>
        </w:rPr>
      </w:pPr>
    </w:p>
    <w:p>
      <w:pPr>
        <w:ind w:right="100" w:firstLine="656"/>
        <w:spacing w:after="0" w:line="264" w:lineRule="auto"/>
        <w:tabs>
          <w:tab w:leader="none" w:pos="1368"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 286-7794; 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Employee’s address and fax number (if any) as indicated in the Company’s records.</w:t>
      </w:r>
    </w:p>
    <w:p>
      <w:pPr>
        <w:spacing w:after="0" w:line="252" w:lineRule="exact"/>
        <w:rPr>
          <w:sz w:val="20"/>
          <w:szCs w:val="20"/>
          <w:color w:val="auto"/>
        </w:rPr>
      </w:pPr>
    </w:p>
    <w:p>
      <w:pPr>
        <w:ind w:right="180" w:firstLine="8"/>
        <w:spacing w:after="0" w:line="257"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and supersedes and replaces in its entirety the Employment Agreement dated as of January 1, 2006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215" w:lineRule="exact"/>
        <w:rPr>
          <w:rFonts w:ascii="Arial" w:cs="Arial" w:eastAsia="Arial" w:hAnsi="Arial"/>
          <w:sz w:val="18"/>
          <w:szCs w:val="18"/>
          <w:color w:val="auto"/>
        </w:rPr>
      </w:pPr>
    </w:p>
    <w:p>
      <w:pPr>
        <w:ind w:right="80" w:firstLine="8"/>
        <w:spacing w:after="0" w:line="264"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Invalidity or Unenforceability</w:t>
      </w:r>
      <w:r>
        <w:rPr>
          <w:rFonts w:ascii="Arial" w:cs="Arial" w:eastAsia="Arial" w:hAnsi="Arial"/>
          <w:sz w:val="18"/>
          <w:szCs w:val="18"/>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08" w:lineRule="exact"/>
        <w:rPr>
          <w:rFonts w:ascii="Arial" w:cs="Arial" w:eastAsia="Arial" w:hAnsi="Arial"/>
          <w:sz w:val="18"/>
          <w:szCs w:val="18"/>
          <w:color w:val="auto"/>
        </w:rPr>
      </w:pPr>
    </w:p>
    <w:p>
      <w:pPr>
        <w:ind w:right="400" w:firstLine="8"/>
        <w:spacing w:after="0" w:line="277"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1" w:name="page52"/>
    <w:bookmarkEnd w:id="51"/>
    <w:p>
      <w:pPr>
        <w:spacing w:after="0" w:line="264" w:lineRule="auto"/>
        <w:rPr>
          <w:sz w:val="20"/>
          <w:szCs w:val="20"/>
          <w:color w:val="auto"/>
        </w:rPr>
      </w:pPr>
      <w:r>
        <w:rPr>
          <w:rFonts w:ascii="Arial" w:cs="Arial" w:eastAsia="Arial" w:hAnsi="Arial"/>
          <w:sz w:val="18"/>
          <w:szCs w:val="18"/>
          <w:color w:val="auto"/>
        </w:rPr>
        <w:t>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208" w:lineRule="exact"/>
        <w:rPr>
          <w:sz w:val="20"/>
          <w:szCs w:val="20"/>
          <w:color w:val="auto"/>
        </w:rPr>
      </w:pPr>
    </w:p>
    <w:p>
      <w:pPr>
        <w:ind w:right="300" w:firstLine="8"/>
        <w:spacing w:after="0" w:line="264"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15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15862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9551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R. Block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611" w:right="4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u w:val="single" w:color="auto"/>
          <w:color w:val="auto"/>
        </w:rPr>
        <w:t>SCHEDULE 1 TO EMPLOYMENT AGREEMENT WITH ARTHUR R. BLOCK</w:t>
      </w:r>
    </w:p>
    <w:p>
      <w:pPr>
        <w:spacing w:after="0" w:line="200" w:lineRule="exact"/>
        <w:rPr>
          <w:sz w:val="20"/>
          <w:szCs w:val="20"/>
          <w:color w:val="auto"/>
        </w:rPr>
      </w:pPr>
    </w:p>
    <w:p>
      <w:pPr>
        <w:spacing w:after="0" w:line="295"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Position: Senior Vice President, General Counsel and Secretary.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 Salary: $900,000.</w:t>
      </w:r>
    </w:p>
    <w:p>
      <w:pPr>
        <w:spacing w:after="0" w:line="225" w:lineRule="exact"/>
        <w:rPr>
          <w:rFonts w:ascii="Arial" w:cs="Arial" w:eastAsia="Arial" w:hAnsi="Arial"/>
          <w:sz w:val="18"/>
          <w:szCs w:val="18"/>
          <w:color w:val="auto"/>
        </w:rPr>
      </w:pPr>
    </w:p>
    <w:p>
      <w:pPr>
        <w:ind w:left="500" w:right="200" w:hanging="492"/>
        <w:spacing w:after="0" w:line="286" w:lineRule="auto"/>
        <w:tabs>
          <w:tab w:leader="none" w:pos="5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Stock Option Amount and Vesting Schedule: shares under an option having a Black-Scholes value of approximately $692,163; vesting: 30% on the second anniversary of the date of grant, 15% on each of the third to fifth anniversaries of the date of grant, 5% on each of the sixth to the ninth anniversaries of the date of grant, and 5% on the nine year and six month anniversary of the date of grant.</w:t>
      </w:r>
    </w:p>
    <w:p>
      <w:pPr>
        <w:spacing w:after="0" w:line="97"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Stock Amount and Vesting Schedule: units for shares having a market value of approximately $1,692,163; vesting: 15% on each of January 18, 2011, January 18, 2012, January 18, 2013 and January 18, 2014, and 40% on January 18, 2015.</w:t>
      </w:r>
    </w:p>
    <w:p>
      <w:pPr>
        <w:spacing w:after="0" w:line="170"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 Salary and Health and Welfare Benefits Continuation Period following Termination Without Cause or Termination With Good Reason: Twenty-four (24) months.</w:t>
      </w:r>
    </w:p>
    <w:p>
      <w:pPr>
        <w:spacing w:after="0" w:line="102" w:lineRule="exact"/>
        <w:rPr>
          <w:rFonts w:ascii="Arial" w:cs="Arial" w:eastAsia="Arial" w:hAnsi="Arial"/>
          <w:sz w:val="18"/>
          <w:szCs w:val="18"/>
          <w:color w:val="auto"/>
        </w:rPr>
      </w:pPr>
    </w:p>
    <w:p>
      <w:pPr>
        <w:ind w:left="500" w:hanging="492"/>
        <w:spacing w:after="0"/>
        <w:tabs>
          <w:tab w:leader="none" w:pos="5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Restricted Stock and Stock Option Plan Grants Continued Vesting Period following Termination Without Cause or Termination With Good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Reason: Twelve (12) months. Stock Option Plan Grants Continued Exercisability Period following Termination Without Cause or Termination With</w:t>
      </w:r>
    </w:p>
    <w:p>
      <w:pPr>
        <w:spacing w:after="0" w:line="32"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Good Reason: the lesser of fifteen (15) months or the end of the stock option’s term.</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jc w:val="center"/>
        <w:ind w:right="252"/>
        <w:spacing w:after="0"/>
        <w:rPr>
          <w:sz w:val="20"/>
          <w:szCs w:val="20"/>
          <w:color w:val="auto"/>
        </w:rPr>
      </w:pPr>
      <w:r>
        <w:rPr>
          <w:rFonts w:ascii="Arial" w:cs="Arial" w:eastAsia="Arial" w:hAnsi="Arial"/>
          <w:sz w:val="18"/>
          <w:szCs w:val="18"/>
          <w:u w:val="single" w:color="auto"/>
          <w:color w:val="auto"/>
        </w:rPr>
        <w:t>SCHEDULE 2</w:t>
      </w:r>
    </w:p>
    <w:p>
      <w:pPr>
        <w:spacing w:after="0" w:line="252" w:lineRule="exact"/>
        <w:rPr>
          <w:sz w:val="20"/>
          <w:szCs w:val="20"/>
          <w:color w:val="auto"/>
        </w:rPr>
      </w:pPr>
    </w:p>
    <w:p>
      <w:pPr>
        <w:jc w:val="center"/>
        <w:ind w:right="312"/>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52" w:lineRule="exact"/>
        <w:rPr>
          <w:sz w:val="20"/>
          <w:szCs w:val="20"/>
          <w:color w:val="auto"/>
        </w:rPr>
      </w:pPr>
    </w:p>
    <w:p>
      <w:pPr>
        <w:ind w:left="648" w:right="140" w:hanging="648"/>
        <w:spacing w:after="0" w:line="289"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or other), and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Bright House Networks; Cablevision Systems Corp.; Charter Communications, Inc.; Cox Communications, Inc.; DirecTV, Inc.; DISH Network Corporation; EchoStar Holding Corporation; Everest; Facebook, Inc.; Flixster, Inc; Google, Inc. (including YouTube); Joost Operations S.A.; Knology Holdings, Inc.; Microsoft Corporation (including Xbox); N-F NewSite, LLC d/b/a hulu.com; Qwest Communications International, Inc.; RCN Corporation; Roku, Inc.; Time Warner Cable, Inc.; TiVo Inc.; Verizon Communications, Inc.; VUDU, Inc.; and Wide Open West.</w:t>
      </w:r>
    </w:p>
    <w:p>
      <w:pPr>
        <w:spacing w:after="0" w:line="193" w:lineRule="exact"/>
        <w:rPr>
          <w:rFonts w:ascii="Arial" w:cs="Arial" w:eastAsia="Arial" w:hAnsi="Arial"/>
          <w:sz w:val="16"/>
          <w:szCs w:val="16"/>
          <w:color w:val="auto"/>
        </w:rPr>
      </w:pPr>
    </w:p>
    <w:p>
      <w:pPr>
        <w:ind w:left="648" w:hanging="648"/>
        <w:spacing w:after="0" w:line="270" w:lineRule="auto"/>
        <w:tabs>
          <w:tab w:leader="none" w:pos="6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AT&amp;T Inc.; Bright House Networks; Cablevision Systems Corp.; Charter Communications Inc.; Clearwire Corporation; Cox Communications, Inc.; DirecTV, Inc.; DISH Network Corporation; EchoStar Holding Corporation; Google, Inc.; Knology Holdings, Inc.; Microsoft Corporation (including MSN); Qwest Communications International, Inc.; RCN Corporation; Sprint Nextel Corporation; Time Warner Cable, Inc.; Time Warner Inc. (including AOL); Verizon Communications, Inc.; and Yahoo, Inc.</w:t>
      </w:r>
    </w:p>
    <w:p>
      <w:pPr>
        <w:spacing w:after="0" w:line="208" w:lineRule="exact"/>
        <w:rPr>
          <w:rFonts w:ascii="Arial" w:cs="Arial" w:eastAsia="Arial" w:hAnsi="Arial"/>
          <w:sz w:val="17"/>
          <w:szCs w:val="17"/>
          <w:color w:val="auto"/>
        </w:rPr>
      </w:pPr>
    </w:p>
    <w:p>
      <w:pPr>
        <w:ind w:left="648" w:right="20" w:hanging="648"/>
        <w:spacing w:after="0" w:line="255"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provision of voice and/or data service to consumer or commercial customers or users, whether by analog or digital technology, by any distribution method (including coaxial cable, fiber optic cable, digital subscriber line, power line, satellite, wireless and Internet) or protocol (IP or other). Employee agrees that the following companies (or their parents, subsidiaries or controlled affiliates), and their successors and assigns, are among those engaged in competitive voice and/or data service as of the date hereof: AT&amp;T Inc.; Bright House Networks; Cablevision Systems Corp.; Charter Communications, Inc.; Clearwire Corporation; Cox Communications, Inc.; DirecTV, Inc.; DISH Network Corporation; EchoStar Holding Corporation; Embarq Corporation;</w:t>
      </w:r>
    </w:p>
    <w:p>
      <w:pPr>
        <w:spacing w:after="0" w:line="200" w:lineRule="exact"/>
        <w:rPr>
          <w:sz w:val="20"/>
          <w:szCs w:val="20"/>
          <w:color w:val="auto"/>
        </w:rPr>
      </w:pPr>
    </w:p>
    <w:p>
      <w:pPr>
        <w:spacing w:after="0" w:line="26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54" w:name="page55"/>
    <w:bookmarkEnd w:id="54"/>
    <w:p>
      <w:pPr>
        <w:ind w:left="648"/>
        <w:spacing w:after="0" w:line="277" w:lineRule="auto"/>
        <w:rPr>
          <w:sz w:val="20"/>
          <w:szCs w:val="20"/>
          <w:color w:val="auto"/>
        </w:rPr>
      </w:pPr>
      <w:r>
        <w:rPr>
          <w:rFonts w:ascii="Arial" w:cs="Arial" w:eastAsia="Arial" w:hAnsi="Arial"/>
          <w:sz w:val="18"/>
          <w:szCs w:val="18"/>
          <w:color w:val="auto"/>
        </w:rPr>
        <w:t>Google, Inc.; Knology Holdings, Inc.; Qwest Communications International, Inc.; RCN Corporation; Sprint Nextel Corporation; Skype Limited; Time Warner Cable, Inc.; Vonage Holdings Corp.; Verizon Communications, Inc.; and Wide Open West.</w:t>
      </w:r>
    </w:p>
    <w:p>
      <w:pPr>
        <w:spacing w:after="0" w:line="197" w:lineRule="exact"/>
        <w:rPr>
          <w:sz w:val="20"/>
          <w:szCs w:val="20"/>
          <w:color w:val="auto"/>
        </w:rPr>
      </w:pPr>
    </w:p>
    <w:p>
      <w:pPr>
        <w:ind w:left="648" w:hanging="648"/>
        <w:spacing w:after="0" w:line="273" w:lineRule="auto"/>
        <w:tabs>
          <w:tab w:leader="none" w:pos="64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provision of wireless communications services to consumer or commercial customers or users, whether by analog or digital technology, to any type of end-user 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AT&amp;T Inc.; Boingo Wireless, Inc.; Bright House Networks; Clearwire Corporation; Leap Wireless International, Inc.; MediaFLO USA, Inc.; MetroPCS Communications, Inc.; Sprint Nextel Corporation; T-Mobile USA, Inc.; and Verizon Communications, Inc.</w:t>
      </w:r>
    </w:p>
    <w:p>
      <w:pPr>
        <w:spacing w:after="0" w:line="205" w:lineRule="exact"/>
        <w:rPr>
          <w:rFonts w:ascii="Arial" w:cs="Arial" w:eastAsia="Arial" w:hAnsi="Arial"/>
          <w:sz w:val="17"/>
          <w:szCs w:val="17"/>
          <w:color w:val="auto"/>
        </w:rPr>
      </w:pPr>
    </w:p>
    <w:p>
      <w:pPr>
        <w:ind w:left="648" w:right="20" w:hanging="648"/>
        <w:spacing w:after="0" w:line="270" w:lineRule="auto"/>
        <w:tabs>
          <w:tab w:leader="none" w:pos="64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CBS Corporation; Cox Communications, Inc.; Discovery Communications, Inc.; Epix Joint Venture; EW Scripps Co.; General Electric Co. (including NBC-Universal); Google, Inc. (including YouTube); IAC/InterActive Corp; Liberty Media Corp.; Metro-Goldwyn-Mayer Inc.; News Corp. (including Fox and MySpace); Sony Corporation of America; The Walt Disney Company, Inc. (including ABC); Time Warner Inc. (including AOL, Turner and Warner Bros.); and Viacom Inc. (including Dreamworks and Paramount).</w:t>
      </w:r>
    </w:p>
    <w:p>
      <w:pPr>
        <w:spacing w:after="0" w:line="208" w:lineRule="exact"/>
        <w:rPr>
          <w:rFonts w:ascii="Arial" w:cs="Arial" w:eastAsia="Arial" w:hAnsi="Arial"/>
          <w:sz w:val="17"/>
          <w:szCs w:val="17"/>
          <w:color w:val="auto"/>
        </w:rPr>
      </w:pPr>
    </w:p>
    <w:p>
      <w:pPr>
        <w:ind w:left="648" w:right="40" w:hanging="648"/>
        <w:spacing w:after="0" w:line="273" w:lineRule="auto"/>
        <w:tabs>
          <w:tab w:leader="none" w:pos="64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AT&amp;T Inc.; BitTorrent, Inc.; Bright Cove, Inc.; CBS Interactive Inc. (including CNET); Facebook, Inc.; Flixster, Inc.; Friendfeed Inc.; Google, Inc. (including YouTube); hulu.com; Joost Operations S.A.; LinkedIn Corporation; Microsoft Corporation (including MSN); News Corp. (including MySpace); RealNetworks, Inc.; The Walt Disney Company, Inc.; Time Warner Inc. (including AOL); TiVo Inc.; Verizon Communications, Inc.; XING AG; Xobni Corporation; and Yahoo, Inc.</w:t>
      </w:r>
    </w:p>
    <w:p>
      <w:pPr>
        <w:spacing w:after="0" w:line="205" w:lineRule="exact"/>
        <w:rPr>
          <w:rFonts w:ascii="Arial" w:cs="Arial" w:eastAsia="Arial" w:hAnsi="Arial"/>
          <w:sz w:val="17"/>
          <w:szCs w:val="17"/>
          <w:color w:val="auto"/>
        </w:rPr>
      </w:pPr>
    </w:p>
    <w:p>
      <w:pPr>
        <w:ind w:left="648" w:right="280" w:hanging="648"/>
        <w:spacing w:after="0" w:line="277" w:lineRule="auto"/>
        <w:tabs>
          <w:tab w:leader="none" w:pos="64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creation, development, enhancement, testing, deployment, operation, licensing or sale of software or other technology used in any of the products or services described in A to F above.</w:t>
      </w:r>
    </w:p>
    <w:p>
      <w:pPr>
        <w:spacing w:after="0" w:line="200" w:lineRule="exact"/>
        <w:rPr>
          <w:sz w:val="20"/>
          <w:szCs w:val="20"/>
          <w:color w:val="auto"/>
        </w:rPr>
      </w:pPr>
    </w:p>
    <w:p>
      <w:pPr>
        <w:spacing w:after="0" w:line="241"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68"/>
          </w:cols>
          <w:pgMar w:left="572" w:top="368"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is a Restricted Stock Unit Award (the “Award”) dated [_______________, 20__] from Comcast Corporation (the “Company”) to the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217" w:lineRule="exact"/>
        <w:rPr>
          <w:sz w:val="20"/>
          <w:szCs w:val="20"/>
          <w:color w:val="auto"/>
        </w:rPr>
      </w:pPr>
    </w:p>
    <w:p>
      <w:pPr>
        <w:ind w:left="1940" w:hanging="635"/>
        <w:spacing w:after="0"/>
        <w:tabs>
          <w:tab w:leader="none" w:pos="194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275" w:lineRule="exact"/>
        <w:rPr>
          <w:rFonts w:ascii="Arial" w:cs="Arial" w:eastAsia="Arial" w:hAnsi="Arial"/>
          <w:sz w:val="16"/>
          <w:szCs w:val="16"/>
          <w:color w:val="auto"/>
        </w:rPr>
      </w:pPr>
    </w:p>
    <w:p>
      <w:pPr>
        <w:ind w:right="320" w:firstLine="1953"/>
        <w:spacing w:after="0" w:line="259" w:lineRule="auto"/>
        <w:tabs>
          <w:tab w:leader="none" w:pos="259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213" w:lineRule="exact"/>
        <w:rPr>
          <w:rFonts w:ascii="Arial" w:cs="Arial" w:eastAsia="Arial" w:hAnsi="Arial"/>
          <w:sz w:val="18"/>
          <w:szCs w:val="18"/>
          <w:color w:val="auto"/>
        </w:rPr>
      </w:pPr>
    </w:p>
    <w:p>
      <w:pPr>
        <w:ind w:left="2620" w:hanging="667"/>
        <w:spacing w:after="0"/>
        <w:tabs>
          <w:tab w:leader="none" w:pos="2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ind w:left="2620" w:hanging="667"/>
        <w:spacing w:after="0"/>
        <w:tabs>
          <w:tab w:leader="none" w:pos="2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52" w:lineRule="exact"/>
        <w:rPr>
          <w:rFonts w:ascii="Arial" w:cs="Arial" w:eastAsia="Arial" w:hAnsi="Arial"/>
          <w:sz w:val="18"/>
          <w:szCs w:val="18"/>
          <w:color w:val="auto"/>
        </w:rPr>
      </w:pPr>
    </w:p>
    <w:p>
      <w:pPr>
        <w:ind w:left="2620" w:hanging="667"/>
        <w:spacing w:after="0"/>
        <w:tabs>
          <w:tab w:leader="none" w:pos="26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means the date first set forth above, on which the Company awarded the Restricted Stock Units.</w:t>
      </w:r>
    </w:p>
    <w:p>
      <w:pPr>
        <w:spacing w:after="0" w:line="263" w:lineRule="exact"/>
        <w:rPr>
          <w:rFonts w:ascii="Arial" w:cs="Arial" w:eastAsia="Arial" w:hAnsi="Arial"/>
          <w:sz w:val="17"/>
          <w:szCs w:val="17"/>
          <w:color w:val="auto"/>
        </w:rPr>
      </w:pPr>
    </w:p>
    <w:p>
      <w:pPr>
        <w:ind w:left="2620" w:hanging="667"/>
        <w:spacing w:after="0"/>
        <w:tabs>
          <w:tab w:leader="none" w:pos="2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52" w:lineRule="exact"/>
        <w:rPr>
          <w:rFonts w:ascii="Arial" w:cs="Arial" w:eastAsia="Arial" w:hAnsi="Arial"/>
          <w:sz w:val="18"/>
          <w:szCs w:val="18"/>
          <w:color w:val="auto"/>
        </w:rPr>
      </w:pPr>
    </w:p>
    <w:p>
      <w:pPr>
        <w:ind w:left="2620" w:hanging="667"/>
        <w:spacing w:after="0"/>
        <w:tabs>
          <w:tab w:leader="none" w:pos="2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52" w:lineRule="exact"/>
        <w:rPr>
          <w:rFonts w:ascii="Arial" w:cs="Arial" w:eastAsia="Arial" w:hAnsi="Arial"/>
          <w:sz w:val="18"/>
          <w:szCs w:val="18"/>
          <w:color w:val="auto"/>
        </w:rPr>
      </w:pPr>
    </w:p>
    <w:p>
      <w:pPr>
        <w:ind w:left="3300" w:hanging="699"/>
        <w:spacing w:after="0"/>
        <w:tabs>
          <w:tab w:leader="none" w:pos="330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252" w:lineRule="exact"/>
        <w:rPr>
          <w:rFonts w:ascii="Arial" w:cs="Arial" w:eastAsia="Arial" w:hAnsi="Arial"/>
          <w:sz w:val="18"/>
          <w:szCs w:val="18"/>
          <w:color w:val="auto"/>
        </w:rPr>
      </w:pPr>
    </w:p>
    <w:p>
      <w:pPr>
        <w:ind w:left="3300" w:hanging="699"/>
        <w:spacing w:after="0"/>
        <w:tabs>
          <w:tab w:leader="none" w:pos="330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acting on Grantee’s behalf.</w:t>
      </w:r>
    </w:p>
    <w:p>
      <w:pPr>
        <w:spacing w:after="0" w:line="237" w:lineRule="exact"/>
        <w:rPr>
          <w:rFonts w:ascii="Arial" w:cs="Arial" w:eastAsia="Arial" w:hAnsi="Arial"/>
          <w:sz w:val="16"/>
          <w:szCs w:val="16"/>
          <w:color w:val="auto"/>
        </w:rPr>
      </w:pPr>
    </w:p>
    <w:p>
      <w:pPr>
        <w:ind w:left="2620" w:hanging="667"/>
        <w:spacing w:after="0"/>
        <w:tabs>
          <w:tab w:leader="none" w:pos="262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6" w:name="page57"/>
    <w:bookmarkEnd w:id="56"/>
    <w:p>
      <w:pPr>
        <w:ind w:firstLine="1953"/>
        <w:spacing w:after="0" w:line="267" w:lineRule="auto"/>
        <w:tabs>
          <w:tab w:leader="none" w:pos="261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 Cash Flow</w:t>
      </w:r>
      <w:r>
        <w:rPr>
          <w:rFonts w:ascii="Arial" w:cs="Arial" w:eastAsia="Arial" w:hAnsi="Arial"/>
          <w:sz w:val="17"/>
          <w:szCs w:val="17"/>
          <w:color w:val="auto"/>
        </w:rPr>
        <w:t>” means the Company’s “Net Cash Provided by Operating Activities” (as stated in the Company’s Consolidated Statement of Cash Flows) reduced by capital expenditures and cash paid for intangible assets, and adjusted for any amounts related to certain nonoperating items, net of estimated tax benefits (such as income taxes on investment sales, and nonrecurring payments related to income taxes and litigation contingencies of acquired companies), provided that adjustments to “Net Cash Provided by Operating Activities” applied to determine “Free Cash Flow” for each year shall be determined consistently with the Company’s reconciliations of “Free Cash Flow” to the Company’s “Net Cash Provided by Operating Activities” for the Company’s calendar years ending December 31, 2006, December 31, 2007 and December 31, 2008 as reflected on Forms 8-K filed by the Company on February 1, 2007, February 14, 2008 and February 18, 2009, respectively, such that the “Free Cash Flow” for each year beginning after [__________] and before [__________] shall be determined on the same basis as for the Company’s calendar years ending December 31, 2006, December 31, 2007 and December 31, 2008 and that the comparison of “Free Cash Flow” for a calendar year to “Free Cash Flow” for the immediately preceding calendar year is determined to ensure comparability between amounts in the prior calendar year and the year to which the performance condition applies and without regard to extraordinary items or items unrelated to the Company’s operations. In the event there is a significant acquisition or disposition of any assets, business division, company or other business operations of the Company that is reasonably expected to have an effect on Free Cash Flow, the Committee shall adjust the Performance Goal to take into account the impact of such acquisition or disposition by increasing or decreasing such Performance Goal in the same proportion as Free Cash Flow of the Company would have been affected for the prior calendar year on a pro forma basis had such an acquisition or disposition occurred on the same date during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218" w:lineRule="exact"/>
        <w:rPr>
          <w:rFonts w:ascii="Arial" w:cs="Arial" w:eastAsia="Arial" w:hAnsi="Arial"/>
          <w:sz w:val="17"/>
          <w:szCs w:val="17"/>
          <w:color w:val="auto"/>
        </w:rPr>
      </w:pPr>
    </w:p>
    <w:p>
      <w:pPr>
        <w:ind w:left="2620" w:hanging="667"/>
        <w:spacing w:after="0"/>
        <w:tabs>
          <w:tab w:leader="none" w:pos="2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Awards Summary Schedule.</w:t>
      </w:r>
    </w:p>
    <w:p>
      <w:pPr>
        <w:spacing w:after="0" w:line="237" w:lineRule="exact"/>
        <w:rPr>
          <w:rFonts w:ascii="Arial" w:cs="Arial" w:eastAsia="Arial" w:hAnsi="Arial"/>
          <w:sz w:val="16"/>
          <w:szCs w:val="16"/>
          <w:color w:val="auto"/>
        </w:rPr>
      </w:pPr>
    </w:p>
    <w:p>
      <w:pPr>
        <w:ind w:right="640" w:firstLine="1953"/>
        <w:spacing w:after="0" w:line="277" w:lineRule="auto"/>
        <w:tabs>
          <w:tab w:leader="none" w:pos="26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97" w:lineRule="exact"/>
        <w:rPr>
          <w:rFonts w:ascii="Arial" w:cs="Arial" w:eastAsia="Arial" w:hAnsi="Arial"/>
          <w:sz w:val="18"/>
          <w:szCs w:val="18"/>
          <w:color w:val="auto"/>
        </w:rPr>
      </w:pPr>
    </w:p>
    <w:p>
      <w:pPr>
        <w:ind w:right="460" w:firstLine="1953"/>
        <w:spacing w:after="0" w:line="277" w:lineRule="auto"/>
        <w:tabs>
          <w:tab w:leader="none" w:pos="26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97" w:lineRule="exact"/>
        <w:rPr>
          <w:rFonts w:ascii="Arial" w:cs="Arial" w:eastAsia="Arial" w:hAnsi="Arial"/>
          <w:sz w:val="18"/>
          <w:szCs w:val="18"/>
          <w:color w:val="auto"/>
        </w:rPr>
      </w:pPr>
    </w:p>
    <w:p>
      <w:pPr>
        <w:ind w:left="2620" w:hanging="667"/>
        <w:spacing w:after="0"/>
        <w:tabs>
          <w:tab w:leader="none" w:pos="26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w:t>
      </w:r>
      <w:r>
        <w:rPr>
          <w:rFonts w:ascii="Arial" w:cs="Arial" w:eastAsia="Arial" w:hAnsi="Arial"/>
          <w:sz w:val="17"/>
          <w:szCs w:val="17"/>
          <w:color w:val="auto"/>
        </w:rPr>
        <w:t>” means Free Cash Flow for a calendar year that exceeds Free Cash Flow for the immediately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preceding calendar year.</w:t>
      </w:r>
    </w:p>
    <w:p>
      <w:pPr>
        <w:spacing w:after="0" w:line="237" w:lineRule="exact"/>
        <w:rPr>
          <w:rFonts w:ascii="Arial" w:cs="Arial" w:eastAsia="Arial" w:hAnsi="Arial"/>
          <w:sz w:val="17"/>
          <w:szCs w:val="17"/>
          <w:color w:val="auto"/>
        </w:rPr>
      </w:pPr>
    </w:p>
    <w:p>
      <w:pPr>
        <w:ind w:left="2620" w:hanging="667"/>
        <w:spacing w:after="0"/>
        <w:tabs>
          <w:tab w:leader="none" w:pos="2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ind w:left="2620" w:hanging="667"/>
        <w:spacing w:after="0"/>
        <w:tabs>
          <w:tab w:leader="none" w:pos="2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with respect to each Restricted Stock Unit, the period beginning on the Date of Grant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ending on the Vesting Date.</w:t>
      </w:r>
    </w:p>
    <w:p>
      <w:pPr>
        <w:spacing w:after="0" w:line="237" w:lineRule="exact"/>
        <w:rPr>
          <w:rFonts w:ascii="Arial" w:cs="Arial" w:eastAsia="Arial" w:hAnsi="Arial"/>
          <w:sz w:val="17"/>
          <w:szCs w:val="17"/>
          <w:color w:val="auto"/>
        </w:rPr>
      </w:pPr>
    </w:p>
    <w:p>
      <w:pPr>
        <w:jc w:val="both"/>
        <w:ind w:firstLine="1953"/>
        <w:spacing w:after="0" w:line="264" w:lineRule="auto"/>
        <w:tabs>
          <w:tab w:leader="none" w:pos="26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208" w:lineRule="exact"/>
        <w:rPr>
          <w:rFonts w:ascii="Arial" w:cs="Arial" w:eastAsia="Arial" w:hAnsi="Arial"/>
          <w:sz w:val="18"/>
          <w:szCs w:val="18"/>
          <w:color w:val="auto"/>
        </w:rPr>
      </w:pPr>
    </w:p>
    <w:p>
      <w:pPr>
        <w:ind w:left="2620" w:hanging="667"/>
        <w:spacing w:after="0"/>
        <w:tabs>
          <w:tab w:leader="none" w:pos="2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52" w:lineRule="exact"/>
        <w:rPr>
          <w:rFonts w:ascii="Arial" w:cs="Arial" w:eastAsia="Arial" w:hAnsi="Arial"/>
          <w:sz w:val="18"/>
          <w:szCs w:val="18"/>
          <w:color w:val="auto"/>
        </w:rPr>
      </w:pPr>
    </w:p>
    <w:p>
      <w:pPr>
        <w:ind w:left="2600" w:hanging="647"/>
        <w:spacing w:after="0"/>
        <w:tabs>
          <w:tab w:leader="none" w:pos="26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Retired Grantee</w:t>
      </w:r>
      <w:r>
        <w:rPr>
          <w:rFonts w:ascii="Arial" w:cs="Arial" w:eastAsia="Arial" w:hAnsi="Arial"/>
          <w:sz w:val="17"/>
          <w:szCs w:val="17"/>
          <w:color w:val="auto"/>
        </w:rPr>
        <w:t>” means Grantee, following Grantee’s termination of employment pursuant to a Normal Retirement.</w:t>
      </w:r>
    </w:p>
    <w:p>
      <w:pPr>
        <w:spacing w:after="0" w:line="263" w:lineRule="exact"/>
        <w:rPr>
          <w:rFonts w:ascii="Arial" w:cs="Arial" w:eastAsia="Arial" w:hAnsi="Arial"/>
          <w:sz w:val="17"/>
          <w:szCs w:val="17"/>
          <w:color w:val="auto"/>
        </w:rPr>
      </w:pPr>
    </w:p>
    <w:p>
      <w:pPr>
        <w:ind w:left="2620" w:hanging="667"/>
        <w:spacing w:after="0"/>
        <w:tabs>
          <w:tab w:leader="none" w:pos="2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252" w:lineRule="exact"/>
        <w:rPr>
          <w:rFonts w:ascii="Arial" w:cs="Arial" w:eastAsia="Arial" w:hAnsi="Arial"/>
          <w:sz w:val="18"/>
          <w:szCs w:val="18"/>
          <w:color w:val="auto"/>
        </w:rPr>
      </w:pPr>
    </w:p>
    <w:p>
      <w:pPr>
        <w:ind w:right="140" w:firstLine="1953"/>
        <w:spacing w:after="0" w:line="277" w:lineRule="auto"/>
        <w:tabs>
          <w:tab w:leader="none" w:pos="26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97" w:lineRule="exact"/>
        <w:rPr>
          <w:rFonts w:ascii="Arial" w:cs="Arial" w:eastAsia="Arial" w:hAnsi="Arial"/>
          <w:sz w:val="18"/>
          <w:szCs w:val="18"/>
          <w:color w:val="auto"/>
        </w:rPr>
      </w:pPr>
    </w:p>
    <w:p>
      <w:pPr>
        <w:ind w:left="2620" w:hanging="667"/>
        <w:spacing w:after="0"/>
        <w:tabs>
          <w:tab w:leader="none" w:pos="26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52" w:lineRule="exact"/>
        <w:rPr>
          <w:rFonts w:ascii="Arial" w:cs="Arial" w:eastAsia="Arial" w:hAnsi="Arial"/>
          <w:sz w:val="18"/>
          <w:szCs w:val="18"/>
          <w:color w:val="auto"/>
        </w:rPr>
      </w:pPr>
    </w:p>
    <w:p>
      <w:pPr>
        <w:ind w:right="20" w:firstLine="1305"/>
        <w:spacing w:after="0" w:line="277" w:lineRule="auto"/>
        <w:tabs>
          <w:tab w:leader="none" w:pos="192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97" w:lineRule="exact"/>
        <w:rPr>
          <w:rFonts w:ascii="Arial" w:cs="Arial" w:eastAsia="Arial" w:hAnsi="Arial"/>
          <w:sz w:val="18"/>
          <w:szCs w:val="18"/>
          <w:color w:val="auto"/>
        </w:rPr>
      </w:pPr>
    </w:p>
    <w:p>
      <w:pPr>
        <w:ind w:left="1940" w:hanging="635"/>
        <w:spacing w:after="0"/>
        <w:tabs>
          <w:tab w:leader="none" w:pos="19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1953"/>
        <w:spacing w:after="0" w:line="276" w:lineRule="auto"/>
        <w:tabs>
          <w:tab w:leader="none" w:pos="26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and provided further that the applicable performance conditions as set forth on the attached Long-Term Incentive Awards Summary Schedule have been satisfied.</w:t>
      </w:r>
    </w:p>
    <w:p>
      <w:pPr>
        <w:spacing w:after="0" w:line="199" w:lineRule="exact"/>
        <w:rPr>
          <w:rFonts w:ascii="Arial" w:cs="Arial" w:eastAsia="Arial" w:hAnsi="Arial"/>
          <w:sz w:val="17"/>
          <w:szCs w:val="17"/>
          <w:color w:val="auto"/>
        </w:rPr>
      </w:pPr>
    </w:p>
    <w:p>
      <w:pPr>
        <w:ind w:right="100" w:firstLine="1953"/>
        <w:spacing w:after="0" w:line="259" w:lineRule="auto"/>
        <w:tabs>
          <w:tab w:leader="none" w:pos="265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Notwithstanding Paragraph 3(a)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8" w:name="page59"/>
    <w:bookmarkEnd w:id="58"/>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60" w:firstLine="1953"/>
        <w:spacing w:after="0" w:line="272" w:lineRule="auto"/>
        <w:tabs>
          <w:tab w:leader="none" w:pos="26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and in the Plan, if Grantee terminates employment with the Company and all Subsidiaries during the Restricted Period, other than due to death or Disability or a Termination With Good Reason (as defined in Grantee’s employment agreement with the Company), or unless Grantee experiences a Termination Without Cause (as defined in Grantee’s employment agreement), Grantee shall forfeit the Restricted Stock Units as of such termination of employment. If Grantee experiences a Termination With Good Reason or a Termination Without Cause, notwithstanding anything herein to the contrary, Grantee’s Restricted Stock Units will continue to vest in accordance with the attached Long Term Incentive Awards Summary Schedule for a period of one year following termination of employment. Upon a forfeiture of the Restricted Stock Units as provided in this Paragraph 4, the Restricted Stock Units shall be deemed canceled.</w:t>
      </w:r>
    </w:p>
    <w:p>
      <w:pPr>
        <w:spacing w:after="0" w:line="204" w:lineRule="exact"/>
        <w:rPr>
          <w:rFonts w:ascii="Arial" w:cs="Arial" w:eastAsia="Arial" w:hAnsi="Arial"/>
          <w:sz w:val="17"/>
          <w:szCs w:val="17"/>
          <w:color w:val="auto"/>
        </w:rPr>
      </w:pPr>
    </w:p>
    <w:p>
      <w:pPr>
        <w:ind w:left="2660" w:hanging="707"/>
        <w:spacing w:after="0"/>
        <w:tabs>
          <w:tab w:leader="none" w:pos="2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Vesting Date has occurred.</w:t>
      </w:r>
    </w:p>
    <w:p>
      <w:pPr>
        <w:spacing w:after="0" w:line="237" w:lineRule="exact"/>
        <w:rPr>
          <w:rFonts w:ascii="Arial" w:cs="Arial" w:eastAsia="Arial" w:hAnsi="Arial"/>
          <w:sz w:val="16"/>
          <w:szCs w:val="16"/>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Grantee may elect to defer the receipt of Shares issuable with respect to Restricted Stock Units, consistent, however, with the following:</w:t>
      </w:r>
    </w:p>
    <w:p>
      <w:pPr>
        <w:spacing w:after="0" w:line="275" w:lineRule="exact"/>
        <w:rPr>
          <w:sz w:val="20"/>
          <w:szCs w:val="20"/>
          <w:color w:val="auto"/>
        </w:rPr>
      </w:pPr>
    </w:p>
    <w:p>
      <w:pPr>
        <w:ind w:left="2640" w:hanging="687"/>
        <w:spacing w:after="0"/>
        <w:tabs>
          <w:tab w:leader="none" w:pos="26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60" w:firstLine="2601"/>
        <w:spacing w:after="0" w:line="264" w:lineRule="auto"/>
        <w:tabs>
          <w:tab w:leader="none" w:pos="3298"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208" w:lineRule="exact"/>
        <w:rPr>
          <w:rFonts w:ascii="Arial" w:cs="Arial" w:eastAsia="Arial" w:hAnsi="Arial"/>
          <w:sz w:val="18"/>
          <w:szCs w:val="18"/>
          <w:color w:val="auto"/>
        </w:rPr>
      </w:pPr>
    </w:p>
    <w:p>
      <w:pPr>
        <w:ind w:left="3300" w:hanging="699"/>
        <w:spacing w:after="0"/>
        <w:tabs>
          <w:tab w:leader="none" w:pos="330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Deadline for Deferral Election</w:t>
      </w:r>
      <w:r>
        <w:rPr>
          <w:rFonts w:ascii="Arial" w:cs="Arial" w:eastAsia="Arial" w:hAnsi="Arial"/>
          <w:sz w:val="17"/>
          <w:szCs w:val="17"/>
          <w:color w:val="auto"/>
        </w:rPr>
        <w:t>. An Initial Election to defer the receipt of Shares issuable with respect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Restricted Stock Units hereby granted shall not be effective unless it is filed with the Committee on or before June 30, 2010.</w:t>
      </w:r>
    </w:p>
    <w:p>
      <w:pPr>
        <w:spacing w:after="0" w:line="237" w:lineRule="exact"/>
        <w:rPr>
          <w:rFonts w:ascii="Arial" w:cs="Arial" w:eastAsia="Arial" w:hAnsi="Arial"/>
          <w:sz w:val="17"/>
          <w:szCs w:val="17"/>
          <w:color w:val="auto"/>
        </w:rPr>
      </w:pPr>
    </w:p>
    <w:p>
      <w:pPr>
        <w:ind w:right="180" w:firstLine="2601"/>
        <w:spacing w:after="0" w:line="279" w:lineRule="auto"/>
        <w:tabs>
          <w:tab w:leader="none" w:pos="3298"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Deferral Period</w:t>
      </w:r>
      <w:r>
        <w:rPr>
          <w:rFonts w:ascii="Arial" w:cs="Arial" w:eastAsia="Arial" w:hAnsi="Arial"/>
          <w:sz w:val="17"/>
          <w:szCs w:val="17"/>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198" w:lineRule="exact"/>
        <w:rPr>
          <w:rFonts w:ascii="Arial" w:cs="Arial" w:eastAsia="Arial" w:hAnsi="Arial"/>
          <w:sz w:val="17"/>
          <w:szCs w:val="17"/>
          <w:color w:val="auto"/>
        </w:rPr>
      </w:pPr>
    </w:p>
    <w:p>
      <w:pPr>
        <w:ind w:right="140" w:firstLine="2601"/>
        <w:spacing w:after="0" w:line="277" w:lineRule="auto"/>
        <w:tabs>
          <w:tab w:leader="none" w:pos="3298"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97" w:lineRule="exact"/>
        <w:rPr>
          <w:rFonts w:ascii="Arial" w:cs="Arial" w:eastAsia="Arial" w:hAnsi="Arial"/>
          <w:sz w:val="18"/>
          <w:szCs w:val="18"/>
          <w:color w:val="auto"/>
        </w:rPr>
      </w:pPr>
    </w:p>
    <w:p>
      <w:pPr>
        <w:ind w:firstLine="1953"/>
        <w:spacing w:after="0" w:line="277" w:lineRule="auto"/>
        <w:tabs>
          <w:tab w:leader="none" w:pos="265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Subsequent Elections/Acceleration Elections</w:t>
      </w:r>
      <w:r>
        <w:rPr>
          <w:rFonts w:ascii="Arial" w:cs="Arial" w:eastAsia="Arial" w:hAnsi="Arial"/>
          <w:sz w:val="18"/>
          <w:szCs w:val="18"/>
          <w:color w:val="auto"/>
        </w:rPr>
        <w:t>. No Subsequent Election shall be effective until 12 months after the date on which a Subsequent Election is filed with the Committee.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ind w:firstLine="2601"/>
        <w:spacing w:after="0" w:line="279" w:lineRule="auto"/>
        <w:tabs>
          <w:tab w:leader="none" w:pos="329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98" w:lineRule="exact"/>
        <w:rPr>
          <w:rFonts w:ascii="Arial" w:cs="Arial" w:eastAsia="Arial" w:hAnsi="Arial"/>
          <w:sz w:val="17"/>
          <w:szCs w:val="17"/>
          <w:color w:val="auto"/>
        </w:rPr>
      </w:pPr>
    </w:p>
    <w:p>
      <w:pPr>
        <w:ind w:right="40" w:firstLine="2601"/>
        <w:spacing w:after="0" w:line="302" w:lineRule="auto"/>
        <w:tabs>
          <w:tab w:leader="none" w:pos="329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81" w:lineRule="exact"/>
        <w:rPr>
          <w:rFonts w:ascii="Arial" w:cs="Arial" w:eastAsia="Arial" w:hAnsi="Arial"/>
          <w:sz w:val="16"/>
          <w:szCs w:val="16"/>
          <w:color w:val="auto"/>
        </w:rPr>
      </w:pPr>
    </w:p>
    <w:p>
      <w:pPr>
        <w:ind w:right="140" w:firstLine="2601"/>
        <w:spacing w:after="0" w:line="312" w:lineRule="auto"/>
        <w:tabs>
          <w:tab w:leader="none" w:pos="329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lieu of a Subsequent Election described in Paragraph 5(b)(2), the estate or beneficiary to whom the right to delivery of Shares shall have passed may, as soon as practicable following the Grantee’s death, make an Acceleration Election to accelerate the delivery date of such Shares from the date delivery of such Shares would otherwise be made to a date that is as soon as practicable following the Grantee’s death.</w:t>
      </w:r>
    </w:p>
    <w:p>
      <w:pPr>
        <w:spacing w:after="0" w:line="173" w:lineRule="exact"/>
        <w:rPr>
          <w:rFonts w:ascii="Arial" w:cs="Arial" w:eastAsia="Arial" w:hAnsi="Arial"/>
          <w:sz w:val="16"/>
          <w:szCs w:val="16"/>
          <w:color w:val="auto"/>
        </w:rPr>
      </w:pPr>
    </w:p>
    <w:p>
      <w:pPr>
        <w:jc w:val="both"/>
        <w:ind w:right="40" w:firstLine="2601"/>
        <w:spacing w:after="0" w:line="259" w:lineRule="auto"/>
        <w:tabs>
          <w:tab w:leader="none" w:pos="329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Grantee becomes a Disabled Grantee before the Shares subject to an Initial Election under Paragraph 5(a) are to be delivered, Grantee may, as soon as practicable following the date on which Grantee becomes a Disabled Grantee, elect to accelerate the distribution date of such Shares from the date payment would otherwise be made to a date that is as soon as practicable following the date the Disabled Grantee became disabled.</w:t>
      </w:r>
    </w:p>
    <w:p>
      <w:pPr>
        <w:spacing w:after="0" w:line="213" w:lineRule="exact"/>
        <w:rPr>
          <w:rFonts w:ascii="Arial" w:cs="Arial" w:eastAsia="Arial" w:hAnsi="Arial"/>
          <w:sz w:val="18"/>
          <w:szCs w:val="18"/>
          <w:color w:val="auto"/>
        </w:rPr>
      </w:pPr>
    </w:p>
    <w:p>
      <w:pPr>
        <w:jc w:val="both"/>
        <w:ind w:right="40" w:firstLine="2601"/>
        <w:spacing w:after="0" w:line="259" w:lineRule="auto"/>
        <w:tabs>
          <w:tab w:leader="none" w:pos="329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213" w:lineRule="exact"/>
        <w:rPr>
          <w:rFonts w:ascii="Arial" w:cs="Arial" w:eastAsia="Arial" w:hAnsi="Arial"/>
          <w:sz w:val="18"/>
          <w:szCs w:val="18"/>
          <w:color w:val="auto"/>
        </w:rPr>
      </w:pPr>
    </w:p>
    <w:p>
      <w:pPr>
        <w:ind w:right="480" w:firstLine="1953"/>
        <w:spacing w:after="0" w:line="308" w:lineRule="auto"/>
        <w:tabs>
          <w:tab w:leader="none" w:pos="2639"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Diversification Election</w:t>
      </w:r>
      <w:r>
        <w:rPr>
          <w:rFonts w:ascii="Arial" w:cs="Arial" w:eastAsia="Arial" w:hAnsi="Arial"/>
          <w:sz w:val="17"/>
          <w:szCs w:val="17"/>
          <w:color w:val="auto"/>
        </w:rPr>
        <w:t>. As provided in the Plan and as described in the prospectus for the Plan, a Grantee with an Account may be eligible to make a Diversification Election on an election form supplied by the Committee for this purpose.</w:t>
      </w:r>
    </w:p>
    <w:p>
      <w:pPr>
        <w:spacing w:after="0" w:line="173" w:lineRule="exact"/>
        <w:rPr>
          <w:rFonts w:ascii="Arial" w:cs="Arial" w:eastAsia="Arial" w:hAnsi="Arial"/>
          <w:sz w:val="17"/>
          <w:szCs w:val="17"/>
          <w:color w:val="auto"/>
        </w:rPr>
      </w:pPr>
    </w:p>
    <w:p>
      <w:pPr>
        <w:ind w:right="60" w:firstLine="1953"/>
        <w:spacing w:after="0" w:line="257" w:lineRule="auto"/>
        <w:tabs>
          <w:tab w:leader="none" w:pos="265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ind w:left="-60" w:right="60" w:firstLine="1953"/>
        <w:spacing w:after="0" w:line="255" w:lineRule="auto"/>
        <w:tabs>
          <w:tab w:leader="none" w:pos="2579"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220" w:lineRule="exact"/>
        <w:rPr>
          <w:rFonts w:ascii="Arial" w:cs="Arial" w:eastAsia="Arial" w:hAnsi="Arial"/>
          <w:sz w:val="18"/>
          <w:szCs w:val="18"/>
          <w:color w:val="auto"/>
        </w:rPr>
      </w:pPr>
    </w:p>
    <w:p>
      <w:pPr>
        <w:ind w:left="-60" w:right="160" w:firstLine="1953"/>
        <w:spacing w:after="0" w:line="259" w:lineRule="auto"/>
        <w:tabs>
          <w:tab w:leader="none" w:pos="2559"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213" w:lineRule="exact"/>
        <w:rPr>
          <w:rFonts w:ascii="Arial" w:cs="Arial" w:eastAsia="Arial" w:hAnsi="Arial"/>
          <w:sz w:val="18"/>
          <w:szCs w:val="18"/>
          <w:color w:val="auto"/>
        </w:rPr>
      </w:pPr>
    </w:p>
    <w:p>
      <w:pPr>
        <w:ind w:left="-60" w:right="140" w:firstLine="1305"/>
        <w:spacing w:after="0" w:line="264" w:lineRule="auto"/>
        <w:tabs>
          <w:tab w:leader="none" w:pos="186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208" w:lineRule="exact"/>
        <w:rPr>
          <w:rFonts w:ascii="Arial" w:cs="Arial" w:eastAsia="Arial" w:hAnsi="Arial"/>
          <w:sz w:val="18"/>
          <w:szCs w:val="18"/>
          <w:color w:val="auto"/>
        </w:rPr>
      </w:pPr>
    </w:p>
    <w:p>
      <w:pPr>
        <w:ind w:left="-60" w:right="200" w:firstLine="1305"/>
        <w:spacing w:after="0" w:line="264" w:lineRule="auto"/>
        <w:tabs>
          <w:tab w:leader="none" w:pos="186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08" w:lineRule="exact"/>
        <w:rPr>
          <w:rFonts w:ascii="Arial" w:cs="Arial" w:eastAsia="Arial" w:hAnsi="Arial"/>
          <w:sz w:val="18"/>
          <w:szCs w:val="18"/>
          <w:color w:val="auto"/>
        </w:rPr>
      </w:pPr>
    </w:p>
    <w:p>
      <w:pPr>
        <w:ind w:left="1880" w:hanging="635"/>
        <w:spacing w:after="0"/>
        <w:tabs>
          <w:tab w:leader="none" w:pos="18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0" w:firstLine="1953"/>
        <w:spacing w:after="0" w:line="270" w:lineRule="auto"/>
        <w:tabs>
          <w:tab w:leader="none" w:pos="2579"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204" w:lineRule="exact"/>
        <w:rPr>
          <w:rFonts w:ascii="Arial" w:cs="Arial" w:eastAsia="Arial" w:hAnsi="Arial"/>
          <w:sz w:val="17"/>
          <w:szCs w:val="17"/>
          <w:color w:val="auto"/>
        </w:rPr>
      </w:pPr>
    </w:p>
    <w:p>
      <w:pPr>
        <w:ind w:left="-60" w:right="20" w:firstLine="1953"/>
        <w:spacing w:after="0" w:line="277" w:lineRule="auto"/>
        <w:tabs>
          <w:tab w:leader="none" w:pos="259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If it is determined by the Board that gross negligence, intentional misconduct or fraud by Grantee caused or partially caused the Company to have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368" w:right="279" w:bottom="1440" w:gutter="0" w:footer="0" w:header="0"/>
        </w:sectPr>
      </w:pPr>
    </w:p>
    <w:bookmarkStart w:id="61" w:name="page62"/>
    <w:bookmarkEnd w:id="61"/>
    <w:p>
      <w:pPr>
        <w:spacing w:after="0" w:line="272" w:lineRule="auto"/>
        <w:rPr>
          <w:sz w:val="20"/>
          <w:szCs w:val="20"/>
          <w:color w:val="auto"/>
        </w:rPr>
      </w:pPr>
      <w:r>
        <w:rPr>
          <w:rFonts w:ascii="Arial" w:cs="Arial" w:eastAsia="Arial" w:hAnsi="Arial"/>
          <w:sz w:val="17"/>
          <w:szCs w:val="17"/>
          <w:color w:val="auto"/>
        </w:rPr>
        <w:t>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205" w:lineRule="exact"/>
        <w:rPr>
          <w:sz w:val="20"/>
          <w:szCs w:val="20"/>
          <w:color w:val="auto"/>
        </w:rPr>
      </w:pPr>
    </w:p>
    <w:p>
      <w:pPr>
        <w:ind w:right="560" w:firstLine="1305"/>
        <w:spacing w:after="0" w:line="277" w:lineRule="auto"/>
        <w:tabs>
          <w:tab w:leader="none" w:pos="192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97" w:lineRule="exact"/>
        <w:rPr>
          <w:rFonts w:ascii="Arial" w:cs="Arial" w:eastAsia="Arial" w:hAnsi="Arial"/>
          <w:sz w:val="18"/>
          <w:szCs w:val="18"/>
          <w:color w:val="auto"/>
        </w:rPr>
      </w:pPr>
    </w:p>
    <w:p>
      <w:pPr>
        <w:ind w:left="1940" w:hanging="635"/>
        <w:spacing w:after="0"/>
        <w:tabs>
          <w:tab w:leader="none" w:pos="19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40" w:firstLine="1953"/>
        <w:spacing w:after="0" w:line="312" w:lineRule="auto"/>
        <w:tabs>
          <w:tab w:leader="none" w:pos="263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73" w:lineRule="exact"/>
        <w:rPr>
          <w:rFonts w:ascii="Arial" w:cs="Arial" w:eastAsia="Arial" w:hAnsi="Arial"/>
          <w:sz w:val="16"/>
          <w:szCs w:val="16"/>
          <w:color w:val="auto"/>
        </w:rPr>
      </w:pPr>
    </w:p>
    <w:p>
      <w:pPr>
        <w:ind w:right="20" w:firstLine="1953"/>
        <w:spacing w:after="0" w:line="277" w:lineRule="auto"/>
        <w:tabs>
          <w:tab w:leader="none" w:pos="264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97" w:lineRule="exact"/>
        <w:rPr>
          <w:rFonts w:ascii="Arial" w:cs="Arial" w:eastAsia="Arial" w:hAnsi="Arial"/>
          <w:sz w:val="18"/>
          <w:szCs w:val="18"/>
          <w:color w:val="auto"/>
        </w:rPr>
      </w:pPr>
    </w:p>
    <w:p>
      <w:pPr>
        <w:ind w:right="100" w:firstLine="1953"/>
        <w:spacing w:after="0" w:line="277" w:lineRule="auto"/>
        <w:tabs>
          <w:tab w:leader="none" w:pos="263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4490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David L. Cohen</w:t>
      </w:r>
    </w:p>
    <w:p>
      <w:pPr>
        <w:spacing w:after="0" w:line="200" w:lineRule="exact"/>
        <w:rPr>
          <w:sz w:val="20"/>
          <w:szCs w:val="20"/>
          <w:color w:val="auto"/>
        </w:rPr>
      </w:pPr>
    </w:p>
    <w:p>
      <w:pPr>
        <w:spacing w:after="0" w:line="268" w:lineRule="exact"/>
        <w:rPr>
          <w:sz w:val="20"/>
          <w:szCs w:val="20"/>
          <w:color w:val="auto"/>
        </w:rPr>
      </w:pPr>
    </w:p>
    <w:p>
      <w:pPr>
        <w:jc w:val="both"/>
        <w:ind w:left="5720"/>
        <w:spacing w:after="0"/>
        <w:tabs>
          <w:tab w:leader="none" w:pos="6620" w:val="left"/>
        </w:tabs>
        <w:rPr>
          <w:sz w:val="20"/>
          <w:szCs w:val="20"/>
          <w:color w:val="auto"/>
        </w:rPr>
      </w:pPr>
      <w:r>
        <w:rPr>
          <w:rFonts w:ascii="Arial" w:cs="Arial" w:eastAsia="Arial" w:hAnsi="Arial"/>
          <w:sz w:val="18"/>
          <w:szCs w:val="18"/>
          <w:color w:val="auto"/>
        </w:rPr>
        <w:t>ATTEST:</w:t>
        <w:tab/>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449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jc w:val="right"/>
        <w:ind w:right="3600"/>
        <w:spacing w:after="0"/>
        <w:rPr>
          <w:sz w:val="20"/>
          <w:szCs w:val="20"/>
          <w:color w:val="auto"/>
        </w:rPr>
      </w:pPr>
      <w:r>
        <w:rPr>
          <w:rFonts w:ascii="Arial" w:cs="Arial" w:eastAsia="Arial" w:hAnsi="Arial"/>
          <w:sz w:val="18"/>
          <w:szCs w:val="18"/>
          <w:color w:val="auto"/>
        </w:rPr>
        <w:t>Arthur R. Block</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AWARDS SUMMARY SCHEDULE</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This Long-Term Incentive Awards Summary Schedule (this “Schedule) provides certain information related to Restricted Stock Units you were granted by Comcast Corporation on [_______________, 20__] (the “Date of Grant”). </w:t>
      </w:r>
      <w:r>
        <w:rPr>
          <w:rFonts w:ascii="Arial" w:cs="Arial" w:eastAsia="Arial" w:hAnsi="Arial"/>
          <w:sz w:val="18"/>
          <w:szCs w:val="18"/>
          <w:b w:val="1"/>
          <w:bCs w:val="1"/>
          <w:color w:val="auto"/>
        </w:rPr>
        <w:t>This Schedule is intended to be, and shall at all times be interpreted as, a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your Comcast Corporation Restricted Stock Unit Award document.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Award</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5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Grantee:</w:t>
            </w:r>
          </w:p>
        </w:tc>
        <w:tc>
          <w:tcPr>
            <w:tcW w:w="76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[____________________]</w:t>
            </w:r>
          </w:p>
        </w:tc>
        <w:tc>
          <w:tcPr>
            <w:tcW w:w="160" w:type="dxa"/>
            <w:vAlign w:val="bottom"/>
            <w:tcBorders>
              <w:top w:val="single" w:sz="8" w:color="auto"/>
              <w:right w:val="single" w:sz="8" w:color="auto"/>
            </w:tcBorders>
          </w:tcPr>
          <w:p>
            <w:pPr>
              <w:spacing w:after="0"/>
              <w:rPr>
                <w:sz w:val="23"/>
                <w:szCs w:val="23"/>
                <w:color w:val="auto"/>
              </w:rPr>
            </w:pP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43"/>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Grant:</w:t>
            </w:r>
          </w:p>
        </w:tc>
        <w:tc>
          <w:tcPr>
            <w:tcW w:w="7680" w:type="dxa"/>
            <w:vAlign w:val="bottom"/>
            <w:gridSpan w:val="3"/>
          </w:tcPr>
          <w:p>
            <w:pPr>
              <w:ind w:left="20"/>
              <w:spacing w:after="0"/>
              <w:rPr>
                <w:sz w:val="20"/>
                <w:szCs w:val="20"/>
                <w:color w:val="auto"/>
              </w:rPr>
            </w:pPr>
            <w:r>
              <w:rPr>
                <w:rFonts w:ascii="Arial" w:cs="Arial" w:eastAsia="Arial" w:hAnsi="Arial"/>
                <w:sz w:val="18"/>
                <w:szCs w:val="18"/>
                <w:color w:val="auto"/>
              </w:rPr>
              <w:t>[_______________, 20__]</w:t>
            </w:r>
          </w:p>
        </w:tc>
        <w:tc>
          <w:tcPr>
            <w:tcW w:w="160" w:type="dxa"/>
            <w:vAlign w:val="bottom"/>
            <w:tcBorders>
              <w:right w:val="single" w:sz="8" w:color="auto"/>
            </w:tcBorders>
          </w:tcPr>
          <w:p>
            <w:pPr>
              <w:spacing w:after="0"/>
              <w:rPr>
                <w:sz w:val="21"/>
                <w:szCs w:val="21"/>
                <w:color w:val="auto"/>
              </w:rPr>
            </w:pP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43"/>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Comcast Corporation Class A Common Stock</w:t>
            </w: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43"/>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Number of Restricted Stock Units Granted:</w:t>
            </w:r>
          </w:p>
        </w:tc>
        <w:tc>
          <w:tcPr>
            <w:tcW w:w="768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160" w:type="dxa"/>
            <w:vAlign w:val="bottom"/>
            <w:tcBorders>
              <w:right w:val="single" w:sz="8" w:color="auto"/>
            </w:tcBorders>
          </w:tcPr>
          <w:p>
            <w:pPr>
              <w:spacing w:after="0"/>
              <w:rPr>
                <w:sz w:val="21"/>
                <w:szCs w:val="21"/>
                <w:color w:val="auto"/>
              </w:rPr>
            </w:pP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43"/>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2010 RSUs</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[__________] of the Restricted Stock Units.</w:t>
            </w: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2011 RSUs</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[__________] of the Restricted Stock Units, plus any 2010 RSUs that fail to vest on or before</w:t>
            </w:r>
          </w:p>
        </w:tc>
      </w:tr>
      <w:tr>
        <w:trPr>
          <w:trHeight w:val="230"/>
        </w:trPr>
        <w:tc>
          <w:tcPr>
            <w:tcW w:w="3580" w:type="dxa"/>
            <w:vAlign w:val="bottom"/>
            <w:tcBorders>
              <w:left w:val="single" w:sz="8" w:color="auto"/>
              <w:right w:val="single" w:sz="8" w:color="auto"/>
            </w:tcBorders>
          </w:tcPr>
          <w:p>
            <w:pPr>
              <w:spacing w:after="0"/>
              <w:rPr>
                <w:sz w:val="20"/>
                <w:szCs w:val="20"/>
                <w:color w:val="auto"/>
              </w:rPr>
            </w:pPr>
          </w:p>
        </w:tc>
        <w:tc>
          <w:tcPr>
            <w:tcW w:w="7680" w:type="dxa"/>
            <w:vAlign w:val="bottom"/>
            <w:gridSpan w:val="3"/>
          </w:tcPr>
          <w:p>
            <w:pPr>
              <w:ind w:left="840"/>
              <w:spacing w:after="0"/>
              <w:rPr>
                <w:sz w:val="20"/>
                <w:szCs w:val="20"/>
                <w:color w:val="auto"/>
              </w:rPr>
            </w:pPr>
            <w:r>
              <w:rPr>
                <w:rFonts w:ascii="Arial" w:cs="Arial" w:eastAsia="Arial" w:hAnsi="Arial"/>
                <w:sz w:val="18"/>
                <w:szCs w:val="18"/>
                <w:color w:val="auto"/>
              </w:rPr>
              <w:t>[_______________, 20__].</w:t>
            </w:r>
          </w:p>
        </w:tc>
        <w:tc>
          <w:tcPr>
            <w:tcW w:w="160" w:type="dxa"/>
            <w:vAlign w:val="bottom"/>
            <w:tcBorders>
              <w:right w:val="single" w:sz="8" w:color="auto"/>
            </w:tcBorders>
          </w:tcPr>
          <w:p>
            <w:pPr>
              <w:spacing w:after="0"/>
              <w:rPr>
                <w:sz w:val="20"/>
                <w:szCs w:val="20"/>
                <w:color w:val="auto"/>
              </w:rPr>
            </w:pP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2012 RSUs</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4"/>
              </w:rPr>
              <w:t>[__________] of the Restricted Stock Units, plus any 2010 and 2011 RSUs that fail to vest on or before</w:t>
            </w:r>
          </w:p>
        </w:tc>
      </w:tr>
      <w:tr>
        <w:trPr>
          <w:trHeight w:val="230"/>
        </w:trPr>
        <w:tc>
          <w:tcPr>
            <w:tcW w:w="3580" w:type="dxa"/>
            <w:vAlign w:val="bottom"/>
            <w:tcBorders>
              <w:left w:val="single" w:sz="8" w:color="auto"/>
              <w:right w:val="single" w:sz="8" w:color="auto"/>
            </w:tcBorders>
          </w:tcPr>
          <w:p>
            <w:pPr>
              <w:spacing w:after="0"/>
              <w:rPr>
                <w:sz w:val="20"/>
                <w:szCs w:val="20"/>
                <w:color w:val="auto"/>
              </w:rPr>
            </w:pPr>
          </w:p>
        </w:tc>
        <w:tc>
          <w:tcPr>
            <w:tcW w:w="7680" w:type="dxa"/>
            <w:vAlign w:val="bottom"/>
            <w:gridSpan w:val="3"/>
          </w:tcPr>
          <w:p>
            <w:pPr>
              <w:ind w:left="840"/>
              <w:spacing w:after="0"/>
              <w:rPr>
                <w:sz w:val="20"/>
                <w:szCs w:val="20"/>
                <w:color w:val="auto"/>
              </w:rPr>
            </w:pPr>
            <w:r>
              <w:rPr>
                <w:rFonts w:ascii="Arial" w:cs="Arial" w:eastAsia="Arial" w:hAnsi="Arial"/>
                <w:sz w:val="18"/>
                <w:szCs w:val="18"/>
                <w:color w:val="auto"/>
              </w:rPr>
              <w:t>[_______________, 20__].</w:t>
            </w:r>
          </w:p>
        </w:tc>
        <w:tc>
          <w:tcPr>
            <w:tcW w:w="160" w:type="dxa"/>
            <w:vAlign w:val="bottom"/>
            <w:tcBorders>
              <w:right w:val="single" w:sz="8" w:color="auto"/>
            </w:tcBorders>
          </w:tcPr>
          <w:p>
            <w:pPr>
              <w:spacing w:after="0"/>
              <w:rPr>
                <w:sz w:val="20"/>
                <w:szCs w:val="20"/>
                <w:color w:val="auto"/>
              </w:rPr>
            </w:pP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2013 RSUs</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[__________] of the Restricted Stock Units, plus any 2010, 2011 and 2012 RSUs that fail to vest on or</w:t>
            </w:r>
          </w:p>
        </w:tc>
      </w:tr>
      <w:tr>
        <w:trPr>
          <w:trHeight w:val="230"/>
        </w:trPr>
        <w:tc>
          <w:tcPr>
            <w:tcW w:w="358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5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before [_______________, 20__].</w:t>
            </w: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29"/>
        </w:trPr>
        <w:tc>
          <w:tcPr>
            <w:tcW w:w="35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2014 RSUs</w:t>
            </w: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[__________] of the Restricted Stock Units, plus any 2010, 2011, 2012 and 2013 RSUs that fail to vest</w:t>
            </w:r>
          </w:p>
        </w:tc>
      </w:tr>
      <w:tr>
        <w:trPr>
          <w:trHeight w:val="230"/>
        </w:trPr>
        <w:tc>
          <w:tcPr>
            <w:tcW w:w="358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5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on or before [_______________, 20__].</w:t>
            </w: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r>
      <w:tr>
        <w:trPr>
          <w:trHeight w:val="203"/>
        </w:trPr>
        <w:tc>
          <w:tcPr>
            <w:tcW w:w="3580" w:type="dxa"/>
            <w:vAlign w:val="bottom"/>
            <w:tcBorders>
              <w:left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Vesting Dates of Restricted Stock Units:</w:t>
            </w:r>
          </w:p>
        </w:tc>
        <w:tc>
          <w:tcPr>
            <w:tcW w:w="7840" w:type="dxa"/>
            <w:vAlign w:val="bottom"/>
            <w:tcBorders>
              <w:right w:val="single" w:sz="8" w:color="auto"/>
            </w:tcBorders>
            <w:gridSpan w:val="4"/>
          </w:tcPr>
          <w:p>
            <w:pPr>
              <w:ind w:left="20"/>
              <w:spacing w:after="0" w:line="202" w:lineRule="exact"/>
              <w:rPr>
                <w:sz w:val="20"/>
                <w:szCs w:val="20"/>
                <w:color w:val="auto"/>
              </w:rPr>
            </w:pPr>
            <w:r>
              <w:rPr>
                <w:rFonts w:ascii="Arial" w:cs="Arial" w:eastAsia="Arial" w:hAnsi="Arial"/>
                <w:sz w:val="18"/>
                <w:szCs w:val="18"/>
                <w:color w:val="auto"/>
              </w:rPr>
              <w:t>(1) 2010 RSUs.</w:t>
            </w:r>
          </w:p>
        </w:tc>
      </w:tr>
      <w:tr>
        <w:trPr>
          <w:trHeight w:val="20"/>
        </w:trPr>
        <w:tc>
          <w:tcPr>
            <w:tcW w:w="358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700" w:type="dxa"/>
            <w:vAlign w:val="bottom"/>
            <w:tcBorders>
              <w:left w:val="single" w:sz="8" w:color="auto"/>
              <w:right w:val="single" w:sz="8" w:color="auto"/>
            </w:tcBorders>
            <w:gridSpan w:val="2"/>
          </w:tcPr>
          <w:p>
            <w:pPr>
              <w:spacing w:after="0" w:line="20" w:lineRule="exact"/>
              <w:rPr>
                <w:sz w:val="1"/>
                <w:szCs w:val="1"/>
                <w:color w:val="auto"/>
              </w:rPr>
            </w:pPr>
          </w:p>
        </w:tc>
      </w:tr>
      <w:tr>
        <w:trPr>
          <w:trHeight w:val="222"/>
        </w:trPr>
        <w:tc>
          <w:tcPr>
            <w:tcW w:w="358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1"/>
              </w:rPr>
              <w:t>As to the 2010 RSUs, [_______________, 20__], provided that the Performance Goal is satisfied for 2010;</w:t>
            </w:r>
          </w:p>
        </w:tc>
      </w:tr>
      <w:tr>
        <w:trPr>
          <w:trHeight w:val="190"/>
        </w:trPr>
        <w:tc>
          <w:tcPr>
            <w:tcW w:w="3580" w:type="dxa"/>
            <w:vAlign w:val="bottom"/>
            <w:tcBorders>
              <w:left w:val="single" w:sz="8" w:color="auto"/>
              <w:right w:val="single" w:sz="8" w:color="auto"/>
            </w:tcBorders>
          </w:tcPr>
          <w:p>
            <w:pPr>
              <w:spacing w:after="0"/>
              <w:rPr>
                <w:sz w:val="16"/>
                <w:szCs w:val="16"/>
                <w:color w:val="auto"/>
              </w:rPr>
            </w:pPr>
          </w:p>
        </w:tc>
        <w:tc>
          <w:tcPr>
            <w:tcW w:w="7840" w:type="dxa"/>
            <w:vAlign w:val="bottom"/>
            <w:tcBorders>
              <w:right w:val="single" w:sz="8" w:color="auto"/>
            </w:tcBorders>
            <w:gridSpan w:val="4"/>
          </w:tcPr>
          <w:p>
            <w:pPr>
              <w:ind w:left="20"/>
              <w:spacing w:after="0" w:line="190" w:lineRule="exact"/>
              <w:rPr>
                <w:sz w:val="20"/>
                <w:szCs w:val="20"/>
                <w:color w:val="auto"/>
              </w:rPr>
            </w:pPr>
            <w:r>
              <w:rPr>
                <w:rFonts w:ascii="Arial" w:cs="Arial" w:eastAsia="Arial" w:hAnsi="Arial"/>
                <w:sz w:val="18"/>
                <w:szCs w:val="18"/>
                <w:color w:val="auto"/>
              </w:rPr>
              <w:t>(2) 2011 RSUs.</w:t>
            </w:r>
          </w:p>
        </w:tc>
      </w:tr>
      <w:tr>
        <w:trPr>
          <w:trHeight w:val="20"/>
        </w:trPr>
        <w:tc>
          <w:tcPr>
            <w:tcW w:w="358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700" w:type="dxa"/>
            <w:vAlign w:val="bottom"/>
            <w:tcBorders>
              <w:right w:val="single" w:sz="8" w:color="auto"/>
            </w:tcBorders>
            <w:gridSpan w:val="2"/>
          </w:tcPr>
          <w:p>
            <w:pPr>
              <w:spacing w:after="0" w:line="20" w:lineRule="exact"/>
              <w:rPr>
                <w:sz w:val="1"/>
                <w:szCs w:val="1"/>
                <w:color w:val="auto"/>
              </w:rPr>
            </w:pPr>
          </w:p>
        </w:tc>
      </w:tr>
      <w:tr>
        <w:trPr>
          <w:trHeight w:val="222"/>
        </w:trPr>
        <w:tc>
          <w:tcPr>
            <w:tcW w:w="358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1"/>
              </w:rPr>
              <w:t>As to the 2011 RSUs, [_______________, 20__], provided that the Performance Goal is satisfied for either</w:t>
            </w:r>
          </w:p>
        </w:tc>
      </w:tr>
      <w:tr>
        <w:trPr>
          <w:trHeight w:val="216"/>
        </w:trPr>
        <w:tc>
          <w:tcPr>
            <w:tcW w:w="3580" w:type="dxa"/>
            <w:vAlign w:val="bottom"/>
            <w:tcBorders>
              <w:left w:val="single" w:sz="8" w:color="auto"/>
              <w:right w:val="single" w:sz="8" w:color="auto"/>
            </w:tcBorders>
          </w:tcPr>
          <w:p>
            <w:pPr>
              <w:spacing w:after="0"/>
              <w:rPr>
                <w:sz w:val="18"/>
                <w:szCs w:val="18"/>
                <w:color w:val="auto"/>
              </w:rPr>
            </w:pP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2010 or 2011;</w:t>
            </w:r>
          </w:p>
        </w:tc>
      </w:tr>
      <w:tr>
        <w:trPr>
          <w:trHeight w:val="190"/>
        </w:trPr>
        <w:tc>
          <w:tcPr>
            <w:tcW w:w="3580" w:type="dxa"/>
            <w:vAlign w:val="bottom"/>
            <w:tcBorders>
              <w:left w:val="single" w:sz="8" w:color="auto"/>
              <w:right w:val="single" w:sz="8" w:color="auto"/>
            </w:tcBorders>
          </w:tcPr>
          <w:p>
            <w:pPr>
              <w:spacing w:after="0"/>
              <w:rPr>
                <w:sz w:val="16"/>
                <w:szCs w:val="16"/>
                <w:color w:val="auto"/>
              </w:rPr>
            </w:pPr>
          </w:p>
        </w:tc>
        <w:tc>
          <w:tcPr>
            <w:tcW w:w="7840" w:type="dxa"/>
            <w:vAlign w:val="bottom"/>
            <w:tcBorders>
              <w:right w:val="single" w:sz="8" w:color="auto"/>
            </w:tcBorders>
            <w:gridSpan w:val="4"/>
          </w:tcPr>
          <w:p>
            <w:pPr>
              <w:ind w:left="20"/>
              <w:spacing w:after="0" w:line="190" w:lineRule="exact"/>
              <w:rPr>
                <w:sz w:val="20"/>
                <w:szCs w:val="20"/>
                <w:color w:val="auto"/>
              </w:rPr>
            </w:pPr>
            <w:r>
              <w:rPr>
                <w:rFonts w:ascii="Arial" w:cs="Arial" w:eastAsia="Arial" w:hAnsi="Arial"/>
                <w:sz w:val="18"/>
                <w:szCs w:val="18"/>
                <w:color w:val="auto"/>
              </w:rPr>
              <w:t>(3) 2012 RSUs</w:t>
            </w:r>
          </w:p>
        </w:tc>
      </w:tr>
      <w:tr>
        <w:trPr>
          <w:trHeight w:val="20"/>
        </w:trPr>
        <w:tc>
          <w:tcPr>
            <w:tcW w:w="358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700" w:type="dxa"/>
            <w:vAlign w:val="bottom"/>
            <w:tcBorders>
              <w:left w:val="single" w:sz="8" w:color="auto"/>
              <w:right w:val="single" w:sz="8" w:color="auto"/>
            </w:tcBorders>
            <w:gridSpan w:val="2"/>
          </w:tcPr>
          <w:p>
            <w:pPr>
              <w:spacing w:after="0" w:line="20" w:lineRule="exact"/>
              <w:rPr>
                <w:sz w:val="1"/>
                <w:szCs w:val="1"/>
                <w:color w:val="auto"/>
              </w:rPr>
            </w:pPr>
          </w:p>
        </w:tc>
      </w:tr>
      <w:tr>
        <w:trPr>
          <w:trHeight w:val="222"/>
        </w:trPr>
        <w:tc>
          <w:tcPr>
            <w:tcW w:w="3580" w:type="dxa"/>
            <w:vAlign w:val="bottom"/>
            <w:tcBorders>
              <w:left w:val="single" w:sz="8" w:color="auto"/>
              <w:right w:val="single" w:sz="8" w:color="auto"/>
            </w:tcBorders>
          </w:tcPr>
          <w:p>
            <w:pPr>
              <w:spacing w:after="0"/>
              <w:rPr>
                <w:sz w:val="19"/>
                <w:szCs w:val="19"/>
                <w:color w:val="auto"/>
              </w:rPr>
            </w:pP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1"/>
              </w:rPr>
              <w:t>As to the 2012 RSUs, [_______________, 20__], provided that the Performance Goal is satisfied for any of</w:t>
            </w:r>
          </w:p>
        </w:tc>
      </w:tr>
      <w:tr>
        <w:trPr>
          <w:trHeight w:val="230"/>
        </w:trPr>
        <w:tc>
          <w:tcPr>
            <w:tcW w:w="3580" w:type="dxa"/>
            <w:vAlign w:val="bottom"/>
            <w:tcBorders>
              <w:left w:val="single" w:sz="8" w:color="auto"/>
              <w:right w:val="single" w:sz="8" w:color="auto"/>
            </w:tcBorders>
          </w:tcPr>
          <w:p>
            <w:pPr>
              <w:spacing w:after="0"/>
              <w:rPr>
                <w:sz w:val="20"/>
                <w:szCs w:val="20"/>
                <w:color w:val="auto"/>
              </w:rPr>
            </w:pPr>
          </w:p>
        </w:tc>
        <w:tc>
          <w:tcPr>
            <w:tcW w:w="78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2010, 2011 or 2012;</w:t>
            </w:r>
          </w:p>
        </w:tc>
      </w:tr>
      <w:tr>
        <w:trPr>
          <w:trHeight w:val="34"/>
        </w:trPr>
        <w:tc>
          <w:tcPr>
            <w:tcW w:w="358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604"/>
        </w:trPr>
        <w:tc>
          <w:tcPr>
            <w:tcW w:w="35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Long-Term Incentive Awards Summary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492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92250"/>
                    </a:xfrm>
                    <a:prstGeom prst="rect">
                      <a:avLst/>
                    </a:prstGeom>
                    <a:noFill/>
                  </pic:spPr>
                </pic:pic>
              </a:graphicData>
            </a:graphic>
          </wp:anchor>
        </w:drawing>
      </w:r>
    </w:p>
    <w:p>
      <w:pPr>
        <w:spacing w:after="0" w:line="272" w:lineRule="exact"/>
        <w:rPr>
          <w:sz w:val="20"/>
          <w:szCs w:val="20"/>
          <w:color w:val="auto"/>
        </w:rPr>
      </w:pPr>
    </w:p>
    <w:p>
      <w:pPr>
        <w:ind w:left="3900" w:hanging="300"/>
        <w:spacing w:after="0"/>
        <w:tabs>
          <w:tab w:leader="none" w:pos="39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2013 RSUs</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As to the 2013 RSUs, [_______________, 20__], provided that the Performance Goal is satisfied for any of</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2010, 2011, 2012 or 2013;</w:t>
      </w:r>
    </w:p>
    <w:p>
      <w:pPr>
        <w:spacing w:after="0" w:line="9" w:lineRule="exact"/>
        <w:rPr>
          <w:sz w:val="20"/>
          <w:szCs w:val="20"/>
          <w:color w:val="auto"/>
        </w:rPr>
      </w:pPr>
    </w:p>
    <w:p>
      <w:pPr>
        <w:ind w:left="3900" w:hanging="300"/>
        <w:spacing w:after="0"/>
        <w:tabs>
          <w:tab w:leader="none" w:pos="39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2014 RSUs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As to the 2014 RSUs, [_______________, 20__], provided that the Performance Goal is satisfied for any of</w:t>
      </w:r>
    </w:p>
    <w:p>
      <w:pPr>
        <w:spacing w:after="0" w:line="3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2010, 2011, 2012, 2013 or 2014;</w:t>
      </w:r>
    </w:p>
    <w:p>
      <w:pPr>
        <w:spacing w:after="0" w:line="76" w:lineRule="exact"/>
        <w:rPr>
          <w:sz w:val="20"/>
          <w:szCs w:val="20"/>
          <w:color w:val="auto"/>
        </w:rPr>
      </w:pPr>
    </w:p>
    <w:p>
      <w:pPr>
        <w:ind w:left="3600" w:right="240"/>
        <w:spacing w:after="0" w:line="291" w:lineRule="auto"/>
        <w:rPr>
          <w:sz w:val="20"/>
          <w:szCs w:val="20"/>
          <w:color w:val="auto"/>
        </w:rPr>
      </w:pPr>
      <w:r>
        <w:rPr>
          <w:rFonts w:ascii="Arial" w:cs="Arial" w:eastAsia="Arial" w:hAnsi="Arial"/>
          <w:sz w:val="16"/>
          <w:szCs w:val="16"/>
          <w:color w:val="auto"/>
        </w:rPr>
        <w:t>Notwithstanding anything herein to the contrary, to the extent a Vesting Date for any 2014 RSUs has not occurred on or prior to [_______________, 20__], such 2014 RSUs which have not vested and become</w:t>
      </w:r>
    </w:p>
    <w:p>
      <w:pPr>
        <w:ind w:left="3600" w:right="320"/>
        <w:spacing w:after="0" w:line="261" w:lineRule="auto"/>
        <w:rPr>
          <w:sz w:val="20"/>
          <w:szCs w:val="20"/>
          <w:color w:val="auto"/>
        </w:rPr>
      </w:pPr>
      <w:r>
        <w:rPr>
          <w:rFonts w:ascii="Arial" w:cs="Arial" w:eastAsia="Arial" w:hAnsi="Arial"/>
          <w:sz w:val="18"/>
          <w:szCs w:val="18"/>
          <w:color w:val="auto"/>
        </w:rPr>
        <w:t>nonforfeitable shall immediately and automatically, without any action on the part of the Grantee or the Company, be forfeited by the Grantee and deemed canceled.</w:t>
      </w:r>
    </w:p>
    <w:sectPr>
      <w:pgSz w:w="11900" w:h="16838" w:orient="portrait"/>
      <w:cols w:equalWidth="0" w:num="1">
        <w:col w:w="11360"/>
      </w:cols>
      <w:pgMar w:left="24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o"/>
      <w:numFmt w:val="bullet"/>
      <w:start w:val="1"/>
    </w:lvl>
  </w:abstractNum>
  <w:abstractNum w:abstractNumId="1">
    <w:nsid w:val="D34B6A8"/>
    <w:multiLevelType w:val="hybridMultilevel"/>
    <w:lvl w:ilvl="0">
      <w:lvlJc w:val="left"/>
      <w:lvlText w:val="%1."/>
      <w:numFmt w:val="decimal"/>
      <w:start w:val="1"/>
    </w:lvl>
  </w:abstractNum>
  <w:abstractNum w:abstractNumId="2">
    <w:nsid w:val="10233C99"/>
    <w:multiLevelType w:val="hybridMultilevel"/>
    <w:lvl w:ilvl="0">
      <w:lvlJc w:val="left"/>
      <w:lvlText w:val="(%1)"/>
      <w:numFmt w:val="lowerLetter"/>
      <w:start w:val="1"/>
    </w:lvl>
  </w:abstractNum>
  <w:abstractNum w:abstractNumId="3">
    <w:nsid w:val="3F6AB60F"/>
    <w:multiLevelType w:val="hybridMultilevel"/>
    <w:lvl w:ilvl="0">
      <w:lvlJc w:val="left"/>
      <w:lvlText w:val="%1"/>
      <w:numFmt w:val="decimal"/>
      <w:start w:val="1"/>
    </w:lvl>
    <w:lvl w:ilvl="1">
      <w:lvlJc w:val="left"/>
      <w:lvlText w:val="(%2)"/>
      <w:numFmt w:val="lowerLetter"/>
      <w:start w:val="3"/>
    </w:lvl>
  </w:abstractNum>
  <w:abstractNum w:abstractNumId="4">
    <w:nsid w:val="61574095"/>
    <w:multiLevelType w:val="hybridMultilevel"/>
    <w:lvl w:ilvl="0">
      <w:lvlJc w:val="left"/>
      <w:lvlText w:val="%1."/>
      <w:numFmt w:val="decimal"/>
      <w:start w:val="2"/>
    </w:lvl>
    <w:lvl w:ilvl="1">
      <w:lvlJc w:val="left"/>
      <w:lvlText w:val="%2"/>
      <w:numFmt w:val="lowerLetter"/>
      <w:start w:val="1"/>
    </w:lvl>
  </w:abstractNum>
  <w:abstractNum w:abstractNumId="5">
    <w:nsid w:val="7E0C57B1"/>
    <w:multiLevelType w:val="hybridMultilevel"/>
    <w:lvl w:ilvl="0">
      <w:lvlJc w:val="left"/>
      <w:lvlText w:val="%1."/>
      <w:numFmt w:val="decimal"/>
      <w:start w:val="3"/>
    </w:lvl>
  </w:abstractNum>
  <w:abstractNum w:abstractNumId="6">
    <w:nsid w:val="77AE35E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
    <w:nsid w:val="579BE4F1"/>
    <w:multiLevelType w:val="hybridMultilevel"/>
    <w:lvl w:ilvl="0">
      <w:lvlJc w:val="left"/>
      <w:lvlText w:val="(%1)"/>
      <w:numFmt w:val="lowerLetter"/>
      <w:start w:val="5"/>
    </w:lvl>
    <w:lvl w:ilvl="1">
      <w:lvlJc w:val="left"/>
      <w:lvlText w:val="(%2)"/>
      <w:numFmt w:val="lowerRoman"/>
      <w:start w:val="1"/>
    </w:lvl>
  </w:abstractNum>
  <w:abstractNum w:abstractNumId="8">
    <w:nsid w:val="310C50B3"/>
    <w:multiLevelType w:val="hybridMultilevel"/>
    <w:lvl w:ilvl="0">
      <w:lvlJc w:val="left"/>
      <w:lvlText w:val="%1."/>
      <w:numFmt w:val="decimal"/>
      <w:start w:val="4"/>
    </w:lvl>
  </w:abstractNum>
  <w:abstractNum w:abstractNumId="9">
    <w:nsid w:val="5FF87E05"/>
    <w:multiLevelType w:val="hybridMultilevel"/>
    <w:lvl w:ilvl="0">
      <w:lvlJc w:val="left"/>
      <w:lvlText w:val="(%1)"/>
      <w:numFmt w:val="lowerLetter"/>
      <w:start w:val="1"/>
    </w:lvl>
    <w:lvl w:ilvl="1">
      <w:lvlJc w:val="left"/>
      <w:lvlText w:val="(%2)"/>
      <w:numFmt w:val="lowerRoman"/>
      <w:start w:val="1"/>
    </w:lvl>
  </w:abstractNum>
  <w:abstractNum w:abstractNumId="10">
    <w:nsid w:val="2F305DE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1">
    <w:nsid w:val="25A70BF7"/>
    <w:multiLevelType w:val="hybridMultilevel"/>
    <w:lvl w:ilvl="0">
      <w:lvlJc w:val="left"/>
      <w:lvlText w:val="%1"/>
      <w:numFmt w:val="decimal"/>
      <w:start w:val="1"/>
    </w:lvl>
    <w:lvl w:ilvl="1">
      <w:lvlJc w:val="left"/>
      <w:lvlText w:val="(%2)"/>
      <w:numFmt w:val="lowerRoman"/>
      <w:start w:val="2"/>
    </w:lvl>
  </w:abstractNum>
  <w:abstractNum w:abstractNumId="12">
    <w:nsid w:val="1DBABF00"/>
    <w:multiLevelType w:val="hybridMultilevel"/>
    <w:lvl w:ilvl="0">
      <w:lvlJc w:val="left"/>
      <w:lvlText w:val="%1."/>
      <w:numFmt w:val="decimal"/>
      <w:start w:val="8"/>
    </w:lvl>
    <w:lvl w:ilvl="1">
      <w:lvlJc w:val="left"/>
      <w:lvlText w:val="%2"/>
      <w:numFmt w:val="lowerRoman"/>
      <w:start w:val="1"/>
    </w:lvl>
  </w:abstractNum>
  <w:abstractNum w:abstractNumId="13">
    <w:nsid w:val="4AD084E9"/>
    <w:multiLevelType w:val="hybridMultilevel"/>
    <w:lvl w:ilvl="0">
      <w:lvlJc w:val="left"/>
      <w:lvlText w:val="(%1)"/>
      <w:numFmt w:val="lowerLetter"/>
      <w:start w:val="1"/>
    </w:lvl>
    <w:lvl w:ilvl="1">
      <w:lvlJc w:val="left"/>
      <w:lvlText w:val="(%2)"/>
      <w:numFmt w:val="lowerRoman"/>
      <w:start w:val="2"/>
    </w:lvl>
  </w:abstractNum>
  <w:abstractNum w:abstractNumId="14">
    <w:nsid w:val="1F48EAA1"/>
    <w:multiLevelType w:val="hybridMultilevel"/>
    <w:lvl w:ilvl="0">
      <w:lvlJc w:val="left"/>
      <w:lvlText w:val="%1"/>
      <w:numFmt w:val="lowerLetter"/>
      <w:start w:val="1"/>
    </w:lvl>
    <w:lvl w:ilvl="1">
      <w:lvlJc w:val="left"/>
      <w:lvlText w:val="(%2)"/>
      <w:numFmt w:val="lowerLetter"/>
      <w:start w:val="22"/>
    </w:lvl>
  </w:abstractNum>
  <w:abstractNum w:abstractNumId="15">
    <w:nsid w:val="1381823A"/>
    <w:multiLevelType w:val="hybridMultilevel"/>
    <w:lvl w:ilvl="0">
      <w:lvlJc w:val="left"/>
      <w:lvlText w:val="(%1)"/>
      <w:numFmt w:val="lowerLetter"/>
      <w:start w:val="3"/>
    </w:lvl>
    <w:lvl w:ilvl="1">
      <w:lvlJc w:val="left"/>
      <w:lvlText w:val="%2"/>
      <w:numFmt w:val="lowerLetter"/>
      <w:start w:val="1"/>
    </w:lvl>
  </w:abstractNum>
  <w:abstractNum w:abstractNumId="16">
    <w:nsid w:val="5DB70AE5"/>
    <w:multiLevelType w:val="hybridMultilevel"/>
    <w:lvl w:ilvl="0">
      <w:lvlJc w:val="left"/>
      <w:lvlText w:val="(%1)"/>
      <w:numFmt w:val="lowerLetter"/>
      <w:start w:val="5"/>
    </w:lvl>
  </w:abstractNum>
  <w:abstractNum w:abstractNumId="17">
    <w:nsid w:val="100F8FCA"/>
    <w:multiLevelType w:val="hybridMultilevel"/>
    <w:lvl w:ilvl="0">
      <w:lvlJc w:val="left"/>
      <w:lvlText w:val="%1."/>
      <w:numFmt w:val="decimal"/>
      <w:start w:val="9"/>
    </w:lvl>
    <w:lvl w:ilvl="1">
      <w:lvlJc w:val="left"/>
      <w:lvlText w:val="(%2)"/>
      <w:numFmt w:val="lowerLetter"/>
      <w:start w:val="1"/>
    </w:lvl>
  </w:abstractNum>
  <w:abstractNum w:abstractNumId="18">
    <w:nsid w:val="6590700B"/>
    <w:multiLevelType w:val="hybridMultilevel"/>
    <w:lvl w:ilvl="0">
      <w:lvlJc w:val="left"/>
      <w:lvlText w:val="(%1)"/>
      <w:numFmt w:val="lowerRoman"/>
      <w:start w:val="1"/>
    </w:lvl>
  </w:abstractNum>
  <w:abstractNum w:abstractNumId="19">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20">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1">
    <w:nsid w:val="98A3148"/>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
    <w:nsid w:val="799D02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3">
    <w:nsid w:val="6B94764"/>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24">
    <w:nsid w:val="42C296BD"/>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abstractNum>
  <w:abstractNum w:abstractNumId="25">
    <w:nsid w:val="168E121F"/>
    <w:multiLevelType w:val="hybridMultilevel"/>
    <w:lvl w:ilvl="0">
      <w:lvlJc w:val="left"/>
      <w:lvlText w:val="%1."/>
      <w:numFmt w:val="decimal"/>
      <w:start w:val="17"/>
    </w:lvl>
  </w:abstractNum>
  <w:abstractNum w:abstractNumId="26">
    <w:nsid w:val="1EBA5D23"/>
    <w:multiLevelType w:val="hybridMultilevel"/>
    <w:lvl w:ilvl="0">
      <w:lvlJc w:val="left"/>
      <w:lvlText w:val="%1."/>
      <w:numFmt w:val="decimal"/>
      <w:start w:val="20"/>
    </w:lvl>
  </w:abstractNum>
  <w:abstractNum w:abstractNumId="27">
    <w:nsid w:val="661E3F1E"/>
    <w:multiLevelType w:val="hybridMultilevel"/>
    <w:lvl w:ilvl="0">
      <w:lvlJc w:val="left"/>
      <w:lvlText w:val="%1."/>
      <w:numFmt w:val="decimal"/>
      <w:start w:val="2"/>
    </w:lvl>
  </w:abstractNum>
  <w:abstractNum w:abstractNumId="28">
    <w:nsid w:val="5DC79EA8"/>
    <w:multiLevelType w:val="hybridMultilevel"/>
    <w:lvl w:ilvl="0">
      <w:lvlJc w:val="left"/>
      <w:lvlText w:val="%1."/>
      <w:numFmt w:val="upperLetter"/>
      <w:start w:val="1"/>
    </w:lvl>
  </w:abstractNum>
  <w:abstractNum w:abstractNumId="29">
    <w:nsid w:val="540A471C"/>
    <w:multiLevelType w:val="hybridMultilevel"/>
    <w:lvl w:ilvl="0">
      <w:lvlJc w:val="left"/>
      <w:lvlText w:val="%1."/>
      <w:numFmt w:val="upperLetter"/>
      <w:start w:val="4"/>
    </w:lvl>
  </w:abstractNum>
  <w:abstractNum w:abstractNumId="30">
    <w:nsid w:val="7BD3EE7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2">
    <w:nsid w:val="613EFDC5"/>
    <w:multiLevelType w:val="hybridMultilevel"/>
    <w:lvl w:ilvl="0">
      <w:lvlJc w:val="left"/>
      <w:lvlText w:val="%1."/>
      <w:numFmt w:val="decimal"/>
      <w:start w:val="2"/>
    </w:lvl>
  </w:abstractNum>
  <w:abstractNum w:abstractNumId="33">
    <w:nsid w:val="BF72B14"/>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34">
    <w:nsid w:val="11447B73"/>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5">
    <w:nsid w:val="42963E5A"/>
    <w:multiLevelType w:val="hybridMultilevel"/>
    <w:lvl w:ilvl="0">
      <w:lvlJc w:val="left"/>
      <w:lvlText w:val="(%1)"/>
      <w:numFmt w:val="lowerLetter"/>
      <w:start w:val="5"/>
    </w:lvl>
    <w:lvl w:ilvl="1">
      <w:lvlJc w:val="left"/>
      <w:lvlText w:val="(%2)"/>
      <w:numFmt w:val="lowerRoman"/>
      <w:start w:val="1"/>
    </w:lvl>
  </w:abstractNum>
  <w:abstractNum w:abstractNumId="36">
    <w:nsid w:val="A0382C5"/>
    <w:multiLevelType w:val="hybridMultilevel"/>
    <w:lvl w:ilvl="0">
      <w:lvlJc w:val="left"/>
      <w:lvlText w:val="%1."/>
      <w:numFmt w:val="decimal"/>
      <w:start w:val="4"/>
    </w:lvl>
  </w:abstractNum>
  <w:abstractNum w:abstractNumId="37">
    <w:nsid w:val="8F2B15E"/>
    <w:multiLevelType w:val="hybridMultilevel"/>
    <w:lvl w:ilvl="0">
      <w:lvlJc w:val="left"/>
      <w:lvlText w:val="(%1)"/>
      <w:numFmt w:val="lowerLetter"/>
      <w:start w:val="1"/>
    </w:lvl>
  </w:abstractNum>
  <w:abstractNum w:abstractNumId="38">
    <w:nsid w:val="1A32234B"/>
    <w:multiLevelType w:val="hybridMultilevel"/>
    <w:lvl w:ilvl="0">
      <w:lvlJc w:val="left"/>
      <w:lvlText w:val="(%1)"/>
      <w:numFmt w:val="lowerLetter"/>
      <w:start w:val="2"/>
    </w:lvl>
    <w:lvl w:ilvl="1">
      <w:lvlJc w:val="left"/>
      <w:lvlText w:val="%2."/>
      <w:numFmt w:val="decimal"/>
      <w:start w:val="6"/>
    </w:lvl>
    <w:lvl w:ilvl="2">
      <w:lvlJc w:val="left"/>
      <w:lvlText w:val="(%3)"/>
      <w:numFmt w:val="lowerRoman"/>
      <w:start w:val="1"/>
    </w:lvl>
  </w:abstractNum>
  <w:abstractNum w:abstractNumId="39">
    <w:nsid w:val="3B0FD379"/>
    <w:multiLevelType w:val="hybridMultilevel"/>
    <w:lvl w:ilvl="0">
      <w:lvlJc w:val="left"/>
      <w:lvlText w:val="(%1)"/>
      <w:numFmt w:val="lowerLetter"/>
      <w:start w:val="1"/>
    </w:lvl>
  </w:abstractNum>
  <w:abstractNum w:abstractNumId="40">
    <w:nsid w:val="68EB2F63"/>
    <w:multiLevelType w:val="hybridMultilevel"/>
    <w:lvl w:ilvl="0">
      <w:lvlJc w:val="left"/>
      <w:lvlText w:val="(%1)"/>
      <w:numFmt w:val="lowerLetter"/>
      <w:start w:val="2"/>
    </w:lvl>
    <w:lvl w:ilvl="1">
      <w:lvlJc w:val="left"/>
      <w:lvlText w:val="(%2)"/>
      <w:numFmt w:val="lowerLetter"/>
      <w:start w:val="9"/>
    </w:lvl>
  </w:abstractNum>
  <w:abstractNum w:abstractNumId="41">
    <w:nsid w:val="4962813B"/>
    <w:multiLevelType w:val="hybridMultilevel"/>
    <w:lvl w:ilvl="0">
      <w:lvlJc w:val="left"/>
      <w:lvlText w:val="%1"/>
      <w:numFmt w:val="decimal"/>
      <w:start w:val="1"/>
    </w:lvl>
    <w:lvl w:ilvl="1">
      <w:lvlJc w:val="left"/>
      <w:lvlText w:val="(%2)"/>
      <w:numFmt w:val="lowerRoman"/>
      <w:start w:val="2"/>
    </w:lvl>
  </w:abstractNum>
  <w:abstractNum w:abstractNumId="42">
    <w:nsid w:val="60B6DF70"/>
    <w:multiLevelType w:val="hybridMultilevel"/>
    <w:lvl w:ilvl="0">
      <w:lvlJc w:val="left"/>
      <w:lvlText w:val="%1."/>
      <w:numFmt w:val="decimal"/>
      <w:start w:val="8"/>
    </w:lvl>
    <w:lvl w:ilvl="1">
      <w:lvlJc w:val="left"/>
      <w:lvlText w:val="%2"/>
      <w:numFmt w:val="lowerRoman"/>
      <w:start w:val="1"/>
    </w:lvl>
  </w:abstractNum>
  <w:abstractNum w:abstractNumId="43">
    <w:nsid w:val="6A5EE64"/>
    <w:multiLevelType w:val="hybridMultilevel"/>
    <w:lvl w:ilvl="0">
      <w:lvlJc w:val="left"/>
      <w:lvlText w:val="(%1)"/>
      <w:numFmt w:val="lowerLetter"/>
      <w:start w:val="1"/>
    </w:lvl>
    <w:lvl w:ilvl="1">
      <w:lvlJc w:val="left"/>
      <w:lvlText w:val="(%2)"/>
      <w:numFmt w:val="lowerRoman"/>
      <w:start w:val="2"/>
    </w:lvl>
  </w:abstractNum>
  <w:abstractNum w:abstractNumId="44">
    <w:nsid w:val="14330624"/>
    <w:multiLevelType w:val="hybridMultilevel"/>
    <w:lvl w:ilvl="0">
      <w:lvlJc w:val="left"/>
      <w:lvlText w:val="(%1)"/>
      <w:numFmt w:val="lowerLetter"/>
      <w:start w:val="3"/>
    </w:lvl>
  </w:abstractNum>
  <w:abstractNum w:abstractNumId="45">
    <w:nsid w:val="7FFFCA11"/>
    <w:multiLevelType w:val="hybridMultilevel"/>
    <w:lvl w:ilvl="0">
      <w:lvlJc w:val="left"/>
      <w:lvlText w:val="(%1)"/>
      <w:numFmt w:val="lowerLetter"/>
      <w:start w:val="5"/>
    </w:lvl>
  </w:abstractNum>
  <w:abstractNum w:abstractNumId="46">
    <w:nsid w:val="1A27709E"/>
    <w:multiLevelType w:val="hybridMultilevel"/>
    <w:lvl w:ilvl="0">
      <w:lvlJc w:val="left"/>
      <w:lvlText w:val="%1."/>
      <w:numFmt w:val="decimal"/>
      <w:start w:val="9"/>
    </w:lvl>
    <w:lvl w:ilvl="1">
      <w:lvlJc w:val="left"/>
      <w:lvlText w:val="(%2)"/>
      <w:numFmt w:val="lowerLetter"/>
      <w:start w:val="1"/>
    </w:lvl>
  </w:abstractNum>
  <w:abstractNum w:abstractNumId="47">
    <w:nsid w:val="71EA1109"/>
    <w:multiLevelType w:val="hybridMultilevel"/>
    <w:lvl w:ilvl="0">
      <w:lvlJc w:val="left"/>
      <w:lvlText w:val="(%1)"/>
      <w:numFmt w:val="lowerRoman"/>
      <w:start w:val="1"/>
    </w:lvl>
  </w:abstractNum>
  <w:abstractNum w:abstractNumId="48">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9">
    <w:nsid w:val="7FB7E0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
    <w:nsid w:val="6EB5BD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1">
    <w:nsid w:val="6F6DD9AC"/>
    <w:multiLevelType w:val="hybridMultilevel"/>
    <w:lvl w:ilvl="0">
      <w:lvlJc w:val="left"/>
      <w:lvlText w:val="%1"/>
      <w:numFmt w:val="decimal"/>
      <w:start w:val="1"/>
    </w:lvl>
    <w:lvl w:ilvl="1">
      <w:lvlJc w:val="left"/>
      <w:lvlText w:val="(%2)"/>
      <w:numFmt w:val="lowerLetter"/>
      <w:start w:val="4"/>
    </w:lvl>
  </w:abstractNum>
  <w:abstractNum w:abstractNumId="52">
    <w:nsid w:val="94211F2"/>
    <w:multiLevelType w:val="hybridMultilevel"/>
    <w:lvl w:ilvl="0">
      <w:lvlJc w:val="left"/>
      <w:lvlText w:val="%1."/>
      <w:numFmt w:val="decimal"/>
      <w:start w:val="14"/>
    </w:lvl>
    <w:lvl w:ilvl="1">
      <w:lvlJc w:val="left"/>
      <w:lvlText w:val="(%2)"/>
      <w:numFmt w:val="lowerLetter"/>
      <w:start w:val="1"/>
    </w:lvl>
  </w:abstractNum>
  <w:abstractNum w:abstractNumId="53">
    <w:nsid w:val="885E1B"/>
    <w:multiLevelType w:val="hybridMultilevel"/>
    <w:lvl w:ilvl="0">
      <w:lvlJc w:val="left"/>
      <w:lvlText w:val="%1."/>
      <w:numFmt w:val="decimal"/>
      <w:start w:val="17"/>
    </w:lvl>
  </w:abstractNum>
  <w:abstractNum w:abstractNumId="54">
    <w:nsid w:val="76272110"/>
    <w:multiLevelType w:val="hybridMultilevel"/>
    <w:lvl w:ilvl="0">
      <w:lvlJc w:val="left"/>
      <w:lvlText w:val="%1."/>
      <w:numFmt w:val="decimal"/>
      <w:start w:val="20"/>
    </w:lvl>
  </w:abstractNum>
  <w:abstractNum w:abstractNumId="55">
    <w:nsid w:val="4C04A8AF"/>
    <w:multiLevelType w:val="hybridMultilevel"/>
    <w:lvl w:ilvl="0">
      <w:lvlJc w:val="left"/>
      <w:lvlText w:val="%1."/>
      <w:numFmt w:val="decimal"/>
      <w:start w:val="2"/>
    </w:lvl>
  </w:abstractNum>
  <w:abstractNum w:abstractNumId="56">
    <w:nsid w:val="1716703B"/>
    <w:multiLevelType w:val="hybridMultilevel"/>
    <w:lvl w:ilvl="0">
      <w:lvlJc w:val="left"/>
      <w:lvlText w:val="%1."/>
      <w:numFmt w:val="upperLetter"/>
      <w:start w:val="1"/>
    </w:lvl>
  </w:abstractNum>
  <w:abstractNum w:abstractNumId="57">
    <w:nsid w:val="14E17E33"/>
    <w:multiLevelType w:val="hybridMultilevel"/>
    <w:lvl w:ilvl="0">
      <w:lvlJc w:val="left"/>
      <w:lvlText w:val="%1."/>
      <w:numFmt w:val="upperLetter"/>
      <w:start w:val="4"/>
    </w:lvl>
  </w:abstractNum>
  <w:abstractNum w:abstractNumId="58">
    <w:nsid w:val="3222E7CD"/>
    <w:multiLevelType w:val="hybridMultilevel"/>
    <w:lvl w:ilvl="0">
      <w:lvlJc w:val="left"/>
      <w:lvlText w:val="%1."/>
      <w:numFmt w:val="decimal"/>
      <w:start w:val="1"/>
    </w:lvl>
  </w:abstractNum>
  <w:abstractNum w:abstractNumId="59">
    <w:nsid w:val="74DE0EE3"/>
    <w:multiLevelType w:val="hybridMultilevel"/>
    <w:lvl w:ilvl="0">
      <w:lvlJc w:val="left"/>
      <w:lvlText w:val="(%1)"/>
      <w:numFmt w:val="lowerLetter"/>
      <w:start w:val="1"/>
    </w:lvl>
  </w:abstractNum>
  <w:abstractNum w:abstractNumId="60">
    <w:nsid w:val="68EBC550"/>
    <w:multiLevelType w:val="hybridMultilevel"/>
    <w:lvl w:ilvl="0">
      <w:lvlJc w:val="left"/>
      <w:lvlText w:val="%1."/>
      <w:numFmt w:val="decimal"/>
      <w:start w:val="2"/>
    </w:lvl>
  </w:abstractNum>
  <w:abstractNum w:abstractNumId="61">
    <w:nsid w:val="2DF6D648"/>
    <w:multiLevelType w:val="hybridMultilevel"/>
    <w:lvl w:ilvl="0">
      <w:lvlJc w:val="left"/>
      <w:lvlText w:val="%1."/>
      <w:numFmt w:val="decimal"/>
      <w:start w:val="3"/>
    </w:lvl>
  </w:abstractNum>
  <w:abstractNum w:abstractNumId="62">
    <w:nsid w:val="46B7D447"/>
    <w:multiLevelType w:val="hybridMultilevel"/>
    <w:lvl w:ilvl="0">
      <w:lvlJc w:val="left"/>
      <w:lvlText w:val="(%1)"/>
      <w:numFmt w:val="lowerLetter"/>
      <w:start w:val="1"/>
    </w:lvl>
  </w:abstractNum>
  <w:abstractNum w:abstractNumId="63">
    <w:nsid w:val="4A2AC315"/>
    <w:multiLevelType w:val="hybridMultilevel"/>
    <w:lvl w:ilvl="0">
      <w:lvlJc w:val="left"/>
      <w:lvlText w:val="(%1)"/>
      <w:numFmt w:val="lowerRoman"/>
      <w:start w:val="1"/>
    </w:lvl>
  </w:abstractNum>
  <w:abstractNum w:abstractNumId="64">
    <w:nsid w:val="39EE015C"/>
    <w:multiLevelType w:val="hybridMultilevel"/>
    <w:lvl w:ilvl="0">
      <w:lvlJc w:val="left"/>
      <w:lvlText w:val="(%1)"/>
      <w:numFmt w:val="upperLetter"/>
      <w:start w:val="1"/>
    </w:lvl>
  </w:abstractNum>
  <w:abstractNum w:abstractNumId="65">
    <w:nsid w:val="57FC4FBB"/>
    <w:multiLevelType w:val="hybridMultilevel"/>
    <w:lvl w:ilvl="0">
      <w:lvlJc w:val="left"/>
      <w:lvlText w:val="(%1)"/>
      <w:numFmt w:val="lowerLetter"/>
      <w:start w:val="35"/>
    </w:lvl>
    <w:lvl w:ilvl="1">
      <w:lvlJc w:val="left"/>
      <w:lvlText w:val="(%2)"/>
      <w:numFmt w:val="lowerLetter"/>
      <w:start w:val="3"/>
    </w:lvl>
  </w:abstractNum>
  <w:abstractNum w:abstractNumId="66">
    <w:nsid w:val="CC1016F"/>
    <w:multiLevelType w:val="hybridMultilevel"/>
    <w:lvl w:ilvl="0">
      <w:lvlJc w:val="left"/>
      <w:lvlText w:val="(%1)"/>
      <w:numFmt w:val="lowerRoman"/>
      <w:start w:val="1"/>
    </w:lvl>
  </w:abstractNum>
  <w:abstractNum w:abstractNumId="67">
    <w:nsid w:val="43F18422"/>
    <w:multiLevelType w:val="hybridMultilevel"/>
    <w:lvl w:ilvl="0">
      <w:lvlJc w:val="left"/>
      <w:lvlText w:val="%1."/>
      <w:numFmt w:val="decimal"/>
      <w:start w:val="4"/>
    </w:lvl>
  </w:abstractNum>
  <w:abstractNum w:abstractNumId="68">
    <w:nsid w:val="60EF0119"/>
    <w:multiLevelType w:val="hybridMultilevel"/>
    <w:lvl w:ilvl="0">
      <w:lvlJc w:val="left"/>
      <w:lvlText w:val="(%1)"/>
      <w:numFmt w:val="lowerRoman"/>
      <w:start w:val="1"/>
    </w:lvl>
  </w:abstractNum>
  <w:abstractNum w:abstractNumId="69">
    <w:nsid w:val="26F324BA"/>
    <w:multiLevelType w:val="hybridMultilevel"/>
    <w:lvl w:ilvl="0">
      <w:lvlJc w:val="left"/>
      <w:lvlText w:val="%1."/>
      <w:numFmt w:val="decimal"/>
      <w:start w:val="5"/>
    </w:lvl>
  </w:abstractNum>
  <w:abstractNum w:abstractNumId="70">
    <w:nsid w:val="7F01579B"/>
    <w:multiLevelType w:val="hybridMultilevel"/>
    <w:lvl w:ilvl="0">
      <w:lvlJc w:val="left"/>
      <w:lvlText w:val="(%1)"/>
      <w:numFmt w:val="lowerLetter"/>
      <w:start w:val="1"/>
    </w:lvl>
  </w:abstractNum>
  <w:abstractNum w:abstractNumId="71">
    <w:nsid w:val="49DA307D"/>
    <w:multiLevelType w:val="hybridMultilevel"/>
    <w:lvl w:ilvl="0">
      <w:lvlJc w:val="left"/>
      <w:lvlText w:val="(%1)"/>
      <w:numFmt w:val="lowerLetter"/>
      <w:start w:val="3"/>
    </w:lvl>
  </w:abstractNum>
  <w:abstractNum w:abstractNumId="72">
    <w:nsid w:val="7055A5F5"/>
    <w:multiLevelType w:val="hybridMultilevel"/>
    <w:lvl w:ilvl="0">
      <w:lvlJc w:val="left"/>
      <w:lvlText w:val="(%1)"/>
      <w:numFmt w:val="lowerRoman"/>
      <w:start w:val="1"/>
    </w:lvl>
  </w:abstractNum>
  <w:abstractNum w:abstractNumId="73">
    <w:nsid w:val="5FB8370B"/>
    <w:multiLevelType w:val="hybridMultilevel"/>
    <w:lvl w:ilvl="0">
      <w:lvlJc w:val="left"/>
      <w:lvlText w:val="(%1)"/>
      <w:numFmt w:val="lowerLetter"/>
      <w:start w:val="4"/>
    </w:lvl>
  </w:abstractNum>
  <w:abstractNum w:abstractNumId="74">
    <w:nsid w:val="50801EE1"/>
    <w:multiLevelType w:val="hybridMultilevel"/>
    <w:lvl w:ilvl="0">
      <w:lvlJc w:val="left"/>
      <w:lvlText w:val="(%1)"/>
      <w:numFmt w:val="lowerRoman"/>
      <w:start w:val="1"/>
    </w:lvl>
  </w:abstractNum>
  <w:abstractNum w:abstractNumId="75">
    <w:nsid w:val="488AC1A"/>
    <w:multiLevelType w:val="hybridMultilevel"/>
    <w:lvl w:ilvl="0">
      <w:lvlJc w:val="left"/>
      <w:lvlText w:val="%1."/>
      <w:numFmt w:val="decimal"/>
      <w:start w:val="7"/>
    </w:lvl>
  </w:abstractNum>
  <w:abstractNum w:abstractNumId="76">
    <w:nsid w:val="5FB8011C"/>
    <w:multiLevelType w:val="hybridMultilevel"/>
    <w:lvl w:ilvl="0">
      <w:lvlJc w:val="left"/>
      <w:lvlText w:val="(%1)"/>
      <w:numFmt w:val="lowerLetter"/>
      <w:start w:val="1"/>
    </w:lvl>
  </w:abstractNum>
  <w:abstractNum w:abstractNumId="77">
    <w:nsid w:val="6AA78F7F"/>
    <w:multiLevelType w:val="hybridMultilevel"/>
    <w:lvl w:ilvl="0">
      <w:lvlJc w:val="left"/>
      <w:lvlText w:val="(%1)"/>
      <w:numFmt w:val="lowerLetter"/>
      <w:start w:val="2"/>
    </w:lvl>
    <w:lvl w:ilvl="1">
      <w:lvlJc w:val="left"/>
      <w:lvlText w:val="(%2)"/>
      <w:numFmt w:val="lowerLetter"/>
      <w:start w:val="9"/>
    </w:lvl>
  </w:abstractNum>
  <w:abstractNum w:abstractNumId="78">
    <w:nsid w:val="7672BD23"/>
    <w:multiLevelType w:val="hybridMultilevel"/>
    <w:lvl w:ilvl="0">
      <w:lvlJc w:val="left"/>
      <w:lvlText w:val="(%1)"/>
      <w:numFmt w:val="lowerRoman"/>
      <w:start w:val="2"/>
    </w:lvl>
  </w:abstractNum>
  <w:abstractNum w:abstractNumId="79">
    <w:nsid w:val="6FC75AF8"/>
    <w:multiLevelType w:val="hybridMultilevel"/>
    <w:lvl w:ilvl="0">
      <w:lvlJc w:val="left"/>
      <w:lvlText w:val="(%1)"/>
      <w:numFmt w:val="lowerRoman"/>
      <w:start w:val="3"/>
    </w:lvl>
  </w:abstractNum>
  <w:abstractNum w:abstractNumId="80">
    <w:nsid w:val="6A5F7029"/>
    <w:multiLevelType w:val="hybridMultilevel"/>
    <w:lvl w:ilvl="0">
      <w:lvlJc w:val="left"/>
      <w:lvlText w:val="%1."/>
      <w:numFmt w:val="decimal"/>
      <w:start w:val="8"/>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lowerLetter"/>
      <w:start w:val="2"/>
    </w:lvl>
  </w:abstractNum>
  <w:abstractNum w:abstractNumId="83">
    <w:nsid w:val="73A1821B"/>
    <w:multiLevelType w:val="hybridMultilevel"/>
    <w:lvl w:ilvl="0">
      <w:lvlJc w:val="left"/>
      <w:lvlText w:val="(%1)"/>
      <w:numFmt w:val="lowerRoman"/>
      <w:start w:val="2"/>
    </w:lvl>
    <w:lvl w:ilvl="1">
      <w:lvlJc w:val="left"/>
      <w:lvlText w:val="(%2)"/>
      <w:numFmt w:val="lowerRoman"/>
      <w:start w:val="3"/>
    </w:lvl>
  </w:abstractNum>
  <w:abstractNum w:abstractNumId="84">
    <w:nsid w:val="7DE67713"/>
    <w:multiLevelType w:val="hybridMultilevel"/>
    <w:lvl w:ilvl="0">
      <w:lvlJc w:val="left"/>
      <w:lvlText w:val="(%1)"/>
      <w:numFmt w:val="lowerRoman"/>
      <w:start w:val="5"/>
    </w:lvl>
  </w:abstractNum>
  <w:abstractNum w:abstractNumId="85">
    <w:nsid w:val="555C55B5"/>
    <w:multiLevelType w:val="hybridMultilevel"/>
    <w:lvl w:ilvl="0">
      <w:lvlJc w:val="left"/>
      <w:lvlText w:val="(%1)"/>
      <w:numFmt w:val="lowerLetter"/>
      <w:start w:val="3"/>
    </w:lvl>
  </w:abstractNum>
  <w:abstractNum w:abstractNumId="86">
    <w:nsid w:val="3FA62ACA"/>
    <w:multiLevelType w:val="hybridMultilevel"/>
    <w:lvl w:ilvl="0">
      <w:lvlJc w:val="left"/>
      <w:lvlText w:val="(%1)"/>
      <w:numFmt w:val="lowerLetter"/>
      <w:start w:val="4"/>
    </w:lvl>
  </w:abstractNum>
  <w:abstractNum w:abstractNumId="87">
    <w:nsid w:val="14FCE74E"/>
    <w:multiLevelType w:val="hybridMultilevel"/>
    <w:lvl w:ilvl="0">
      <w:lvlJc w:val="left"/>
      <w:lvlText w:val="(%1)"/>
      <w:numFmt w:val="lowerLetter"/>
      <w:start w:val="6"/>
    </w:lvl>
  </w:abstractNum>
  <w:abstractNum w:abstractNumId="88">
    <w:nsid w:val="6A3DD3E8"/>
    <w:multiLevelType w:val="hybridMultilevel"/>
    <w:lvl w:ilvl="0">
      <w:lvlJc w:val="left"/>
      <w:lvlText w:val="%1."/>
      <w:numFmt w:val="decimal"/>
      <w:start w:val="9"/>
    </w:lvl>
  </w:abstractNum>
  <w:abstractNum w:abstractNumId="89">
    <w:nsid w:val="71C91298"/>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90">
    <w:nsid w:val="9DAF63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1">
    <w:nsid w:val="53299938"/>
    <w:multiLevelType w:val="hybridMultilevel"/>
    <w:lvl w:ilvl="0">
      <w:lvlJc w:val="left"/>
      <w:lvlText w:val="(%1)"/>
      <w:numFmt w:val="lowerLetter"/>
      <w:start w:val="2"/>
    </w:lvl>
  </w:abstractNum>
  <w:abstractNum w:abstractNumId="92">
    <w:nsid w:val="1FBFE8E0"/>
    <w:multiLevelType w:val="hybridMultilevel"/>
    <w:lvl w:ilvl="0">
      <w:lvlJc w:val="left"/>
      <w:lvlText w:val="(%1)"/>
      <w:numFmt w:val="lowerRoman"/>
      <w:start w:val="1"/>
    </w:lvl>
  </w:abstractNum>
  <w:abstractNum w:abstractNumId="93">
    <w:nsid w:val="5092CA79"/>
    <w:multiLevelType w:val="hybridMultilevel"/>
    <w:lvl w:ilvl="0">
      <w:lvlJc w:val="left"/>
      <w:lvlText w:val="%1."/>
      <w:numFmt w:val="decimal"/>
      <w:start w:val="12"/>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lowerLetter"/>
      <w:start w:val="9"/>
    </w:lvl>
  </w:abstractNum>
  <w:abstractNum w:abstractNumId="96">
    <w:nsid w:val="288F1A34"/>
    <w:multiLevelType w:val="hybridMultilevel"/>
    <w:lvl w:ilvl="0">
      <w:lvlJc w:val="left"/>
      <w:lvlText w:val="(%1)"/>
      <w:numFmt w:val="lowerLetter"/>
      <w:start w:val="2"/>
    </w:lvl>
  </w:abstractNum>
  <w:abstractNum w:abstractNumId="97">
    <w:nsid w:val="2A155DBC"/>
    <w:multiLevelType w:val="hybridMultilevel"/>
    <w:lvl w:ilvl="0">
      <w:lvlJc w:val="left"/>
      <w:lvlText w:val="%1."/>
      <w:numFmt w:val="decimal"/>
      <w:start w:val="14"/>
    </w:lvl>
  </w:abstractNum>
  <w:abstractNum w:abstractNumId="98">
    <w:nsid w:val="1D9F6E5F"/>
    <w:multiLevelType w:val="hybridMultilevel"/>
    <w:lvl w:ilvl="0">
      <w:lvlJc w:val="left"/>
      <w:lvlText w:val="%1"/>
      <w:numFmt w:val="decimal"/>
      <w:start w:val="1"/>
    </w:lvl>
    <w:lvl w:ilvl="1">
      <w:lvlJc w:val="left"/>
      <w:lvlText w:val="(%2)"/>
      <w:numFmt w:val="lowerLetter"/>
      <w:start w:val="1"/>
    </w:lvl>
  </w:abstractNum>
  <w:abstractNum w:abstractNumId="99">
    <w:nsid w:val="97E1B4E"/>
    <w:multiLevelType w:val="hybridMultilevel"/>
    <w:lvl w:ilvl="0">
      <w:lvlJc w:val="left"/>
      <w:lvlText w:val="%1."/>
      <w:numFmt w:val="decimal"/>
      <w:start w:val="15"/>
    </w:lvl>
    <w:lvl w:ilvl="1">
      <w:lvlJc w:val="left"/>
      <w:lvlText w:val="%2"/>
      <w:numFmt w:val="lowerLetter"/>
      <w:start w:val="1"/>
    </w:lvl>
  </w:abstractNum>
  <w:abstractNum w:abstractNumId="100">
    <w:nsid w:val="51088277"/>
    <w:multiLevelType w:val="hybridMultilevel"/>
    <w:lvl w:ilvl="0">
      <w:lvlJc w:val="left"/>
      <w:lvlText w:val="%1."/>
      <w:numFmt w:val="decimal"/>
      <w:start w:val="18"/>
    </w:lvl>
    <w:lvl w:ilvl="1">
      <w:lvlJc w:val="left"/>
      <w:lvlText w:val="%2."/>
      <w:numFmt w:val="decimal"/>
      <w:start w:val="19"/>
    </w:lvl>
  </w:abstractNum>
  <w:abstractNum w:abstractNumId="101">
    <w:nsid w:val="1CA0C5FA"/>
    <w:multiLevelType w:val="hybridMultilevel"/>
    <w:lvl w:ilvl="0">
      <w:lvlJc w:val="left"/>
      <w:lvlText w:val="%1."/>
      <w:numFmt w:val="decimal"/>
      <w:start w:val="20"/>
    </w:lvl>
  </w:abstractNum>
  <w:abstractNum w:abstractNumId="102">
    <w:nsid w:val="53584BCB"/>
    <w:multiLevelType w:val="hybridMultilevel"/>
    <w:lvl w:ilvl="0">
      <w:lvlJc w:val="left"/>
      <w:lvlText w:val="%1."/>
      <w:numFmt w:val="decimal"/>
      <w:start w:val="23"/>
    </w:lvl>
  </w:abstractNum>
  <w:abstractNum w:abstractNumId="103">
    <w:nsid w:val="415E286C"/>
    <w:multiLevelType w:val="hybridMultilevel"/>
    <w:lvl w:ilvl="0">
      <w:lvlJc w:val="left"/>
      <w:lvlText w:val="%1."/>
      <w:numFmt w:val="decimal"/>
      <w:start w:val="1"/>
    </w:lvl>
  </w:abstractNum>
  <w:abstractNum w:abstractNumId="104">
    <w:nsid w:val="7C58FD05"/>
    <w:multiLevelType w:val="hybridMultilevel"/>
    <w:lvl w:ilvl="0">
      <w:lvlJc w:val="left"/>
      <w:lvlText w:val="%1."/>
      <w:numFmt w:val="upperLetter"/>
      <w:start w:val="1"/>
    </w:lvl>
  </w:abstractNum>
  <w:abstractNum w:abstractNumId="105">
    <w:nsid w:val="23D86AAC"/>
    <w:multiLevelType w:val="hybridMultilevel"/>
    <w:lvl w:ilvl="0">
      <w:lvlJc w:val="left"/>
      <w:lvlText w:val="%1."/>
      <w:numFmt w:val="upperLetter"/>
      <w:start w:val="4"/>
    </w:lvl>
  </w:abstractNum>
  <w:abstractNum w:abstractNumId="106">
    <w:nsid w:val="45E6D48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7">
    <w:nsid w:val="5C10FE21"/>
    <w:multiLevelType w:val="hybridMultilevel"/>
    <w:lvl w:ilvl="0">
      <w:lvlJc w:val="left"/>
      <w:lvlText w:val="(%1)"/>
      <w:numFmt w:val="lowerLetter"/>
      <w:start w:val="10"/>
    </w:lvl>
  </w:abstractNum>
  <w:abstractNum w:abstractNumId="108">
    <w:nsid w:val="E7FFA2B"/>
    <w:multiLevelType w:val="hybridMultilevel"/>
    <w:lvl w:ilvl="0">
      <w:lvlJc w:val="left"/>
      <w:lvlText w:val="%1"/>
      <w:numFmt w:val="decimal"/>
      <w:start w:val="1"/>
    </w:lvl>
    <w:lvl w:ilvl="1">
      <w:lvlJc w:val="left"/>
      <w:lvlText w:val="(%2)"/>
      <w:numFmt w:val="lowerLetter"/>
      <w:start w:val="16"/>
    </w:lvl>
  </w:abstractNum>
  <w:abstractNum w:abstractNumId="109">
    <w:nsid w:val="3C5991AA"/>
    <w:multiLevelType w:val="hybridMultilevel"/>
    <w:lvl w:ilvl="0">
      <w:lvlJc w:val="left"/>
      <w:lvlText w:val="%1."/>
      <w:numFmt w:val="decimal"/>
      <w:start w:val="2"/>
    </w:lvl>
    <w:lvl w:ilvl="1">
      <w:lvlJc w:val="left"/>
      <w:lvlText w:val="(%2)"/>
      <w:numFmt w:val="lowerLetter"/>
      <w:start w:val="1"/>
    </w:lvl>
  </w:abstractNum>
  <w:abstractNum w:abstractNumId="110">
    <w:nsid w:val="4BD8591A"/>
    <w:multiLevelType w:val="hybridMultilevel"/>
    <w:lvl w:ilvl="0">
      <w:lvlJc w:val="left"/>
      <w:lvlText w:val="%1."/>
      <w:numFmt w:val="decimal"/>
      <w:start w:val="4"/>
    </w:lvl>
    <w:lvl w:ilvl="1">
      <w:lvlJc w:val="left"/>
      <w:lvlText w:val="(%2)"/>
      <w:numFmt w:val="lowerLetter"/>
      <w:start w:val="1"/>
    </w:lvl>
  </w:abstractNum>
  <w:abstractNum w:abstractNumId="111">
    <w:nsid w:val="78DF6A55"/>
    <w:multiLevelType w:val="hybridMultilevel"/>
    <w:lvl w:ilvl="0">
      <w:lvlJc w:val="left"/>
      <w:lvlText w:val="(%1)"/>
      <w:numFmt w:val="lowerLetter"/>
      <w:start w:val="1"/>
    </w:lvl>
    <w:lvl w:ilvl="1">
      <w:lvlJc w:val="left"/>
      <w:lvlText w:val="(%2)"/>
      <w:numFmt w:val="decimal"/>
      <w:start w:val="1"/>
    </w:lvl>
  </w:abstractNum>
  <w:abstractNum w:abstractNumId="112">
    <w:nsid w:val="39B7AAA2"/>
    <w:multiLevelType w:val="hybridMultilevel"/>
    <w:lvl w:ilvl="0">
      <w:lvlJc w:val="left"/>
      <w:lvlText w:val="%1"/>
      <w:numFmt w:val="lowerLetter"/>
      <w:start w:val="1"/>
    </w:lvl>
    <w:lvl w:ilvl="1">
      <w:lvlJc w:val="left"/>
      <w:lvlText w:val="(%2)"/>
      <w:numFmt w:val="decimal"/>
      <w:start w:val="1"/>
    </w:lvl>
  </w:abstractNum>
  <w:abstractNum w:abstractNumId="113">
    <w:nsid w:val="2B0D8DBE"/>
    <w:multiLevelType w:val="hybridMultilevel"/>
    <w:lvl w:ilvl="0">
      <w:lvlJc w:val="left"/>
      <w:lvlText w:val="(%1)"/>
      <w:numFmt w:val="lowerLetter"/>
      <w:start w:val="3"/>
    </w:lvl>
    <w:lvl w:ilvl="1">
      <w:lvlJc w:val="left"/>
      <w:lvlText w:val="%2"/>
      <w:numFmt w:val="decimal"/>
      <w:start w:val="1"/>
    </w:lvl>
  </w:abstractNum>
  <w:abstractNum w:abstractNumId="114">
    <w:nsid w:val="6C80EC70"/>
    <w:multiLevelType w:val="hybridMultilevel"/>
    <w:lvl w:ilvl="0">
      <w:lvlJc w:val="left"/>
      <w:lvlText w:val="%1"/>
      <w:numFmt w:val="decimal"/>
      <w:start w:val="1"/>
    </w:lvl>
    <w:lvl w:ilvl="1">
      <w:lvlJc w:val="left"/>
      <w:lvlText w:val="(%2)"/>
      <w:numFmt w:val="lowerLetter"/>
      <w:start w:val="5"/>
    </w:lvl>
  </w:abstractNum>
  <w:abstractNum w:abstractNumId="115">
    <w:nsid w:val="379E21B5"/>
    <w:multiLevelType w:val="hybridMultilevel"/>
    <w:lvl w:ilvl="0">
      <w:lvlJc w:val="left"/>
      <w:lvlText w:val="%1."/>
      <w:numFmt w:val="decimal"/>
      <w:start w:val="6"/>
    </w:lvl>
    <w:lvl w:ilvl="1">
      <w:lvlJc w:val="left"/>
      <w:lvlText w:val="(%2)"/>
      <w:numFmt w:val="lowerLetter"/>
      <w:start w:val="1"/>
    </w:lvl>
  </w:abstractNum>
  <w:abstractNum w:abstractNumId="116">
    <w:nsid w:val="69E373"/>
    <w:multiLevelType w:val="hybridMultilevel"/>
    <w:lvl w:ilvl="0">
      <w:lvlJc w:val="left"/>
      <w:lvlText w:val="%1."/>
      <w:numFmt w:val="decimal"/>
      <w:start w:val="9"/>
    </w:lvl>
    <w:lvl w:ilvl="1">
      <w:lvlJc w:val="left"/>
      <w:lvlText w:val="(%2)"/>
      <w:numFmt w:val="lowerLetter"/>
      <w:start w:val="1"/>
    </w:lvl>
  </w:abstractNum>
  <w:abstractNum w:abstractNumId="117">
    <w:nsid w:val="2C27173B"/>
    <w:multiLevelType w:val="hybridMultilevel"/>
    <w:lvl w:ilvl="0">
      <w:lvlJc w:val="left"/>
      <w:lvlText w:val="(%1)"/>
      <w:numFmt w:val="decimal"/>
      <w:start w:val="4"/>
    </w:lvl>
  </w:abstractNum>
  <w:abstractNum w:abstractNumId="118">
    <w:nsid w:val="4C9B090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2019-12-10T21:16:40Z</dcterms:created>
  <dcterms:modified xsi:type="dcterms:W3CDTF">2019-12-10T21:16:40Z</dcterms:modified>
</cp:coreProperties>
</file>