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Proxy Statement Pursuant to Section 14(a) of</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|X|</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649" w:right="1440" w:bottom="52"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|_| Preliminary Proxy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Definitive Proxy Statement</w:t>
      </w:r>
    </w:p>
    <w:p>
      <w:pPr>
        <w:spacing w:after="0" w:line="238" w:lineRule="auto"/>
        <w:rPr>
          <w:sz w:val="20"/>
          <w:szCs w:val="20"/>
          <w:color w:val="auto"/>
        </w:rPr>
      </w:pPr>
      <w:r>
        <w:rPr>
          <w:rFonts w:ascii="Courier New" w:cs="Courier New" w:eastAsia="Courier New" w:hAnsi="Courier New"/>
          <w:sz w:val="18"/>
          <w:szCs w:val="18"/>
          <w:color w:val="auto"/>
        </w:rPr>
        <w:t>|_| Definitive Additional Materials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 Soliciting Material Under Rule 14a-12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ind w:right="1779"/>
        <w:spacing w:after="0" w:line="236" w:lineRule="auto"/>
        <w:rPr>
          <w:sz w:val="20"/>
          <w:szCs w:val="20"/>
          <w:color w:val="auto"/>
        </w:rPr>
      </w:pPr>
      <w:r>
        <w:rPr>
          <w:rFonts w:ascii="Courier New" w:cs="Courier New" w:eastAsia="Courier New" w:hAnsi="Courier New"/>
          <w:sz w:val="18"/>
          <w:szCs w:val="18"/>
          <w:color w:val="auto"/>
        </w:rPr>
        <w:t>Confidential, For Use of the Commission Only (as permitted by Rule 14a-6(e)(2))</w:t>
      </w:r>
    </w:p>
    <w:p>
      <w:pPr>
        <w:spacing w:after="0" w:line="590" w:lineRule="exact"/>
        <w:rPr>
          <w:sz w:val="24"/>
          <w:szCs w:val="24"/>
          <w:color w:val="auto"/>
        </w:rPr>
      </w:pPr>
    </w:p>
    <w:p>
      <w:pPr>
        <w:sectPr>
          <w:pgSz w:w="11900" w:h="16838" w:orient="portrait"/>
          <w:cols w:equalWidth="0" w:num="3">
            <w:col w:w="4320" w:space="420"/>
            <w:col w:w="320" w:space="220"/>
            <w:col w:w="4939"/>
          </w:cols>
          <w:pgMar w:left="240" w:top="649" w:right="1440" w:bottom="52" w:gutter="0" w:footer="0" w:header="0"/>
          <w:type w:val="continuous"/>
        </w:sectPr>
      </w:pPr>
    </w:p>
    <w:p>
      <w:pPr>
        <w:spacing w:after="0" w:line="18"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AT&amp;T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540"/>
        <w:spacing w:after="0" w:line="238" w:lineRule="auto"/>
        <w:rPr>
          <w:sz w:val="20"/>
          <w:szCs w:val="20"/>
          <w:color w:val="auto"/>
        </w:rPr>
      </w:pPr>
      <w:r>
        <w:rPr>
          <w:rFonts w:ascii="Courier New" w:cs="Courier New" w:eastAsia="Courier New" w:hAnsi="Courier New"/>
          <w:sz w:val="18"/>
          <w:szCs w:val="18"/>
          <w:color w:val="auto"/>
        </w:rPr>
        <w:t>|X| No fee required.</w:t>
      </w:r>
    </w:p>
    <w:p>
      <w:pPr>
        <w:spacing w:after="0" w:line="5" w:lineRule="exact"/>
        <w:rPr>
          <w:sz w:val="24"/>
          <w:szCs w:val="24"/>
          <w:color w:val="auto"/>
        </w:rPr>
      </w:pPr>
    </w:p>
    <w:p>
      <w:pPr>
        <w:ind w:left="960" w:right="2319" w:hanging="420"/>
        <w:spacing w:after="0" w:line="235" w:lineRule="auto"/>
        <w:rPr>
          <w:sz w:val="20"/>
          <w:szCs w:val="20"/>
          <w:color w:val="auto"/>
        </w:rPr>
      </w:pPr>
      <w:r>
        <w:rPr>
          <w:rFonts w:ascii="Courier New" w:cs="Courier New" w:eastAsia="Courier New" w:hAnsi="Courier New"/>
          <w:sz w:val="18"/>
          <w:szCs w:val="18"/>
          <w:color w:val="auto"/>
        </w:rPr>
        <w:t>|_| Fee computed on table below per Exchange Act Rules 14a-6(i)(1) and 0-11.</w:t>
      </w:r>
    </w:p>
    <w:p>
      <w:pPr>
        <w:ind w:left="960" w:hanging="425"/>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199" w:firstLine="535"/>
        <w:spacing w:after="0" w:line="236" w:lineRule="auto"/>
        <w:tabs>
          <w:tab w:leader="none" w:pos="9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Fee paid previously with preliminary materials.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Check box if any part of the fee is offset as provided by Exchange Act</w:t>
      </w:r>
    </w:p>
    <w:p>
      <w:pPr>
        <w:spacing w:after="0" w:line="5"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corporate overview was posted on Comcast's website:</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CORPORATE OVERVIEW</w:t>
      </w:r>
    </w:p>
    <w:p>
      <w:pPr>
        <w:ind w:left="3160"/>
        <w:spacing w:after="0" w:line="238" w:lineRule="auto"/>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649" w:right="1440" w:bottom="5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Consolidated revenues: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38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Consolidated operating cash flow:</w:t>
            </w:r>
          </w:p>
        </w:tc>
      </w:tr>
      <w:tr>
        <w:trPr>
          <w:trHeight w:val="203"/>
        </w:trPr>
        <w:tc>
          <w:tcPr>
            <w:tcW w:w="1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$8.218</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billion</w:t>
            </w:r>
          </w:p>
        </w:tc>
        <w:tc>
          <w:tcPr>
            <w:tcW w:w="23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2000: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$2.470</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billion</w:t>
            </w:r>
          </w:p>
        </w:tc>
      </w:tr>
      <w:tr>
        <w:trPr>
          <w:trHeight w:val="203"/>
        </w:trPr>
        <w:tc>
          <w:tcPr>
            <w:tcW w:w="1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Q1 2001:</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$2.196</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billion</w:t>
            </w:r>
          </w:p>
        </w:tc>
        <w:tc>
          <w:tcPr>
            <w:tcW w:w="23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Q1 2001: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$640.9</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million</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Employees:</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35,000</w:t>
            </w:r>
          </w:p>
        </w:tc>
        <w:tc>
          <w:tcPr>
            <w:tcW w:w="1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total</w:t>
            </w:r>
          </w:p>
        </w:tc>
        <w:tc>
          <w:tcPr>
            <w:tcW w:w="438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Founded in 1963 in Pennsylvania</w:t>
            </w:r>
          </w:p>
        </w:tc>
      </w:tr>
      <w:tr>
        <w:trPr>
          <w:trHeight w:val="203"/>
        </w:trPr>
        <w:tc>
          <w:tcPr>
            <w:tcW w:w="16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18,000</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cable</w:t>
            </w:r>
          </w:p>
        </w:tc>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QVC</w:t>
            </w:r>
          </w:p>
        </w:tc>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6,000 content &amp; other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Comcast Corporation is principally involved in the development, management and operation of broadband cable networks, and in the provision of electronic commerce and programming content. Comcast's Class A Special and Class A Common Stock are traded on The Nasdaq Stock Market under the symbols CMCSK and CMCSA,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Cable:</w:t>
      </w:r>
    </w:p>
    <w:p>
      <w:pPr>
        <w:ind w:left="960" w:hanging="531"/>
        <w:spacing w:after="0" w:line="238"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largest U.S. cable company serving 8.4 million customers</w:t>
      </w:r>
    </w:p>
    <w:p>
      <w:pPr>
        <w:spacing w:after="0" w:line="4" w:lineRule="exact"/>
        <w:rPr>
          <w:rFonts w:ascii="Courier New" w:cs="Courier New" w:eastAsia="Courier New" w:hAnsi="Courier New"/>
          <w:sz w:val="18"/>
          <w:szCs w:val="18"/>
          <w:color w:val="auto"/>
        </w:rPr>
      </w:pPr>
    </w:p>
    <w:p>
      <w:pPr>
        <w:ind w:left="960" w:right="1879" w:hanging="531"/>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 of customers clustered in six geographic regions (total operations in 26 states)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QVC:</w:t>
            </w: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$3.536</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billion</w:t>
            </w:r>
          </w:p>
        </w:tc>
        <w:tc>
          <w:tcPr>
            <w:tcW w:w="29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2000: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million</w:t>
            </w:r>
          </w:p>
        </w:tc>
      </w:tr>
      <w:tr>
        <w:trPr>
          <w:trHeight w:val="203"/>
        </w:trPr>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Q1 2001: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$884.0</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million</w:t>
            </w:r>
          </w:p>
        </w:tc>
        <w:tc>
          <w:tcPr>
            <w:tcW w:w="29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Q1 2001: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$172.7</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million</w:t>
            </w:r>
          </w:p>
        </w:tc>
      </w:tr>
    </w:tbl>
    <w:p>
      <w:pPr>
        <w:spacing w:after="0" w:line="4" w:lineRule="exact"/>
        <w:rPr>
          <w:sz w:val="20"/>
          <w:szCs w:val="20"/>
          <w:color w:val="auto"/>
        </w:rPr>
      </w:pPr>
    </w:p>
    <w:p>
      <w:pPr>
        <w:ind w:left="960" w:right="2099" w:hanging="531"/>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Live televised retail shopping broadcast to 110 million homes in the U.S., United Kingdom, Germany and Japan</w:t>
      </w:r>
    </w:p>
    <w:p>
      <w:pPr>
        <w:spacing w:after="0" w:line="1" w:lineRule="exact"/>
        <w:rPr>
          <w:rFonts w:ascii="Courier New" w:cs="Courier New" w:eastAsia="Courier New" w:hAnsi="Courier New"/>
          <w:sz w:val="18"/>
          <w:szCs w:val="18"/>
          <w:color w:val="auto"/>
        </w:rPr>
      </w:pPr>
    </w:p>
    <w:p>
      <w:pPr>
        <w:ind w:left="960" w:hanging="531"/>
        <w:spacing w:after="0" w:line="238"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79 million packages to 8.4 million customers in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Content:</w:t>
      </w:r>
    </w:p>
    <w:p>
      <w:pPr>
        <w:ind w:left="540"/>
        <w:spacing w:after="0" w:line="238" w:lineRule="auto"/>
        <w:rPr>
          <w:sz w:val="20"/>
          <w:szCs w:val="20"/>
          <w:color w:val="auto"/>
        </w:rPr>
      </w:pPr>
      <w:r>
        <w:rPr>
          <w:rFonts w:ascii="Courier New" w:cs="Courier New" w:eastAsia="Courier New" w:hAnsi="Courier New"/>
          <w:sz w:val="18"/>
          <w:szCs w:val="18"/>
          <w:color w:val="auto"/>
        </w:rPr>
        <w:t>o E! Entertainment - 67 million homes</w:t>
      </w:r>
    </w:p>
    <w:p>
      <w:pPr>
        <w:ind w:left="540"/>
        <w:spacing w:after="0"/>
        <w:rPr>
          <w:sz w:val="20"/>
          <w:szCs w:val="20"/>
          <w:color w:val="auto"/>
        </w:rPr>
      </w:pPr>
      <w:r>
        <w:rPr>
          <w:rFonts w:ascii="Courier New" w:cs="Courier New" w:eastAsia="Courier New" w:hAnsi="Courier New"/>
          <w:sz w:val="18"/>
          <w:szCs w:val="18"/>
          <w:color w:val="auto"/>
        </w:rPr>
        <w:t>o style. - 10 million homes</w:t>
      </w:r>
    </w:p>
    <w:p>
      <w:pPr>
        <w:ind w:left="540"/>
        <w:spacing w:after="0" w:line="237" w:lineRule="auto"/>
        <w:rPr>
          <w:sz w:val="20"/>
          <w:szCs w:val="20"/>
          <w:color w:val="auto"/>
        </w:rPr>
      </w:pPr>
      <w:r>
        <w:rPr>
          <w:rFonts w:ascii="Courier New" w:cs="Courier New" w:eastAsia="Courier New" w:hAnsi="Courier New"/>
          <w:sz w:val="18"/>
          <w:szCs w:val="18"/>
          <w:color w:val="auto"/>
        </w:rPr>
        <w:t>o The Golf Channel - 37 million homes</w:t>
      </w:r>
    </w:p>
    <w:p>
      <w:pPr>
        <w:ind w:left="540"/>
        <w:spacing w:after="0" w:line="238" w:lineRule="auto"/>
        <w:rPr>
          <w:sz w:val="20"/>
          <w:szCs w:val="20"/>
          <w:color w:val="auto"/>
        </w:rPr>
      </w:pPr>
      <w:r>
        <w:rPr>
          <w:rFonts w:ascii="Courier New" w:cs="Courier New" w:eastAsia="Courier New" w:hAnsi="Courier New"/>
          <w:sz w:val="18"/>
          <w:szCs w:val="18"/>
          <w:color w:val="auto"/>
        </w:rPr>
        <w:t>o Comcast SportsNet - 7.5 million homes</w:t>
      </w:r>
    </w:p>
    <w:p>
      <w:pPr>
        <w:ind w:left="540"/>
        <w:spacing w:after="0"/>
        <w:rPr>
          <w:sz w:val="20"/>
          <w:szCs w:val="20"/>
          <w:color w:val="auto"/>
        </w:rPr>
      </w:pPr>
      <w:r>
        <w:rPr>
          <w:rFonts w:ascii="Courier New" w:cs="Courier New" w:eastAsia="Courier New" w:hAnsi="Courier New"/>
          <w:sz w:val="18"/>
          <w:szCs w:val="18"/>
          <w:color w:val="auto"/>
        </w:rPr>
        <w:t>o CN8-The Comcast Network - 3.9 million homes</w:t>
      </w:r>
    </w:p>
    <w:p>
      <w:pPr>
        <w:spacing w:after="0" w:line="4" w:lineRule="exact"/>
        <w:rPr>
          <w:sz w:val="20"/>
          <w:szCs w:val="20"/>
          <w:color w:val="auto"/>
        </w:rPr>
      </w:pPr>
    </w:p>
    <w:p>
      <w:pPr>
        <w:ind w:left="740" w:right="2419" w:hanging="199"/>
        <w:spacing w:after="0" w:line="235" w:lineRule="auto"/>
        <w:tabs>
          <w:tab w:leader="none" w:pos="720" w:val="left"/>
        </w:tabs>
        <w:rPr>
          <w:sz w:val="20"/>
          <w:szCs w:val="20"/>
          <w:color w:val="auto"/>
        </w:rPr>
      </w:pPr>
      <w:r>
        <w:rPr>
          <w:rFonts w:ascii="Courier New" w:cs="Courier New" w:eastAsia="Courier New" w:hAnsi="Courier New"/>
          <w:sz w:val="18"/>
          <w:szCs w:val="18"/>
          <w:color w:val="auto"/>
        </w:rPr>
        <w:t>o</w:t>
        <w:tab/>
        <w:t>Comcast-Spectacor - includes Philadelphia 76ers (NBA), Philadelphia Flyers (NHL), two Philadelphia indoor sports arenas</w:t>
      </w:r>
    </w:p>
    <w:p>
      <w:pPr>
        <w:spacing w:after="0" w:line="6" w:lineRule="exact"/>
        <w:rPr>
          <w:sz w:val="20"/>
          <w:szCs w:val="20"/>
          <w:color w:val="auto"/>
        </w:rPr>
      </w:pPr>
    </w:p>
    <w:p>
      <w:pPr>
        <w:ind w:left="740" w:right="2419" w:hanging="199"/>
        <w:spacing w:after="0" w:line="235" w:lineRule="auto"/>
        <w:tabs>
          <w:tab w:leader="none" w:pos="720" w:val="left"/>
        </w:tabs>
        <w:rPr>
          <w:sz w:val="20"/>
          <w:szCs w:val="20"/>
          <w:color w:val="auto"/>
        </w:rPr>
      </w:pPr>
      <w:r>
        <w:rPr>
          <w:rFonts w:ascii="Courier New" w:cs="Courier New" w:eastAsia="Courier New" w:hAnsi="Courier New"/>
          <w:sz w:val="18"/>
          <w:szCs w:val="18"/>
          <w:color w:val="auto"/>
        </w:rPr>
        <w:t>o</w:t>
        <w:tab/>
        <w:t>Investments in Comcast Sports Southeast, Outdoor Life, Speedvision, The Sunshine Network</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1759"/>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Subject to future developments, Comcast may file with the Commission (i) 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8"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2)"/>
      <w:numFmt w:val="decimal"/>
      <w:start w:val="1"/>
    </w:lvl>
  </w:abstractNum>
  <w:abstractNum w:abstractNumId="3">
    <w:nsid w:val="515F007C"/>
    <w:multiLevelType w:val="hybridMultilevel"/>
    <w:lvl w:ilvl="0">
      <w:lvlJc w:val="left"/>
      <w:lvlText w:val="-"/>
      <w:numFmt w:val="bullet"/>
      <w:start w:val="1"/>
    </w:lvl>
    <w:lvl w:ilvl="1">
      <w:lvlJc w:val="left"/>
      <w:lvlText w:val="(%2)"/>
      <w:numFmt w:val="decimal"/>
      <w:start w:val="2"/>
    </w:lvl>
  </w:abstractNum>
  <w:abstractNum w:abstractNumId="4">
    <w:nsid w:val="5BD062C2"/>
    <w:multiLevelType w:val="hybridMultilevel"/>
    <w:lvl w:ilvl="0">
      <w:lvlJc w:val="left"/>
      <w:lvlText w:val="-"/>
      <w:numFmt w:val="bullet"/>
      <w:start w:val="1"/>
    </w:lvl>
    <w:lvl w:ilvl="1">
      <w:lvlJc w:val="left"/>
      <w:lvlText w:val="(%2)"/>
      <w:numFmt w:val="decimal"/>
      <w:start w:val="3"/>
    </w:lvl>
  </w:abstractNum>
  <w:abstractNum w:abstractNumId="5">
    <w:nsid w:val="12200854"/>
    <w:multiLevelType w:val="hybridMultilevel"/>
    <w:lvl w:ilvl="0">
      <w:lvlJc w:val="left"/>
      <w:lvlText w:val="-"/>
      <w:numFmt w:val="bullet"/>
      <w:start w:val="1"/>
    </w:lvl>
    <w:lvl w:ilvl="1">
      <w:lvlJc w:val="left"/>
      <w:lvlText w:val="(%2)"/>
      <w:numFmt w:val="decimal"/>
      <w:start w:val="4"/>
    </w:lvl>
  </w:abstractNum>
  <w:abstractNum w:abstractNumId="6">
    <w:nsid w:val="4DB127F8"/>
    <w:multiLevelType w:val="hybridMultilevel"/>
    <w:lvl w:ilvl="0">
      <w:lvlJc w:val="left"/>
      <w:lvlText w:val="-"/>
      <w:numFmt w:val="bullet"/>
      <w:start w:val="1"/>
    </w:lvl>
    <w:lvl w:ilvl="1">
      <w:lvlJc w:val="left"/>
      <w:lvlText w:val="(%2)"/>
      <w:numFmt w:val="decimal"/>
      <w:start w:val="5"/>
    </w:lvl>
  </w:abstractNum>
  <w:abstractNum w:abstractNumId="7">
    <w:nsid w:val="216231B"/>
    <w:multiLevelType w:val="hybridMultilevel"/>
    <w:lvl w:ilvl="0">
      <w:lvlJc w:val="left"/>
      <w:lvlText w:val="-"/>
      <w:numFmt w:val="bullet"/>
      <w:start w:val="1"/>
    </w:lvl>
    <w:lvl w:ilvl="1">
      <w:lvlJc w:val="left"/>
      <w:lvlText w:val="(%2)"/>
      <w:numFmt w:val="decimal"/>
      <w:start w:val="1"/>
    </w:lvl>
  </w:abstractNum>
  <w:abstractNum w:abstractNumId="8">
    <w:nsid w:val="1F16E9E8"/>
    <w:multiLevelType w:val="hybridMultilevel"/>
    <w:lvl w:ilvl="0">
      <w:lvlJc w:val="left"/>
      <w:lvlText w:val="-"/>
      <w:numFmt w:val="bullet"/>
      <w:start w:val="1"/>
    </w:lvl>
    <w:lvl w:ilvl="1">
      <w:lvlJc w:val="left"/>
      <w:lvlText w:val="(%2)"/>
      <w:numFmt w:val="decimal"/>
      <w:start w:val="2"/>
    </w:lvl>
  </w:abstractNum>
  <w:abstractNum w:abstractNumId="9">
    <w:nsid w:val="1190CDE7"/>
    <w:multiLevelType w:val="hybridMultilevel"/>
    <w:lvl w:ilvl="0">
      <w:lvlJc w:val="left"/>
      <w:lvlText w:val="-"/>
      <w:numFmt w:val="bullet"/>
      <w:start w:val="1"/>
    </w:lvl>
    <w:lvl w:ilvl="1">
      <w:lvlJc w:val="left"/>
      <w:lvlText w:val="(%2)"/>
      <w:numFmt w:val="decimal"/>
      <w:start w:val="3"/>
    </w:lvl>
  </w:abstractNum>
  <w:abstractNum w:abstractNumId="10">
    <w:nsid w:val="66EF438D"/>
    <w:multiLevelType w:val="hybridMultilevel"/>
    <w:lvl w:ilvl="0">
      <w:lvlJc w:val="left"/>
      <w:lvlText w:val="-"/>
      <w:numFmt w:val="bullet"/>
      <w:start w:val="1"/>
    </w:lvl>
    <w:lvl w:ilvl="1">
      <w:lvlJc w:val="left"/>
      <w:lvlText w:val="(%2)"/>
      <w:numFmt w:val="decimal"/>
      <w:start w:val="4"/>
    </w:lvl>
  </w:abstractNum>
  <w:abstractNum w:abstractNumId="11">
    <w:nsid w:val="140E0F76"/>
    <w:multiLevelType w:val="hybridMultilevel"/>
    <w:lvl w:ilvl="0">
      <w:lvlJc w:val="left"/>
      <w:lvlText w:val="o"/>
      <w:numFmt w:val="bullet"/>
      <w:start w:val="1"/>
    </w:lvl>
  </w:abstractNum>
  <w:abstractNum w:abstractNumId="12">
    <w:nsid w:val="3352255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2019-12-16T11:25:48Z</dcterms:created>
  <dcterms:modified xsi:type="dcterms:W3CDTF">2019-12-16T11:25:48Z</dcterms:modified>
</cp:coreProperties>
</file>