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17" w:lineRule="exact"/>
        <w:rPr>
          <w:sz w:val="24"/>
          <w:szCs w:val="24"/>
          <w:color w:val="auto"/>
        </w:rPr>
      </w:pPr>
    </w:p>
    <w:p>
      <w:pPr>
        <w:ind w:right="1460"/>
        <w:spacing w:after="0" w:line="271" w:lineRule="auto"/>
        <w:rPr>
          <w:sz w:val="20"/>
          <w:szCs w:val="20"/>
          <w:color w:val="auto"/>
        </w:rPr>
      </w:pPr>
      <w:r>
        <w:rPr>
          <w:rFonts w:ascii="Arial" w:cs="Arial" w:eastAsia="Arial" w:hAnsi="Arial"/>
          <w:sz w:val="18"/>
          <w:szCs w:val="18"/>
          <w:b w:val="1"/>
          <w:bCs w:val="1"/>
          <w:color w:val="auto"/>
        </w:rPr>
        <w:t xml:space="preserve">COMING SOON: COMCAST’S OPPOSITION AND RESPONSE COMMENTS ON TIME WARNER CABLE TRANSACTION </w:t>
      </w:r>
      <w:r>
        <w:rPr>
          <w:rFonts w:ascii="Arial" w:cs="Arial" w:eastAsia="Arial" w:hAnsi="Arial"/>
          <w:sz w:val="18"/>
          <w:szCs w:val="18"/>
          <w:color w:val="auto"/>
        </w:rPr>
        <w:t>By David L. Cohen, Executive Vice President and Chief Diversity Officer</w:t>
      </w:r>
    </w:p>
    <w:p>
      <w:pPr>
        <w:spacing w:after="0" w:line="203"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afternoon, we are in the process of finalizing our reply comments in the Comcast-Time Warner Cable-Charter transaction. We’ll be offering a comprehensive and detailed response (it will be several hundred pages in total) that addresses the evidence in the record, including the unquestioned consumer benefits such as higher speeds and more video choices for Time Warner Cable customers, the extension of America’s largest broadband adoption program to cities like New York, Los Angeles, and Dallas, the immediate extension of the FCC’s Open Internet rules to Time Warner Cable and certain Charter broadband customers, more Wi-Fi, and new choices and competition for business customers. Unlike many of the negative comments in the docket, our reply comments will be supported by detailed economist and engineering declarations (as we did in our original Public Interest Statement). The substantial benefits of the transaction, and the absence of harms, are founded in undisputed facts and sound economic theory.</w:t>
      </w:r>
    </w:p>
    <w:p>
      <w:pPr>
        <w:spacing w:after="0" w:line="235" w:lineRule="exact"/>
        <w:rPr>
          <w:sz w:val="24"/>
          <w:szCs w:val="24"/>
          <w:color w:val="auto"/>
        </w:rPr>
      </w:pPr>
    </w:p>
    <w:p>
      <w:pPr>
        <w:spacing w:after="0" w:line="236" w:lineRule="auto"/>
        <w:rPr>
          <w:sz w:val="20"/>
          <w:szCs w:val="20"/>
          <w:color w:val="auto"/>
        </w:rPr>
      </w:pPr>
      <w:r>
        <w:rPr>
          <w:rFonts w:ascii="Arial" w:cs="Arial" w:eastAsia="Arial" w:hAnsi="Arial"/>
          <w:sz w:val="18"/>
          <w:szCs w:val="18"/>
          <w:color w:val="auto"/>
        </w:rPr>
        <w:t>In addition to noting the supportive comments by tech companies, independent programmers, diversity groups, advertisers, business organizations, community partners, academics, and state and local leaders, our reply comments will respond to the arguments made by competitors like Dish (which reaches almost 100% of American video homes), by large programmers like Discovery Communications (the self-proclaimed “#1 Pay-TV Programmer in the World” and a $25 billion company, that has grown by $10 billion in market capitalization in just three years), Netflix (the country’s largest subscription video provider with 36 million domestic customers and controller of a third of Internet traffic), advertising aggregating competitor Viamedia (which takes a position that contradicts the strong support of the only advertisers who have filed in the transaction docket), and the usual “big is bad” groups (whose predictions of doom and gloom for every large transaction in the cable space since the 1990s have never come to pass).</w:t>
      </w:r>
    </w:p>
    <w:p>
      <w:pPr>
        <w:spacing w:after="0" w:line="235"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The Writers Guild of America West, an opponent of the transaction, acknowledges we are in a “Golden Age of Television.” And the investment made by companies like Comcast in broadband has allowed an explosion in innovation and new products and services. More and more competition has come into every market, and the “sky is falling” predictions of entities like Consumer’s Union, Consumer Federation of America, and Free Press haven’t been accurate in the past – and ring no more true today.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We look forward to sharing our reply comments in this space tomorrow morning after they are filed with the FCC tonight.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2" w:name="page3"/>
    <w:bookmarkEnd w:id="2"/>
    <w:p>
      <w:pPr>
        <w:ind w:right="40"/>
        <w:spacing w:after="0" w:line="236" w:lineRule="auto"/>
        <w:rPr>
          <w:sz w:val="20"/>
          <w:szCs w:val="20"/>
          <w:color w:val="auto"/>
        </w:rPr>
      </w:pPr>
      <w:r>
        <w:rPr>
          <w:rFonts w:ascii="Arial" w:cs="Arial" w:eastAsia="Arial" w:hAnsi="Arial"/>
          <w:sz w:val="18"/>
          <w:szCs w:val="18"/>
          <w:color w:val="auto"/>
        </w:rPr>
        <w:t>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2019-12-16T10:49:31Z</dcterms:created>
  <dcterms:modified xsi:type="dcterms:W3CDTF">2019-12-16T10:49:31Z</dcterms:modified>
</cp:coreProperties>
</file>