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WASHINGTON, D.C. 20549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8-K/A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CURRENT REPORT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Pursuant To Section 13 Or 15(d) of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The Securities Exchange Act of 1934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reported): October 19, 2004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Comcast Corporation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 Specified in Charter)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Pennsylvania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ectPr>
          <w:pgSz w:w="11900" w:h="16838" w:orient="portrait"/>
          <w:cols w:equalWidth="0" w:num="1">
            <w:col w:w="10880"/>
          </w:cols>
          <w:pgMar w:left="240" w:top="1012" w:right="779" w:bottom="1440" w:gutter="0" w:footer="0" w:header="0"/>
        </w:sect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ind w:right="3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000-50093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3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27-0000798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(IRS Employer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620"/>
          </w:cols>
          <w:pgMar w:left="240" w:top="1012" w:right="779" w:bottom="1440" w:gutter="0" w:footer="0" w:header="0"/>
          <w:type w:val="continuous"/>
        </w:sectPr>
      </w:pP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center"/>
        <w:ind w:righ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1500 Market Street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Philadelphia, PA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19102-2148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340" w:space="720"/>
            <w:col w:w="1820"/>
          </w:cols>
          <w:pgMar w:left="240" w:top="1012" w:right="779" w:bottom="1440" w:gutter="0" w:footer="0" w:header="0"/>
          <w:type w:val="continuous"/>
        </w:sectPr>
      </w:pP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(215) 665-1700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 below if the Form 8-K filing is intended to simultaneously satisfy the filing obligation of the registrant under any of the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provisions (see General Instruction A.2. below):</w:t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60"/>
        <w:spacing w:after="0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[ 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Written communications pursuant to Rule 425 under the Securities Act (17 CFR 230.425)</w:t>
      </w:r>
    </w:p>
    <w:p>
      <w:pPr>
        <w:sectPr>
          <w:pgSz w:w="11900" w:h="16838" w:orient="portrait"/>
          <w:cols w:equalWidth="0" w:num="1">
            <w:col w:w="10880"/>
          </w:cols>
          <w:pgMar w:left="240" w:top="1012" w:right="779" w:bottom="1440" w:gutter="0" w:footer="0" w:header="0"/>
          <w:type w:val="continuous"/>
        </w:sect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[ 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Rule 14a-12(b) under the Exchange Act (17 CFR 240.14a-12(b))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0" w:space="400"/>
            <w:col w:w="10220"/>
          </w:cols>
          <w:pgMar w:left="240" w:top="1012" w:right="779" w:bottom="1440" w:gutter="0" w:footer="0" w:header="0"/>
          <w:type w:val="continuous"/>
        </w:sectPr>
      </w:pP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[ 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14d-2(b) under the Exchange Act (17 CFR 240.14d-2(b))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0" w:space="400"/>
            <w:col w:w="10220"/>
          </w:cols>
          <w:pgMar w:left="240" w:top="1012" w:right="779" w:bottom="1440" w:gutter="0" w:footer="0" w:header="0"/>
          <w:type w:val="continuous"/>
        </w:sectPr>
      </w:pP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[ 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-415290</wp:posOffset>
            </wp:positionH>
            <wp:positionV relativeFrom="paragraph">
              <wp:posOffset>1142365</wp:posOffset>
            </wp:positionV>
            <wp:extent cx="7250430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2">
            <w:col w:w="260" w:space="400"/>
            <w:col w:w="10220"/>
          </w:cols>
          <w:pgMar w:left="240" w:top="1012" w:right="779" w:bottom="1440" w:gutter="0" w:footer="0" w:header="0"/>
          <w:type w:val="continuous"/>
        </w:sectPr>
      </w:pPr>
    </w:p>
    <w:bookmarkStart w:id="1" w:name="page2"/>
    <w:bookmarkEnd w:id="1"/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 Departure of Directors or Principal Officers; Election of Directors; Appointment of Principal Officers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firstLine="324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October 19, 2004, the Board of Directors of Comcast Corporation elected Joseph J. Collins to the Board. Mr. Collins has been appointed to be a member of each of the Audit and Compensation Committees of the Board.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1229995</wp:posOffset>
            </wp:positionV>
            <wp:extent cx="7250430" cy="21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60"/>
          </w:cols>
          <w:pgMar w:left="240" w:top="1148" w:right="699" w:bottom="1440" w:gutter="0" w:footer="0" w:header="0"/>
        </w:sectPr>
      </w:pPr>
    </w:p>
    <w:bookmarkStart w:id="2" w:name="page3"/>
    <w:bookmarkEnd w:id="2"/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160" w:firstLine="324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COMCAST CORPORATION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20" w:val="left"/>
          <w:tab w:leader="none" w:pos="5680" w:val="left"/>
          <w:tab w:leader="none" w:pos="6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April 8, 2005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/s/ Arthur R. Block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28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</w:t>
        <w:tab/>
        <w:t>Arthur R. Block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3983990</wp:posOffset>
            </wp:positionH>
            <wp:positionV relativeFrom="paragraph">
              <wp:posOffset>-130175</wp:posOffset>
            </wp:positionV>
            <wp:extent cx="326707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28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Senior Vice President, General Counsel &amp; Secretary</w:t>
      </w:r>
    </w:p>
    <w:sectPr>
      <w:pgSz w:w="11900" w:h="16838" w:orient="portrait"/>
      <w:cols w:equalWidth="0" w:num="1">
        <w:col w:w="10760"/>
      </w:cols>
      <w:pgMar w:left="240" w:top="877" w:right="8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2019-12-12T04:09:26Z</dcterms:created>
  <dcterms:modified xsi:type="dcterms:W3CDTF">2019-12-12T04:09:26Z</dcterms:modified>
</cp:coreProperties>
</file>