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333-158816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April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109855</wp:posOffset>
            </wp:positionV>
            <wp:extent cx="139763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$700,000,000 5.70% Notes due 2019</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$800,000,000 6.55% Notes due 2039</w:t>
      </w:r>
    </w:p>
    <w:p>
      <w:pPr>
        <w:spacing w:after="0" w:line="14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Notes due 2019 will bear interest at a rate of 5.70% per year and will mature on July 1, 2019 and the Notes due 2039 will bear interest at a rate of</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6.55% per year and will mature on July 1, 2039. We will pay interest on the Notes due 2019 on January 1 and July 1 of each year, beginning January 1, 2010. We</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will pay interest on the Notes due 2039 on January 1 and July 1 of each year, beginning January 1, 2010. We may redeem any of the notes at any time by paying</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the greater of the principal amount of such notes or a “make-whole” amount, plus, in each case, accrued and unpaid interest. See “Description of the Notes—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Optional Redemption.”</w:t>
      </w:r>
    </w:p>
    <w:p>
      <w:pPr>
        <w:spacing w:after="0" w:line="165"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79" w:lineRule="exact"/>
        <w:rPr>
          <w:sz w:val="24"/>
          <w:szCs w:val="24"/>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Investing in the notes involves risks that are described in the “Risk Factors” section of our Annual Report on Form 10-K for the year ended December 31, 2008.</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9"/>
              </w:rPr>
              <w:t>Underwriters’</w:t>
            </w:r>
          </w:p>
        </w:tc>
        <w:tc>
          <w:tcPr>
            <w:tcW w:w="34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Proceeds to Us Before</w:t>
            </w:r>
          </w:p>
        </w:tc>
        <w:tc>
          <w:tcPr>
            <w:tcW w:w="0" w:type="dxa"/>
            <w:vAlign w:val="bottom"/>
          </w:tcPr>
          <w:p>
            <w:pPr>
              <w:spacing w:after="0"/>
              <w:rPr>
                <w:sz w:val="1"/>
                <w:szCs w:val="1"/>
                <w:color w:val="auto"/>
              </w:rPr>
            </w:pPr>
          </w:p>
        </w:tc>
      </w:tr>
      <w:tr>
        <w:trPr>
          <w:trHeight w:val="161"/>
        </w:trPr>
        <w:tc>
          <w:tcPr>
            <w:tcW w:w="6960" w:type="dxa"/>
            <w:vAlign w:val="bottom"/>
            <w:vMerge w:val="restart"/>
          </w:tcPr>
          <w:p>
            <w:pPr>
              <w:spacing w:after="0"/>
              <w:rPr>
                <w:sz w:val="20"/>
                <w:szCs w:val="20"/>
                <w:color w:val="auto"/>
              </w:rPr>
            </w:pPr>
            <w:r>
              <w:rPr>
                <w:rFonts w:ascii="Arial" w:cs="Arial" w:eastAsia="Arial" w:hAnsi="Arial"/>
                <w:sz w:val="18"/>
                <w:szCs w:val="18"/>
                <w:color w:val="auto"/>
              </w:rPr>
              <w:t>Per note due 2019</w:t>
            </w:r>
            <w:r>
              <w:rPr>
                <w:rFonts w:ascii="Arial" w:cs="Arial" w:eastAsia="Arial" w:hAnsi="Arial"/>
                <w:sz w:val="11"/>
                <w:szCs w:val="11"/>
                <w:color w:val="auto"/>
              </w:rPr>
              <w:t>(1)</w:t>
            </w: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Price to Investors</w:t>
            </w: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Discount</w:t>
            </w:r>
          </w:p>
        </w:tc>
        <w:tc>
          <w:tcPr>
            <w:tcW w:w="34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201"/>
        </w:trPr>
        <w:tc>
          <w:tcPr>
            <w:tcW w:w="6960" w:type="dxa"/>
            <w:vAlign w:val="bottom"/>
            <w:vMerge w:val="continue"/>
          </w:tcPr>
          <w:p>
            <w:pPr>
              <w:spacing w:after="0"/>
              <w:rPr>
                <w:sz w:val="17"/>
                <w:szCs w:val="17"/>
                <w:color w:val="auto"/>
              </w:rPr>
            </w:pPr>
          </w:p>
        </w:tc>
        <w:tc>
          <w:tcPr>
            <w:tcW w:w="1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99.763%</w:t>
            </w:r>
          </w:p>
        </w:tc>
        <w:tc>
          <w:tcPr>
            <w:tcW w:w="340" w:type="dxa"/>
            <w:vAlign w:val="bottom"/>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0.450%</w:t>
            </w:r>
          </w:p>
        </w:tc>
        <w:tc>
          <w:tcPr>
            <w:tcW w:w="340" w:type="dxa"/>
            <w:vAlign w:val="bottom"/>
          </w:tcPr>
          <w:p>
            <w:pPr>
              <w:spacing w:after="0"/>
              <w:rPr>
                <w:sz w:val="17"/>
                <w:szCs w:val="17"/>
                <w:color w:val="auto"/>
              </w:rPr>
            </w:pPr>
          </w:p>
        </w:tc>
        <w:tc>
          <w:tcPr>
            <w:tcW w:w="1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99.313%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$698,341,000</w:t>
            </w:r>
          </w:p>
        </w:tc>
        <w:tc>
          <w:tcPr>
            <w:tcW w:w="1000" w:type="dxa"/>
            <w:vAlign w:val="bottom"/>
          </w:tcPr>
          <w:p>
            <w:pPr>
              <w:jc w:val="right"/>
              <w:spacing w:after="0"/>
              <w:rPr>
                <w:sz w:val="20"/>
                <w:szCs w:val="20"/>
                <w:color w:val="auto"/>
              </w:rPr>
            </w:pPr>
            <w:r>
              <w:rPr>
                <w:rFonts w:ascii="Arial" w:cs="Arial" w:eastAsia="Arial" w:hAnsi="Arial"/>
                <w:sz w:val="18"/>
                <w:szCs w:val="18"/>
                <w:color w:val="auto"/>
              </w:rPr>
              <w:t>$3,150,000</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$695,191,000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Per note due 2039</w:t>
            </w:r>
            <w:r>
              <w:rPr>
                <w:rFonts w:ascii="Arial" w:cs="Arial" w:eastAsia="Arial" w:hAnsi="Arial"/>
                <w:sz w:val="11"/>
                <w:szCs w:val="11"/>
                <w:color w:val="auto"/>
              </w:rPr>
              <w:t>(1)</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99.502%</w:t>
            </w:r>
          </w:p>
        </w:tc>
        <w:tc>
          <w:tcPr>
            <w:tcW w:w="1000" w:type="dxa"/>
            <w:vAlign w:val="bottom"/>
          </w:tcPr>
          <w:p>
            <w:pPr>
              <w:jc w:val="right"/>
              <w:spacing w:after="0"/>
              <w:rPr>
                <w:sz w:val="20"/>
                <w:szCs w:val="20"/>
                <w:color w:val="auto"/>
              </w:rPr>
            </w:pPr>
            <w:r>
              <w:rPr>
                <w:rFonts w:ascii="Arial" w:cs="Arial" w:eastAsia="Arial" w:hAnsi="Arial"/>
                <w:sz w:val="18"/>
                <w:szCs w:val="18"/>
                <w:color w:val="auto"/>
              </w:rPr>
              <w:t>0.875%</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98.627%</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$796,016,000</w:t>
            </w:r>
          </w:p>
        </w:tc>
        <w:tc>
          <w:tcPr>
            <w:tcW w:w="1000" w:type="dxa"/>
            <w:vAlign w:val="bottom"/>
          </w:tcPr>
          <w:p>
            <w:pPr>
              <w:jc w:val="right"/>
              <w:spacing w:after="0"/>
              <w:rPr>
                <w:sz w:val="20"/>
                <w:szCs w:val="20"/>
                <w:color w:val="auto"/>
              </w:rPr>
            </w:pPr>
            <w:r>
              <w:rPr>
                <w:rFonts w:ascii="Arial" w:cs="Arial" w:eastAsia="Arial" w:hAnsi="Arial"/>
                <w:sz w:val="18"/>
                <w:szCs w:val="18"/>
                <w:color w:val="auto"/>
              </w:rPr>
              <w:t>$7,000,000</w:t>
            </w: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$789,016,000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if any, from June 18, 2009, if settlement occurs after that date.</w:t>
      </w:r>
    </w:p>
    <w:p>
      <w:pPr>
        <w:spacing w:after="0" w:line="152"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June 18, 2009.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Banc of America Securities LLC Barclays Capital BNP PARIBAS Wachovia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2820" w:type="dxa"/>
            <w:vAlign w:val="bottom"/>
          </w:tcPr>
          <w:p>
            <w:pPr>
              <w:jc w:val="center"/>
              <w:ind w:right="362"/>
              <w:spacing w:after="0"/>
              <w:rPr>
                <w:sz w:val="20"/>
                <w:szCs w:val="20"/>
                <w:color w:val="auto"/>
              </w:rPr>
            </w:pPr>
            <w:r>
              <w:rPr>
                <w:rFonts w:ascii="Arial" w:cs="Arial" w:eastAsia="Arial" w:hAnsi="Arial"/>
                <w:sz w:val="18"/>
                <w:szCs w:val="18"/>
                <w:b w:val="1"/>
                <w:bCs w:val="1"/>
                <w:color w:val="auto"/>
              </w:rPr>
              <w:t>Citi</w:t>
            </w:r>
          </w:p>
        </w:tc>
        <w:tc>
          <w:tcPr>
            <w:tcW w:w="1220" w:type="dxa"/>
            <w:vAlign w:val="bottom"/>
          </w:tcPr>
          <w:p>
            <w:pPr>
              <w:spacing w:after="0"/>
              <w:rPr>
                <w:sz w:val="18"/>
                <w:szCs w:val="18"/>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8"/>
              </w:rPr>
              <w:t>Daiwa Securities America Inc.</w:t>
            </w:r>
          </w:p>
        </w:tc>
        <w:tc>
          <w:tcPr>
            <w:tcW w:w="2760" w:type="dxa"/>
            <w:vAlign w:val="bottom"/>
          </w:tcPr>
          <w:p>
            <w:pPr>
              <w:jc w:val="center"/>
              <w:ind w:left="382"/>
              <w:spacing w:after="0"/>
              <w:rPr>
                <w:sz w:val="20"/>
                <w:szCs w:val="20"/>
                <w:color w:val="auto"/>
              </w:rPr>
            </w:pPr>
            <w:r>
              <w:rPr>
                <w:rFonts w:ascii="Arial" w:cs="Arial" w:eastAsia="Arial" w:hAnsi="Arial"/>
                <w:sz w:val="18"/>
                <w:szCs w:val="18"/>
                <w:b w:val="1"/>
                <w:bCs w:val="1"/>
                <w:color w:val="auto"/>
                <w:w w:val="85"/>
              </w:rPr>
              <w:t>Deutsche Bank Securities</w:t>
            </w:r>
          </w:p>
        </w:tc>
        <w:tc>
          <w:tcPr>
            <w:tcW w:w="0" w:type="dxa"/>
            <w:vAlign w:val="bottom"/>
          </w:tcPr>
          <w:p>
            <w:pPr>
              <w:spacing w:after="0"/>
              <w:rPr>
                <w:sz w:val="1"/>
                <w:szCs w:val="1"/>
                <w:color w:val="auto"/>
              </w:rPr>
            </w:pPr>
          </w:p>
        </w:tc>
      </w:tr>
      <w:tr>
        <w:trPr>
          <w:trHeight w:val="216"/>
        </w:trPr>
        <w:tc>
          <w:tcPr>
            <w:tcW w:w="2820" w:type="dxa"/>
            <w:vAlign w:val="bottom"/>
          </w:tcPr>
          <w:p>
            <w:pPr>
              <w:jc w:val="center"/>
              <w:ind w:right="362"/>
              <w:spacing w:after="0"/>
              <w:rPr>
                <w:sz w:val="20"/>
                <w:szCs w:val="20"/>
                <w:color w:val="auto"/>
              </w:rPr>
            </w:pPr>
            <w:r>
              <w:rPr>
                <w:rFonts w:ascii="Arial" w:cs="Arial" w:eastAsia="Arial" w:hAnsi="Arial"/>
                <w:sz w:val="18"/>
                <w:szCs w:val="18"/>
                <w:b w:val="1"/>
                <w:bCs w:val="1"/>
                <w:color w:val="auto"/>
                <w:w w:val="88"/>
              </w:rPr>
              <w:t>Goldman, Sachs &amp; Co.</w:t>
            </w:r>
          </w:p>
        </w:tc>
        <w:tc>
          <w:tcPr>
            <w:tcW w:w="1220" w:type="dxa"/>
            <w:vAlign w:val="bottom"/>
          </w:tcPr>
          <w:p>
            <w:pPr>
              <w:spacing w:after="0"/>
              <w:rPr>
                <w:sz w:val="18"/>
                <w:szCs w:val="18"/>
                <w:color w:val="auto"/>
              </w:rPr>
            </w:pPr>
          </w:p>
        </w:tc>
        <w:tc>
          <w:tcPr>
            <w:tcW w:w="364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0"/>
              </w:rPr>
              <w:t>J.P. Morgan</w:t>
            </w:r>
          </w:p>
        </w:tc>
        <w:tc>
          <w:tcPr>
            <w:tcW w:w="276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Mitsubishi UFJ Securities</w:t>
            </w:r>
          </w:p>
        </w:tc>
        <w:tc>
          <w:tcPr>
            <w:tcW w:w="0" w:type="dxa"/>
            <w:vAlign w:val="bottom"/>
          </w:tcPr>
          <w:p>
            <w:pPr>
              <w:spacing w:after="0"/>
              <w:rPr>
                <w:sz w:val="1"/>
                <w:szCs w:val="1"/>
                <w:color w:val="auto"/>
              </w:rPr>
            </w:pPr>
          </w:p>
        </w:tc>
      </w:tr>
      <w:tr>
        <w:trPr>
          <w:trHeight w:val="228"/>
        </w:trPr>
        <w:tc>
          <w:tcPr>
            <w:tcW w:w="2820" w:type="dxa"/>
            <w:vAlign w:val="bottom"/>
          </w:tcPr>
          <w:p>
            <w:pPr>
              <w:jc w:val="center"/>
              <w:ind w:right="362"/>
              <w:spacing w:after="0"/>
              <w:rPr>
                <w:sz w:val="20"/>
                <w:szCs w:val="20"/>
                <w:color w:val="auto"/>
              </w:rPr>
            </w:pPr>
            <w:r>
              <w:rPr>
                <w:rFonts w:ascii="Arial" w:cs="Arial" w:eastAsia="Arial" w:hAnsi="Arial"/>
                <w:sz w:val="18"/>
                <w:szCs w:val="18"/>
                <w:b w:val="1"/>
                <w:bCs w:val="1"/>
                <w:color w:val="auto"/>
                <w:w w:val="90"/>
              </w:rPr>
              <w:t>Morgan Stanley</w:t>
            </w:r>
          </w:p>
        </w:tc>
        <w:tc>
          <w:tcPr>
            <w:tcW w:w="1220" w:type="dxa"/>
            <w:vAlign w:val="bottom"/>
          </w:tcPr>
          <w:p>
            <w:pPr>
              <w:spacing w:after="0"/>
              <w:rPr>
                <w:sz w:val="19"/>
                <w:szCs w:val="19"/>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9"/>
              </w:rPr>
              <w:t>RBS</w:t>
            </w:r>
          </w:p>
        </w:tc>
        <w:tc>
          <w:tcPr>
            <w:tcW w:w="276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UBS Investment Bank</w:t>
            </w:r>
          </w:p>
        </w:tc>
        <w:tc>
          <w:tcPr>
            <w:tcW w:w="0" w:type="dxa"/>
            <w:vAlign w:val="bottom"/>
          </w:tcPr>
          <w:p>
            <w:pPr>
              <w:spacing w:after="0"/>
              <w:rPr>
                <w:sz w:val="1"/>
                <w:szCs w:val="1"/>
                <w:color w:val="auto"/>
              </w:rPr>
            </w:pPr>
          </w:p>
        </w:tc>
      </w:tr>
      <w:tr>
        <w:trPr>
          <w:trHeight w:val="433"/>
        </w:trPr>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8"/>
              </w:rPr>
              <w:t>SunTrust Robinson Humphrey</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jc w:val="center"/>
              <w:ind w:right="362"/>
              <w:spacing w:after="0"/>
              <w:rPr>
                <w:sz w:val="20"/>
                <w:szCs w:val="20"/>
                <w:color w:val="auto"/>
              </w:rPr>
            </w:pPr>
            <w:r>
              <w:rPr>
                <w:rFonts w:ascii="Arial" w:cs="Arial" w:eastAsia="Arial" w:hAnsi="Arial"/>
                <w:sz w:val="18"/>
                <w:szCs w:val="18"/>
                <w:b w:val="1"/>
                <w:bCs w:val="1"/>
                <w:color w:val="auto"/>
                <w:w w:val="90"/>
              </w:rPr>
              <w:t>Lloyds TSB Corporate Markets</w:t>
            </w:r>
          </w:p>
        </w:tc>
        <w:tc>
          <w:tcPr>
            <w:tcW w:w="1220" w:type="dxa"/>
            <w:vAlign w:val="bottom"/>
          </w:tcPr>
          <w:p>
            <w:pPr>
              <w:spacing w:after="0"/>
              <w:rPr>
                <w:sz w:val="18"/>
                <w:szCs w:val="18"/>
                <w:color w:val="auto"/>
              </w:rPr>
            </w:pPr>
          </w:p>
        </w:tc>
        <w:tc>
          <w:tcPr>
            <w:tcW w:w="364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9"/>
              </w:rPr>
              <w:t>Mizuho Securities USA Inc.</w:t>
            </w:r>
          </w:p>
        </w:tc>
        <w:tc>
          <w:tcPr>
            <w:tcW w:w="2760" w:type="dxa"/>
            <w:vAlign w:val="bottom"/>
          </w:tcPr>
          <w:p>
            <w:pPr>
              <w:jc w:val="center"/>
              <w:ind w:left="362"/>
              <w:spacing w:after="0"/>
              <w:rPr>
                <w:sz w:val="20"/>
                <w:szCs w:val="20"/>
                <w:color w:val="auto"/>
              </w:rPr>
            </w:pPr>
            <w:r>
              <w:rPr>
                <w:rFonts w:ascii="Arial" w:cs="Arial" w:eastAsia="Arial" w:hAnsi="Arial"/>
                <w:sz w:val="18"/>
                <w:szCs w:val="18"/>
                <w:b w:val="1"/>
                <w:bCs w:val="1"/>
                <w:color w:val="auto"/>
                <w:w w:val="87"/>
              </w:rPr>
              <w:t>U.S. Bancorp Investments, Inc.</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19"/>
                <w:szCs w:val="19"/>
                <w:color w:val="auto"/>
              </w:rPr>
            </w:pPr>
          </w:p>
        </w:tc>
        <w:tc>
          <w:tcPr>
            <w:tcW w:w="4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BNY Mellon Capital Markets, LLC</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82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1"/>
              </w:rPr>
              <w:t>Loop Capital Markets, LLC</w:t>
            </w:r>
          </w:p>
        </w:tc>
        <w:tc>
          <w:tcPr>
            <w:tcW w:w="12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7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0"/>
              </w:rPr>
              <w:t>The Williams Capital Group, L.P.</w:t>
            </w:r>
          </w:p>
        </w:tc>
        <w:tc>
          <w:tcPr>
            <w:tcW w:w="0" w:type="dxa"/>
            <w:vAlign w:val="bottom"/>
          </w:tcPr>
          <w:p>
            <w:pPr>
              <w:spacing w:after="0"/>
              <w:rPr>
                <w:sz w:val="1"/>
                <w:szCs w:val="1"/>
                <w:color w:val="auto"/>
              </w:rPr>
            </w:pPr>
          </w:p>
        </w:tc>
      </w:tr>
      <w:tr>
        <w:trPr>
          <w:trHeight w:val="359"/>
        </w:trPr>
        <w:tc>
          <w:tcPr>
            <w:tcW w:w="28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2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89"/>
              </w:rPr>
              <w:t>Blaylock Robert Van, LLC</w:t>
            </w:r>
          </w:p>
        </w:tc>
        <w:tc>
          <w:tcPr>
            <w:tcW w:w="1220" w:type="dxa"/>
            <w:vAlign w:val="bottom"/>
          </w:tcPr>
          <w:p>
            <w:pPr>
              <w:spacing w:after="0"/>
              <w:rPr>
                <w:sz w:val="12"/>
                <w:szCs w:val="12"/>
                <w:color w:val="auto"/>
              </w:rPr>
            </w:pPr>
          </w:p>
        </w:tc>
        <w:tc>
          <w:tcPr>
            <w:tcW w:w="36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Cabrera Capital Markets, LLC</w:t>
            </w:r>
          </w:p>
        </w:tc>
        <w:tc>
          <w:tcPr>
            <w:tcW w:w="27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88"/>
              </w:rPr>
              <w:t>Doley Securities, LLC</w:t>
            </w:r>
          </w:p>
        </w:tc>
        <w:tc>
          <w:tcPr>
            <w:tcW w:w="0" w:type="dxa"/>
            <w:vAlign w:val="bottom"/>
          </w:tcPr>
          <w:p>
            <w:pPr>
              <w:spacing w:after="0"/>
              <w:rPr>
                <w:sz w:val="1"/>
                <w:szCs w:val="1"/>
                <w:color w:val="auto"/>
              </w:rPr>
            </w:pPr>
          </w:p>
        </w:tc>
      </w:tr>
      <w:tr>
        <w:trPr>
          <w:trHeight w:val="149"/>
        </w:trPr>
        <w:tc>
          <w:tcPr>
            <w:tcW w:w="2820" w:type="dxa"/>
            <w:vAlign w:val="bottom"/>
          </w:tcPr>
          <w:p>
            <w:pPr>
              <w:jc w:val="center"/>
              <w:ind w:left="62"/>
              <w:spacing w:after="0" w:line="149" w:lineRule="exact"/>
              <w:rPr>
                <w:sz w:val="20"/>
                <w:szCs w:val="20"/>
                <w:color w:val="auto"/>
              </w:rPr>
            </w:pPr>
            <w:r>
              <w:rPr>
                <w:rFonts w:ascii="Arial" w:cs="Arial" w:eastAsia="Arial" w:hAnsi="Arial"/>
                <w:sz w:val="14"/>
                <w:szCs w:val="14"/>
                <w:b w:val="1"/>
                <w:bCs w:val="1"/>
                <w:color w:val="auto"/>
                <w:w w:val="90"/>
              </w:rPr>
              <w:t>Guzman &amp; Company</w:t>
            </w:r>
          </w:p>
        </w:tc>
        <w:tc>
          <w:tcPr>
            <w:tcW w:w="1220" w:type="dxa"/>
            <w:vAlign w:val="bottom"/>
          </w:tcPr>
          <w:p>
            <w:pPr>
              <w:spacing w:after="0"/>
              <w:rPr>
                <w:sz w:val="12"/>
                <w:szCs w:val="12"/>
                <w:color w:val="auto"/>
              </w:rPr>
            </w:pPr>
          </w:p>
        </w:tc>
        <w:tc>
          <w:tcPr>
            <w:tcW w:w="36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1"/>
              </w:rPr>
              <w:t>M.R. Beal &amp; Company</w:t>
            </w:r>
          </w:p>
        </w:tc>
        <w:tc>
          <w:tcPr>
            <w:tcW w:w="27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1"/>
              </w:rPr>
              <w:t>Ramirez &amp; Co., Inc.</w:t>
            </w:r>
          </w:p>
        </w:tc>
        <w:tc>
          <w:tcPr>
            <w:tcW w:w="0" w:type="dxa"/>
            <w:vAlign w:val="bottom"/>
          </w:tcPr>
          <w:p>
            <w:pPr>
              <w:spacing w:after="0"/>
              <w:rPr>
                <w:sz w:val="1"/>
                <w:szCs w:val="1"/>
                <w:color w:val="auto"/>
              </w:rPr>
            </w:pPr>
          </w:p>
        </w:tc>
      </w:tr>
      <w:tr>
        <w:trPr>
          <w:trHeight w:val="174"/>
        </w:trPr>
        <w:tc>
          <w:tcPr>
            <w:tcW w:w="2820" w:type="dxa"/>
            <w:vAlign w:val="bottom"/>
          </w:tcPr>
          <w:p>
            <w:pPr>
              <w:jc w:val="center"/>
              <w:ind w:left="62"/>
              <w:spacing w:after="0"/>
              <w:rPr>
                <w:sz w:val="20"/>
                <w:szCs w:val="20"/>
                <w:color w:val="auto"/>
              </w:rPr>
            </w:pPr>
            <w:r>
              <w:rPr>
                <w:rFonts w:ascii="Arial" w:cs="Arial" w:eastAsia="Arial" w:hAnsi="Arial"/>
                <w:sz w:val="14"/>
                <w:szCs w:val="14"/>
                <w:b w:val="1"/>
                <w:bCs w:val="1"/>
                <w:color w:val="auto"/>
                <w:w w:val="90"/>
              </w:rPr>
              <w:t>Siebert Capital Markets</w:t>
            </w:r>
          </w:p>
        </w:tc>
        <w:tc>
          <w:tcPr>
            <w:tcW w:w="1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76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Utendahl Capital Group, LLC</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2820" w:type="dxa"/>
            <w:vAlign w:val="bottom"/>
          </w:tcPr>
          <w:p>
            <w:pPr>
              <w:spacing w:after="0"/>
              <w:rPr>
                <w:sz w:val="24"/>
                <w:szCs w:val="24"/>
                <w:color w:val="auto"/>
              </w:rPr>
            </w:pPr>
          </w:p>
        </w:tc>
        <w:tc>
          <w:tcPr>
            <w:tcW w:w="486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The date of this prospectus supplement is June 15, 2009.</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CALCULATION OF REGISTRATION FEE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jc w:val="center"/>
              <w:ind w:left="722"/>
              <w:spacing w:after="0"/>
              <w:rPr>
                <w:sz w:val="20"/>
                <w:szCs w:val="20"/>
                <w:color w:val="auto"/>
              </w:rPr>
            </w:pPr>
            <w:r>
              <w:rPr>
                <w:rFonts w:ascii="Arial" w:cs="Arial" w:eastAsia="Arial" w:hAnsi="Arial"/>
                <w:sz w:val="14"/>
                <w:szCs w:val="14"/>
                <w:b w:val="1"/>
                <w:bCs w:val="1"/>
                <w:color w:val="auto"/>
                <w:w w:val="88"/>
              </w:rPr>
              <w:t>Title Of Each Class</w:t>
            </w:r>
          </w:p>
        </w:tc>
        <w:tc>
          <w:tcPr>
            <w:tcW w:w="2780" w:type="dxa"/>
            <w:vAlign w:val="bottom"/>
          </w:tcPr>
          <w:p>
            <w:pPr>
              <w:jc w:val="center"/>
              <w:ind w:left="684"/>
              <w:spacing w:after="0" w:line="149" w:lineRule="exact"/>
              <w:rPr>
                <w:sz w:val="20"/>
                <w:szCs w:val="20"/>
                <w:color w:val="auto"/>
              </w:rPr>
            </w:pPr>
            <w:r>
              <w:rPr>
                <w:rFonts w:ascii="Arial" w:cs="Arial" w:eastAsia="Arial" w:hAnsi="Arial"/>
                <w:sz w:val="14"/>
                <w:szCs w:val="14"/>
                <w:b w:val="1"/>
                <w:bCs w:val="1"/>
                <w:color w:val="auto"/>
                <w:w w:val="86"/>
              </w:rPr>
              <w:t>Amount</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34"/>
        </w:trPr>
        <w:tc>
          <w:tcPr>
            <w:tcW w:w="5160" w:type="dxa"/>
            <w:vAlign w:val="bottom"/>
            <w:vMerge w:val="continue"/>
          </w:tcPr>
          <w:p>
            <w:pPr>
              <w:spacing w:after="0"/>
              <w:rPr>
                <w:sz w:val="11"/>
                <w:szCs w:val="11"/>
                <w:color w:val="auto"/>
              </w:rPr>
            </w:pPr>
          </w:p>
        </w:tc>
        <w:tc>
          <w:tcPr>
            <w:tcW w:w="2780" w:type="dxa"/>
            <w:vAlign w:val="bottom"/>
          </w:tcPr>
          <w:p>
            <w:pPr>
              <w:jc w:val="center"/>
              <w:ind w:left="684"/>
              <w:spacing w:after="0" w:line="135" w:lineRule="exact"/>
              <w:rPr>
                <w:sz w:val="20"/>
                <w:szCs w:val="20"/>
                <w:color w:val="auto"/>
              </w:rPr>
            </w:pPr>
            <w:r>
              <w:rPr>
                <w:rFonts w:ascii="Arial" w:cs="Arial" w:eastAsia="Arial" w:hAnsi="Arial"/>
                <w:sz w:val="14"/>
                <w:szCs w:val="14"/>
                <w:b w:val="1"/>
                <w:bCs w:val="1"/>
                <w:color w:val="auto"/>
                <w:w w:val="87"/>
              </w:rPr>
              <w:t>To Be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Offering</w:t>
            </w:r>
          </w:p>
        </w:tc>
        <w:tc>
          <w:tcPr>
            <w:tcW w:w="1780" w:type="dxa"/>
            <w:vAlign w:val="bottom"/>
          </w:tcPr>
          <w:p>
            <w:pPr>
              <w:jc w:val="center"/>
              <w:ind w:left="5"/>
              <w:spacing w:after="0" w:line="135" w:lineRule="exact"/>
              <w:rPr>
                <w:sz w:val="20"/>
                <w:szCs w:val="20"/>
                <w:color w:val="auto"/>
              </w:rPr>
            </w:pPr>
            <w:r>
              <w:rPr>
                <w:rFonts w:ascii="Arial" w:cs="Arial" w:eastAsia="Arial" w:hAnsi="Arial"/>
                <w:sz w:val="14"/>
                <w:szCs w:val="14"/>
                <w:b w:val="1"/>
                <w:bCs w:val="1"/>
                <w:color w:val="auto"/>
                <w:w w:val="85"/>
              </w:rPr>
              <w:t>Registration</w:t>
            </w:r>
          </w:p>
        </w:tc>
        <w:tc>
          <w:tcPr>
            <w:tcW w:w="0" w:type="dxa"/>
            <w:vAlign w:val="bottom"/>
          </w:tcPr>
          <w:p>
            <w:pPr>
              <w:spacing w:after="0"/>
              <w:rPr>
                <w:sz w:val="1"/>
                <w:szCs w:val="1"/>
                <w:color w:val="auto"/>
              </w:rPr>
            </w:pPr>
          </w:p>
        </w:tc>
      </w:tr>
      <w:tr>
        <w:trPr>
          <w:trHeight w:val="176"/>
        </w:trPr>
        <w:tc>
          <w:tcPr>
            <w:tcW w:w="5160" w:type="dxa"/>
            <w:vAlign w:val="bottom"/>
          </w:tcPr>
          <w:p>
            <w:pPr>
              <w:jc w:val="center"/>
              <w:ind w:left="722"/>
              <w:spacing w:after="0"/>
              <w:rPr>
                <w:sz w:val="20"/>
                <w:szCs w:val="20"/>
                <w:color w:val="auto"/>
              </w:rPr>
            </w:pPr>
            <w:r>
              <w:rPr>
                <w:rFonts w:ascii="Arial" w:cs="Arial" w:eastAsia="Arial" w:hAnsi="Arial"/>
                <w:sz w:val="14"/>
                <w:szCs w:val="14"/>
                <w:b w:val="1"/>
                <w:bCs w:val="1"/>
                <w:color w:val="auto"/>
                <w:w w:val="85"/>
              </w:rPr>
              <w:t>Of Securities To Be Registered</w:t>
            </w:r>
          </w:p>
        </w:tc>
        <w:tc>
          <w:tcPr>
            <w:tcW w:w="2780" w:type="dxa"/>
            <w:vAlign w:val="bottom"/>
          </w:tcPr>
          <w:p>
            <w:pPr>
              <w:jc w:val="center"/>
              <w:ind w:left="684"/>
              <w:spacing w:after="0"/>
              <w:rPr>
                <w:sz w:val="20"/>
                <w:szCs w:val="20"/>
                <w:color w:val="auto"/>
              </w:rPr>
            </w:pPr>
            <w:r>
              <w:rPr>
                <w:rFonts w:ascii="Arial" w:cs="Arial" w:eastAsia="Arial" w:hAnsi="Arial"/>
                <w:sz w:val="14"/>
                <w:szCs w:val="14"/>
                <w:b w:val="1"/>
                <w:bCs w:val="1"/>
                <w:color w:val="auto"/>
                <w:w w:val="85"/>
              </w:rPr>
              <w:t>Registered</w:t>
            </w:r>
          </w:p>
        </w:tc>
        <w:tc>
          <w:tcPr>
            <w:tcW w:w="1700" w:type="dxa"/>
            <w:vAlign w:val="bottom"/>
          </w:tcPr>
          <w:p>
            <w:pPr>
              <w:jc w:val="center"/>
              <w:ind w:right="6"/>
              <w:spacing w:after="0"/>
              <w:rPr>
                <w:sz w:val="20"/>
                <w:szCs w:val="20"/>
                <w:color w:val="auto"/>
              </w:rPr>
            </w:pPr>
            <w:r>
              <w:rPr>
                <w:rFonts w:ascii="Arial" w:cs="Arial" w:eastAsia="Arial" w:hAnsi="Arial"/>
                <w:sz w:val="14"/>
                <w:szCs w:val="14"/>
                <w:b w:val="1"/>
                <w:bCs w:val="1"/>
                <w:color w:val="auto"/>
                <w:w w:val="87"/>
              </w:rPr>
              <w:t>Price</w:t>
            </w:r>
          </w:p>
        </w:tc>
        <w:tc>
          <w:tcPr>
            <w:tcW w:w="1780" w:type="dxa"/>
            <w:vAlign w:val="bottom"/>
          </w:tcPr>
          <w:p>
            <w:pPr>
              <w:jc w:val="center"/>
              <w:ind w:left="5"/>
              <w:spacing w:after="0" w:line="176" w:lineRule="exact"/>
              <w:rPr>
                <w:sz w:val="20"/>
                <w:szCs w:val="20"/>
                <w:color w:val="auto"/>
              </w:rPr>
            </w:pPr>
            <w:r>
              <w:rPr>
                <w:rFonts w:ascii="Arial" w:cs="Arial" w:eastAsia="Arial" w:hAnsi="Arial"/>
                <w:sz w:val="13"/>
                <w:szCs w:val="13"/>
                <w:b w:val="1"/>
                <w:bCs w:val="1"/>
                <w:color w:val="auto"/>
                <w:w w:val="87"/>
              </w:rPr>
              <w:t>Fee</w:t>
            </w:r>
            <w:r>
              <w:rPr>
                <w:rFonts w:ascii="Arial" w:cs="Arial" w:eastAsia="Arial" w:hAnsi="Arial"/>
                <w:sz w:val="20"/>
                <w:szCs w:val="20"/>
                <w:b w:val="1"/>
                <w:bCs w:val="1"/>
                <w:color w:val="auto"/>
                <w:w w:val="87"/>
                <w:vertAlign w:val="superscript"/>
              </w:rPr>
              <w:t>(1)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5.70% Notes due 2019</w:t>
            </w:r>
          </w:p>
        </w:tc>
        <w:tc>
          <w:tcPr>
            <w:tcW w:w="2780" w:type="dxa"/>
            <w:vAlign w:val="bottom"/>
            <w:shd w:val="clear" w:color="auto" w:fill="CCEEFF"/>
          </w:tcPr>
          <w:p>
            <w:pPr>
              <w:jc w:val="center"/>
              <w:ind w:left="684"/>
              <w:spacing w:after="0"/>
              <w:rPr>
                <w:sz w:val="20"/>
                <w:szCs w:val="20"/>
                <w:color w:val="auto"/>
              </w:rPr>
            </w:pPr>
            <w:r>
              <w:rPr>
                <w:rFonts w:ascii="Arial" w:cs="Arial" w:eastAsia="Arial" w:hAnsi="Arial"/>
                <w:sz w:val="18"/>
                <w:szCs w:val="18"/>
                <w:color w:val="auto"/>
                <w:w w:val="88"/>
              </w:rPr>
              <w:t>$700,000,000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780" w:type="dxa"/>
            <w:vAlign w:val="bottom"/>
            <w:shd w:val="clear" w:color="auto" w:fill="CCEEFF"/>
          </w:tcPr>
          <w:p>
            <w:pPr>
              <w:jc w:val="center"/>
              <w:ind w:left="5"/>
              <w:spacing w:after="0"/>
              <w:rPr>
                <w:sz w:val="20"/>
                <w:szCs w:val="20"/>
                <w:color w:val="auto"/>
              </w:rPr>
            </w:pPr>
            <w:r>
              <w:rPr>
                <w:rFonts w:ascii="Arial" w:cs="Arial" w:eastAsia="Arial" w:hAnsi="Arial"/>
                <w:sz w:val="18"/>
                <w:szCs w:val="18"/>
                <w:color w:val="auto"/>
                <w:w w:val="89"/>
              </w:rPr>
              <w:t>$39,060</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6.55% Notes due 2039</w:t>
            </w:r>
          </w:p>
        </w:tc>
        <w:tc>
          <w:tcPr>
            <w:tcW w:w="2780" w:type="dxa"/>
            <w:vAlign w:val="bottom"/>
          </w:tcPr>
          <w:p>
            <w:pPr>
              <w:jc w:val="center"/>
              <w:ind w:left="684"/>
              <w:spacing w:after="0"/>
              <w:rPr>
                <w:sz w:val="20"/>
                <w:szCs w:val="20"/>
                <w:color w:val="auto"/>
              </w:rPr>
            </w:pPr>
            <w:r>
              <w:rPr>
                <w:rFonts w:ascii="Arial" w:cs="Arial" w:eastAsia="Arial" w:hAnsi="Arial"/>
                <w:sz w:val="18"/>
                <w:szCs w:val="18"/>
                <w:color w:val="auto"/>
                <w:w w:val="88"/>
              </w:rPr>
              <w:t>$800,000,000</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780" w:type="dxa"/>
            <w:vAlign w:val="bottom"/>
          </w:tcPr>
          <w:p>
            <w:pPr>
              <w:jc w:val="center"/>
              <w:ind w:left="5"/>
              <w:spacing w:after="0"/>
              <w:rPr>
                <w:sz w:val="20"/>
                <w:szCs w:val="20"/>
                <w:color w:val="auto"/>
              </w:rPr>
            </w:pPr>
            <w:r>
              <w:rPr>
                <w:rFonts w:ascii="Arial" w:cs="Arial" w:eastAsia="Arial" w:hAnsi="Arial"/>
                <w:sz w:val="18"/>
                <w:szCs w:val="18"/>
                <w:color w:val="auto"/>
                <w:w w:val="89"/>
              </w:rPr>
              <w:t>$44,640</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(1) Calculated in accordance with Rule 457(r) of the Securities Act of 1933.</w:t>
      </w:r>
    </w:p>
    <w:p>
      <w:pPr>
        <w:sectPr>
          <w:pgSz w:w="11900" w:h="16838" w:orient="portrait"/>
          <w:cols w:equalWidth="0" w:num="1">
            <w:col w:w="11420"/>
          </w:cols>
          <w:pgMar w:left="240" w:top="34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20" w:type="dxa"/>
            <w:vAlign w:val="bottom"/>
            <w:gridSpan w:val="4"/>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4"/>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1"/>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8560" w:type="dxa"/>
            <w:vAlign w:val="bottom"/>
            <w:gridSpan w:val="8"/>
            <w:vMerge w:val="restart"/>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380" w:type="dxa"/>
            <w:vAlign w:val="bottom"/>
            <w:tcBorders>
              <w:bottom w:val="single" w:sz="8" w:color="0000EE"/>
            </w:tcBorders>
            <w:gridSpan w:val="11"/>
            <w:vMerge w:val="continue"/>
          </w:tcPr>
          <w:p>
            <w:pPr>
              <w:spacing w:after="0"/>
              <w:rPr>
                <w:sz w:val="14"/>
                <w:szCs w:val="14"/>
                <w:color w:val="auto"/>
              </w:rPr>
            </w:pPr>
          </w:p>
        </w:tc>
        <w:tc>
          <w:tcPr>
            <w:tcW w:w="8560" w:type="dxa"/>
            <w:vAlign w:val="bottom"/>
            <w:gridSpan w:val="8"/>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Fixed Charges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Description of the Notes</w:t>
              </w:r>
            </w:hyperlink>
          </w:p>
        </w:tc>
        <w:tc>
          <w:tcPr>
            <w:tcW w:w="8460" w:type="dxa"/>
            <w:vAlign w:val="bottom"/>
            <w:gridSpan w:val="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Material U.S. Federal Income Tax Consequences for Non-U.S. Holders</w:t>
              </w:r>
            </w:hyperlink>
          </w:p>
        </w:tc>
        <w:tc>
          <w:tcPr>
            <w:tcW w:w="592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Underwriting</w:t>
              </w:r>
            </w:hyperlink>
          </w:p>
        </w:tc>
        <w:tc>
          <w:tcPr>
            <w:tcW w:w="9980" w:type="dxa"/>
            <w:vAlign w:val="bottom"/>
            <w:gridSpan w:val="1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3"/>
          </w:tcPr>
          <w:p>
            <w:pPr>
              <w:jc w:val="center"/>
              <w:ind w:right="4540"/>
              <w:spacing w:after="0"/>
              <w:rPr>
                <w:sz w:val="20"/>
                <w:szCs w:val="20"/>
                <w:color w:val="auto"/>
              </w:rPr>
            </w:pPr>
            <w:r>
              <w:rPr>
                <w:rFonts w:ascii="Arial" w:cs="Arial" w:eastAsia="Arial" w:hAnsi="Arial"/>
                <w:sz w:val="18"/>
                <w:szCs w:val="18"/>
                <w:b w:val="1"/>
                <w:bCs w:val="1"/>
                <w:color w:val="auto"/>
                <w:w w:val="83"/>
              </w:rPr>
              <w:t>Prospectus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The Companies</w:t>
              </w:r>
            </w:hyperlink>
          </w:p>
        </w:tc>
        <w:tc>
          <w:tcPr>
            <w:tcW w:w="9800" w:type="dxa"/>
            <w:vAlign w:val="bottom"/>
            <w:gridSpan w:val="1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Caution Concerning Forward-Looking Statements</w:t>
              </w:r>
            </w:hyperlink>
          </w:p>
        </w:tc>
        <w:tc>
          <w:tcPr>
            <w:tcW w:w="7400" w:type="dxa"/>
            <w:vAlign w:val="bottom"/>
            <w:gridSpan w:val="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Dividend Policy</w:t>
              </w:r>
            </w:hyperlink>
          </w:p>
        </w:tc>
        <w:tc>
          <w:tcPr>
            <w:tcW w:w="9780" w:type="dxa"/>
            <w:vAlign w:val="bottom"/>
            <w:gridSpan w:val="1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Ratios of Earnings to Fixed Charges and of Earnings to Combined Fixed Charges and Preferred Dividends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Debt Securities and Cable Guarantees</w:t>
              </w:r>
            </w:hyperlink>
          </w:p>
        </w:tc>
        <w:tc>
          <w:tcPr>
            <w:tcW w:w="346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Global Securities</w:t>
              </w:r>
            </w:hyperlink>
          </w:p>
        </w:tc>
        <w:tc>
          <w:tcPr>
            <w:tcW w:w="722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Capital Stock</w:t>
              </w:r>
            </w:hyperlink>
          </w:p>
        </w:tc>
        <w:tc>
          <w:tcPr>
            <w:tcW w:w="8920" w:type="dxa"/>
            <w:vAlign w:val="bottom"/>
            <w:gridSpan w:val="9"/>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9540" w:type="dxa"/>
            <w:vAlign w:val="bottom"/>
            <w:gridSpan w:val="1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Available Information</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Incorporation of Certain Documents by Reference</w:t>
              </w:r>
            </w:hyperlink>
          </w:p>
        </w:tc>
        <w:tc>
          <w:tcPr>
            <w:tcW w:w="7400" w:type="dxa"/>
            <w:vAlign w:val="bottom"/>
            <w:gridSpan w:val="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80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47809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60" w:firstLine="443"/>
        <w:spacing w:after="0" w:line="289" w:lineRule="auto"/>
        <w:rPr>
          <w:sz w:val="20"/>
          <w:szCs w:val="20"/>
          <w:color w:val="auto"/>
        </w:rPr>
      </w:pPr>
      <w:r>
        <w:rPr>
          <w:rFonts w:ascii="Arial" w:cs="Arial" w:eastAsia="Arial" w:hAnsi="Arial"/>
          <w:sz w:val="16"/>
          <w:szCs w:val="16"/>
          <w:color w:val="auto"/>
        </w:rPr>
        <w:t>We are the nation’s leading provider of cable services, offering a variety of entertainment, information and communications services to residential and commercial customers. As of March 31, 2009, our cable systems served approximately 24.1 million video customers, 15.3 million high-speed Internet customers and 6.8 million phone customers and passed over 50.7 million homes in 39 states and the District of Columbia. We report the results of these operations as our Cable segment, which generates approximately 95% of our revenue. Our Cable segment generates revenue primarily through subscriptions to our video, high-speed Internet and phone services. Other Cable segment revenue sources include advertising and the operation of our regional sports networks. Our other reportable segment, Programming, consists primarily of our consolidated national programming networks, including E!, Golf Channel, VERSUS, G4 and Style. Revenue from our Programming segment is generated primarily from the sale of advertising, from monthly per subscriber license fees paid by multichannel video providers and from licensing our programming internationally.</w:t>
      </w:r>
    </w:p>
    <w:p>
      <w:pPr>
        <w:spacing w:after="0" w:line="118" w:lineRule="exact"/>
        <w:rPr>
          <w:sz w:val="20"/>
          <w:szCs w:val="20"/>
          <w:color w:val="auto"/>
        </w:rPr>
      </w:pPr>
    </w:p>
    <w:p>
      <w:pPr>
        <w:ind w:left="200" w:right="26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 is located at One Comcast Center, Philadelphia, Pennsylvania 19103-2838. Our telephone number is (215) 286-1700.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address of our web site is www.comcast.com. The information on our web site is not part of this prospectus supplement or the accompanying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1060" w:right="38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06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Comcast Corporation.</w:t>
            </w:r>
          </w:p>
        </w:tc>
      </w:tr>
      <w:tr>
        <w:trPr>
          <w:trHeight w:val="31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$700,000,000 aggregate principal amount of 5.70% Notes due 2019.</w:t>
            </w:r>
          </w:p>
        </w:tc>
      </w:tr>
      <w:tr>
        <w:trPr>
          <w:trHeight w:val="31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$800,000,000 aggregate principal amount of 6.55% Notes due 2039.</w:t>
            </w:r>
          </w:p>
        </w:tc>
      </w:tr>
      <w:tr>
        <w:trPr>
          <w:trHeight w:val="297"/>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2019 will mature on July 1, 2019.</w:t>
            </w:r>
          </w:p>
        </w:tc>
      </w:tr>
      <w:tr>
        <w:trPr>
          <w:trHeight w:val="31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2039 will mature on July 1, 2039.</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0"/>
              </w:rPr>
              <w:t>Interest on the Notes due 2019 will accrue at the rate of 5.70% per year, payable semi-annually in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0"/>
              </w:rPr>
              <w:t>cash in arrears on January 1 and July 1, beginning on January 1, 2010. Interest on the Notes due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2039 will accrue at the rate of 6.55% per year, payable semi-annually in cash in arrears on</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January 1 and July 1, beginning on January 1, 2010.</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indebtedness.</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Guarantors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Comcast Cable Communications, LLC, Comcast Cable Communications Holdings, Inc.,</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Comcast Cable Holdings, LLC, Comcast MO Group, Inc. and Comcast MO of Delaware, LLC.</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Guarantees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principal, premium, if any, and interest. The cable guarantees will rank equally with all other</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297"/>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0"/>
              </w:rPr>
              <w:t>We may redeem all or part of the notes at our option at a redemption price equal to the greater of:</w:t>
            </w:r>
          </w:p>
        </w:tc>
      </w:tr>
      <w:tr>
        <w:trPr>
          <w:trHeight w:val="31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   100% of the principal amount of the notes being redeemed; and</w:t>
            </w:r>
          </w:p>
        </w:tc>
      </w:tr>
      <w:tr>
        <w:trPr>
          <w:trHeight w:val="29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   the Make-Whole Amount, as defined in “Description of the Notes—Optional Redemption”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89"/>
              </w:rPr>
              <w:t>in this prospectus supplement for the notes being redeemed; plus accrued and unpaid interest</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to the redemption date.</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We intend to use the proceeds from this offering, after deducting fees and expenses, for</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repayment of outstanding borrowings under our revolving credit facility, repurchases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8"/>
              </w:rPr>
              <w:t>outstanding debt in public or privately negotiated transactions, and for working capital and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general corporate purposes. As of June 11, 2009, we had a balance of $1,000,000,000</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outstanding under our revolving credit facility at an interest rate of 0.66875% and for which the</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loan commitment maturity is January 30, 2013.</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with, or on behalf of, DTC and registered in the name of DTC or its nominees. Beneficial</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interests in any of the notes will be shown on, and transfers will be effected only through, records</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maintained by DTC or its nominee or indirectly through organizations which have accounts with</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DTC, including Euroclear and Clearstream, and these beneficial interests may not be exchanged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for certificated notes, except in limited circumstances. See “Description of the Notes—Book-</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Entry System” in this prospectus supplement.</w:t>
            </w:r>
          </w:p>
        </w:tc>
      </w:tr>
      <w:tr>
        <w:trPr>
          <w:trHeight w:val="161"/>
        </w:trPr>
        <w:tc>
          <w:tcPr>
            <w:tcW w:w="306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8400" w:type="dxa"/>
            <w:vAlign w:val="bottom"/>
          </w:tcPr>
          <w:p>
            <w:pPr>
              <w:ind w:left="254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use the proceeds from this offering, after deducting fees and expenses, for repayment of outstanding borrowings under our revolving credit facility, repurchases of outstanding debt in public or privately negotiated transactions, and for working capital and general corporate purposes. As of June 11, 2009, we had a balance of $1,000,000,000 outstanding under our revolving credit facility at an interest rate of 0.66875% and for which the loan commitment maturity is January 30, 2013.</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Affiliates of the underwriters act as lenders and/or as agents under our revolving credit facility and therefore may receive a portion of the proceeds from this offering.</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900" w:firstLine="3441"/>
        <w:spacing w:after="0" w:line="520"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50"/>
        </w:trPr>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93"/>
        </w:trPr>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gridSpan w:val="3"/>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35"/>
        </w:trPr>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1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10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2009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6"/>
              </w:rPr>
              <w:t>3.07x</w:t>
            </w: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2.59x</w:t>
            </w:r>
          </w:p>
        </w:tc>
        <w:tc>
          <w:tcPr>
            <w:tcW w:w="2480" w:type="dxa"/>
            <w:vAlign w:val="bottom"/>
            <w:gridSpan w:val="3"/>
          </w:tcPr>
          <w:p>
            <w:pPr>
              <w:jc w:val="center"/>
              <w:ind w:left="1062"/>
              <w:spacing w:after="0"/>
              <w:rPr>
                <w:sz w:val="20"/>
                <w:szCs w:val="20"/>
                <w:color w:val="auto"/>
              </w:rPr>
            </w:pPr>
            <w:r>
              <w:rPr>
                <w:rFonts w:ascii="Arial" w:cs="Arial" w:eastAsia="Arial" w:hAnsi="Arial"/>
                <w:sz w:val="18"/>
                <w:szCs w:val="18"/>
                <w:color w:val="auto"/>
                <w:w w:val="86"/>
              </w:rPr>
              <w:t>2.85x</w:t>
            </w:r>
          </w:p>
        </w:tc>
        <w:tc>
          <w:tcPr>
            <w:tcW w:w="2420" w:type="dxa"/>
            <w:vAlign w:val="bottom"/>
            <w:gridSpan w:val="3"/>
          </w:tcPr>
          <w:p>
            <w:pPr>
              <w:jc w:val="right"/>
              <w:ind w:right="920"/>
              <w:spacing w:after="0"/>
              <w:rPr>
                <w:sz w:val="20"/>
                <w:szCs w:val="20"/>
                <w:color w:val="auto"/>
              </w:rPr>
            </w:pPr>
            <w:r>
              <w:rPr>
                <w:rFonts w:ascii="Arial" w:cs="Arial" w:eastAsia="Arial" w:hAnsi="Arial"/>
                <w:sz w:val="18"/>
                <w:szCs w:val="18"/>
                <w:color w:val="auto"/>
              </w:rPr>
              <w:t>2.72x</w:t>
            </w:r>
            <w:r>
              <w:rPr>
                <w:rFonts w:ascii="Arial" w:cs="Arial" w:eastAsia="Arial" w:hAnsi="Arial"/>
                <w:sz w:val="11"/>
                <w:szCs w:val="11"/>
                <w:color w:val="auto"/>
              </w:rPr>
              <w:t>(1)</w:t>
            </w:r>
          </w:p>
        </w:tc>
        <w:tc>
          <w:tcPr>
            <w:tcW w:w="1720" w:type="dxa"/>
            <w:vAlign w:val="bottom"/>
            <w:gridSpan w:val="3"/>
          </w:tcPr>
          <w:p>
            <w:pPr>
              <w:jc w:val="right"/>
              <w:ind w:right="700"/>
              <w:spacing w:after="0"/>
              <w:rPr>
                <w:sz w:val="20"/>
                <w:szCs w:val="20"/>
                <w:color w:val="auto"/>
              </w:rPr>
            </w:pPr>
            <w:r>
              <w:rPr>
                <w:rFonts w:ascii="Arial" w:cs="Arial" w:eastAsia="Arial" w:hAnsi="Arial"/>
                <w:sz w:val="18"/>
                <w:szCs w:val="18"/>
                <w:color w:val="auto"/>
              </w:rPr>
              <w:t>1.92x</w:t>
            </w:r>
            <w:r>
              <w:rPr>
                <w:rFonts w:ascii="Arial" w:cs="Arial" w:eastAsia="Arial" w:hAnsi="Arial"/>
                <w:sz w:val="11"/>
                <w:szCs w:val="11"/>
                <w:color w:val="auto"/>
              </w:rPr>
              <w:t>(1)</w:t>
            </w:r>
          </w:p>
        </w:tc>
        <w:tc>
          <w:tcPr>
            <w:tcW w:w="1880" w:type="dxa"/>
            <w:vAlign w:val="bottom"/>
            <w:gridSpan w:val="3"/>
          </w:tcPr>
          <w:p>
            <w:pPr>
              <w:jc w:val="right"/>
              <w:ind w:right="660"/>
              <w:spacing w:after="0"/>
              <w:rPr>
                <w:sz w:val="20"/>
                <w:szCs w:val="20"/>
                <w:color w:val="auto"/>
              </w:rPr>
            </w:pPr>
            <w:r>
              <w:rPr>
                <w:rFonts w:ascii="Arial" w:cs="Arial" w:eastAsia="Arial" w:hAnsi="Arial"/>
                <w:sz w:val="18"/>
                <w:szCs w:val="18"/>
                <w:color w:val="auto"/>
              </w:rPr>
              <w:t>1.94x</w:t>
            </w:r>
            <w:r>
              <w:rPr>
                <w:rFonts w:ascii="Arial" w:cs="Arial" w:eastAsia="Arial" w:hAnsi="Arial"/>
                <w:sz w:val="11"/>
                <w:szCs w:val="11"/>
                <w:color w:val="auto"/>
              </w:rPr>
              <w:t>(1)</w:t>
            </w:r>
          </w:p>
        </w:tc>
        <w:tc>
          <w:tcPr>
            <w:tcW w:w="4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right="60" w:hanging="332"/>
        <w:spacing w:after="0" w:line="28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to reflect the impact of discontinued operations. Prior to this adjustment, the ratio of earnings to fixed charges for the years ended December 31, 2005 and 2004 was 2.01x and 1.97x, respectively.</w:t>
      </w:r>
    </w:p>
    <w:p>
      <w:pPr>
        <w:spacing w:after="0" w:line="11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w:t>
      </w:r>
    </w:p>
    <w:p>
      <w:pPr>
        <w:spacing w:after="0" w:line="2" w:lineRule="exact"/>
        <w:rPr>
          <w:sz w:val="20"/>
          <w:szCs w:val="20"/>
          <w:color w:val="auto"/>
        </w:rPr>
      </w:pPr>
    </w:p>
    <w:p>
      <w:pPr>
        <w:ind w:firstLine="8"/>
        <w:spacing w:after="0" w:line="302"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amortized premiums, discounts and capitalized expenses related to indebtedness, (y) an estimate of the interest within rental expense and (z) preference security dividend requirements of our consolidated subsidiaries. Preference security dividend is the amount of pretax earnings that is required to pay the dividends on outstanding preference securities. Interest associated with our uncertain tax positions is a component of income tax expense.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offering $700,000,000 aggregate principal amount of our 5.70% Notes due 2019 and $800,000,000 aggregate principal amount of our 6.55% Notes due 2039. The Notes due 2019 and Notes due 2039 will each be a separate series of securities issued under an indenture, dated as of January 7, 2003 and amended as of March 25, 2003, among us, the cable guarantors and The Bank of New York Mellon, formerly known as The Bank of New York, as trustee. The notes will be our direct unsecured and unsubordinated obligations and will be fully and unconditionally guaranteed by Comcast Cable Communications, LLC, Comcast Cable Communications Holdings, Inc.,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$1,500,000,000, comprised as follows:</w:t>
      </w:r>
    </w:p>
    <w:p>
      <w:pPr>
        <w:spacing w:after="0" w:line="90" w:lineRule="exact"/>
        <w:rPr>
          <w:rFonts w:ascii="Arial" w:cs="Arial" w:eastAsia="Arial" w:hAnsi="Arial"/>
          <w:sz w:val="18"/>
          <w:szCs w:val="18"/>
          <w:color w:val="auto"/>
        </w:rPr>
      </w:pPr>
    </w:p>
    <w:p>
      <w:pPr>
        <w:ind w:left="1480" w:right="100" w:hanging="446"/>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$700,000,000 initial aggregate principal amount of 5.70% Notes due 2019, maturing on July 1, 2019, with interest payable semiannually on each January 1 and July 1, beginning January 1, 2010, to holders of record on the preceding December 15 and June 15;</w:t>
      </w:r>
    </w:p>
    <w:p>
      <w:pPr>
        <w:spacing w:after="0" w:line="4" w:lineRule="exact"/>
        <w:rPr>
          <w:rFonts w:ascii="Arial" w:cs="Arial" w:eastAsia="Arial" w:hAnsi="Arial"/>
          <w:sz w:val="16"/>
          <w:szCs w:val="16"/>
          <w:color w:val="auto"/>
        </w:rPr>
      </w:pPr>
    </w:p>
    <w:p>
      <w:pPr>
        <w:ind w:left="1480" w:right="100" w:hanging="446"/>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$800,000,000 initial aggregate principal amount of 6.55% Notes due 2039, maturing on July 1, 2039, with interest payable semiannually on each January 1 and July 1, beginning January 1, 2010, to holders of record on the preceding December 15 and June 15;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June 18, 2009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35 basis points for the Notes due 2019 (the “2019 Make-Whole Amount”) and 35 basis points for the Notes due 2039 (the “2039 Make-Whole Amount” and, each of the 2019 Make-Whole Amount and 2039 Make-Whole Amount, a “Make-Whole Amount”), plus, in each case, accrued and unpaid interest thereon to the date of redemption.</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4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“Reference Treasury Dealer” means each of Banc of America Securities LLC, Barclays Capital Inc., BNP Paribas Securities Corp. and a Primary Treasury Dealer (as defined below) selected by Wachovia Capital Markets,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ind w:left="900" w:right="1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purchased by those initial holders who purchase notes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possibly with retroactive effect.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 Amount</w:t>
            </w:r>
          </w:p>
        </w:tc>
        <w:tc>
          <w:tcPr>
            <w:tcW w:w="560" w:type="dxa"/>
            <w:vAlign w:val="bottom"/>
          </w:tcPr>
          <w:p>
            <w:pPr>
              <w:spacing w:after="0"/>
              <w:rPr>
                <w:sz w:val="14"/>
                <w:szCs w:val="14"/>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3"/>
              </w:rPr>
              <w:t>Principal Amount</w:t>
            </w:r>
          </w:p>
        </w:tc>
        <w:tc>
          <w:tcPr>
            <w:tcW w:w="0" w:type="dxa"/>
            <w:vAlign w:val="bottom"/>
          </w:tcPr>
          <w:p>
            <w:pPr>
              <w:spacing w:after="0"/>
              <w:rPr>
                <w:sz w:val="1"/>
                <w:szCs w:val="1"/>
                <w:color w:val="auto"/>
              </w:rPr>
            </w:pPr>
          </w:p>
        </w:tc>
      </w:t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9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of Notes due 2019</w:t>
            </w:r>
          </w:p>
        </w:tc>
        <w:tc>
          <w:tcPr>
            <w:tcW w:w="56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of Notes due 2039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3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140,000,000</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140,000,000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140,000,000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Wachovia Capital Markets, LLC</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140,000,000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Daiwa Securities America Inc.</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TSB Bank plc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BNY Mellon Capital Markets, LLC</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Blaylock Robert Van, LLC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Cabrera Capital Markets, LLC</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Doley Securities, LLC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Guzman &amp; Company</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Beal &amp; Company</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Muriel Siebert &amp; Co., Inc.</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Utendahl Capital Group, LLC</w:t>
            </w:r>
          </w:p>
        </w:tc>
        <w:tc>
          <w:tcPr>
            <w:tcW w:w="2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700,000,000</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Daiwa Securities America Inc. (“DSA”) has entered into an agreement with SMBC Securities, Inc. (“SMBCSI”) pursuant to which SMBCSI provides certain advisory and/or other services to DSA, including services with respect to this offering. In return for the provision of such services by SMBCSI to DSA, DSA will pay to SMBCSI a mutually agreed-upon fee.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U.S. Bancorp Investments, Inc., a FINRA member and an affiliate of U.S. Bancorp, is being paid a referral fee by Piper Jaffray &amp; Co. U.S. Bancorp is an affiliate of U.S. Bank National Association.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Union Prospectus Directive</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Each underwriter has represented, warranted and agreed that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66" w:lineRule="exact"/>
        <w:rPr>
          <w:sz w:val="20"/>
          <w:szCs w:val="20"/>
          <w:color w:val="auto"/>
        </w:rPr>
      </w:pPr>
    </w:p>
    <w:p>
      <w:pPr>
        <w:ind w:left="460" w:firstLine="443"/>
        <w:spacing w:after="0" w:line="268" w:lineRule="auto"/>
        <w:tabs>
          <w:tab w:leader="none" w:pos="11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460" w:right="240" w:firstLine="443"/>
        <w:spacing w:after="0" w:line="332" w:lineRule="auto"/>
        <w:tabs>
          <w:tab w:leader="none" w:pos="11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2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notes may not be offered or sold by means of any document other than to persons whose ordinary business is to buy or sell shares or debentures, whether as principal or agent, or in circumstances which do not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constitute an offer to the public within the meaning of the Companies Ordinance (Cap. 32) of Hong Kong, and no advertisement, invitation or document relating to the notes may be issued,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of Hong Kong and any rules made thereunder.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notes have not been and will not be registered under the Securities and Exchange Law of Japan,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the Securities and Exchange Law available thereunder and in compliance with the other relevant laws and regulations of Japan.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underwriters have advised us that they propose initially to offer the notes to the public at the public offering price on the cover page of this prospectus supplement, and to dealers at that price less a concession not in excess of 0.30% and 0.50% of the principal amount of the Notes due 2019 and Notes due 2039, respectively. The underwriters may allow, and the dealers may reallow, a discount not in excess of 0.20% and 0.25% of the principal amount of the Notes due 2019 and Notes due 2039, respectively, to other dealers. After the initial public offering, the public offering prices, concessions and discounts may be changed.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$300,000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Affiliates of the underwriters act as lenders and/or as agents under our revolving credit facility and therefore may receive a portion of the proceeds from this offering. Because more than ten percent of the net proceeds of the offering may be paid to members or affiliates of members of the Financial Industry Regulatory Authority, Inc. (“FINRA”) participating in the offering, the offering will be conducted in accordance with FINRA Rule 5110(h) and NASD Rule 2720(c)(3).</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New York, New York.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118110</wp:posOffset>
            </wp:positionV>
            <wp:extent cx="139763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5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   Unsecured senior debt securities</w:t>
            </w:r>
          </w:p>
        </w:tc>
        <w:tc>
          <w:tcPr>
            <w:tcW w:w="1660" w:type="dxa"/>
            <w:vAlign w:val="bottom"/>
          </w:tcPr>
          <w:p>
            <w:pPr>
              <w:ind w:left="1500"/>
              <w:spacing w:after="0"/>
              <w:rPr>
                <w:sz w:val="20"/>
                <w:szCs w:val="20"/>
                <w:color w:val="auto"/>
              </w:rPr>
            </w:pPr>
            <w:r>
              <w:rPr>
                <w:rFonts w:ascii="Arial" w:cs="Arial" w:eastAsia="Arial" w:hAnsi="Arial"/>
                <w:sz w:val="18"/>
                <w:szCs w:val="18"/>
                <w:color w:val="auto"/>
              </w:rPr>
              <w:t>•</w:t>
            </w:r>
          </w:p>
        </w:tc>
        <w:tc>
          <w:tcPr>
            <w:tcW w:w="2300" w:type="dxa"/>
            <w:vAlign w:val="bottom"/>
          </w:tcPr>
          <w:p>
            <w:pPr>
              <w:ind w:left="120"/>
              <w:spacing w:after="0"/>
              <w:rPr>
                <w:sz w:val="20"/>
                <w:szCs w:val="20"/>
                <w:color w:val="auto"/>
              </w:rPr>
            </w:pPr>
            <w:r>
              <w:rPr>
                <w:rFonts w:ascii="Arial" w:cs="Arial" w:eastAsia="Arial" w:hAnsi="Arial"/>
                <w:sz w:val="18"/>
                <w:szCs w:val="18"/>
                <w:color w:val="auto"/>
              </w:rPr>
              <w:t>Preferred stock</w:t>
            </w:r>
          </w:p>
        </w:tc>
      </w:tr>
      <w:tr>
        <w:trPr>
          <w:trHeight w:val="284"/>
        </w:trPr>
        <w:tc>
          <w:tcPr>
            <w:tcW w:w="4560" w:type="dxa"/>
            <w:vAlign w:val="bottom"/>
            <w:gridSpan w:val="2"/>
          </w:tcPr>
          <w:p>
            <w:pPr>
              <w:spacing w:after="0"/>
              <w:rPr>
                <w:sz w:val="20"/>
                <w:szCs w:val="20"/>
                <w:color w:val="auto"/>
              </w:rPr>
            </w:pPr>
            <w:r>
              <w:rPr>
                <w:rFonts w:ascii="Arial" w:cs="Arial" w:eastAsia="Arial" w:hAnsi="Arial"/>
                <w:sz w:val="18"/>
                <w:szCs w:val="18"/>
                <w:color w:val="auto"/>
              </w:rPr>
              <w:t>•   Unsecured subordinated debt securities</w:t>
            </w:r>
          </w:p>
        </w:tc>
        <w:tc>
          <w:tcPr>
            <w:tcW w:w="1660" w:type="dxa"/>
            <w:vAlign w:val="bottom"/>
          </w:tcPr>
          <w:p>
            <w:pPr>
              <w:ind w:left="1500"/>
              <w:spacing w:after="0"/>
              <w:rPr>
                <w:sz w:val="20"/>
                <w:szCs w:val="20"/>
                <w:color w:val="auto"/>
              </w:rPr>
            </w:pPr>
            <w:r>
              <w:rPr>
                <w:rFonts w:ascii="Arial" w:cs="Arial" w:eastAsia="Arial" w:hAnsi="Arial"/>
                <w:sz w:val="18"/>
                <w:szCs w:val="18"/>
                <w:color w:val="auto"/>
              </w:rPr>
              <w:t>•</w:t>
            </w:r>
          </w:p>
        </w:tc>
        <w:tc>
          <w:tcPr>
            <w:tcW w:w="2300" w:type="dxa"/>
            <w:vAlign w:val="bottom"/>
          </w:tcPr>
          <w:p>
            <w:pPr>
              <w:ind w:left="120"/>
              <w:spacing w:after="0"/>
              <w:rPr>
                <w:sz w:val="20"/>
                <w:szCs w:val="20"/>
                <w:color w:val="auto"/>
              </w:rPr>
            </w:pPr>
            <w:r>
              <w:rPr>
                <w:rFonts w:ascii="Arial" w:cs="Arial" w:eastAsia="Arial" w:hAnsi="Arial"/>
                <w:sz w:val="18"/>
                <w:szCs w:val="18"/>
                <w:color w:val="auto"/>
              </w:rPr>
              <w:t>Depositary shares</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100"/>
              <w:spacing w:after="0"/>
              <w:rPr>
                <w:sz w:val="20"/>
                <w:szCs w:val="20"/>
                <w:color w:val="auto"/>
              </w:rPr>
            </w:pPr>
            <w:r>
              <w:rPr>
                <w:rFonts w:ascii="Arial" w:cs="Arial" w:eastAsia="Arial" w:hAnsi="Arial"/>
                <w:sz w:val="18"/>
                <w:szCs w:val="18"/>
                <w:color w:val="auto"/>
              </w:rPr>
              <w:t>Warrants</w:t>
            </w:r>
          </w:p>
        </w:tc>
        <w:tc>
          <w:tcPr>
            <w:tcW w:w="3960" w:type="dxa"/>
            <w:vAlign w:val="bottom"/>
            <w:gridSpan w:val="2"/>
          </w:tcPr>
          <w:p>
            <w:pPr>
              <w:ind w:left="1500"/>
              <w:spacing w:after="0"/>
              <w:rPr>
                <w:sz w:val="20"/>
                <w:szCs w:val="20"/>
                <w:color w:val="auto"/>
              </w:rPr>
            </w:pPr>
            <w:r>
              <w:rPr>
                <w:rFonts w:ascii="Arial" w:cs="Arial" w:eastAsia="Arial" w:hAnsi="Arial"/>
                <w:sz w:val="18"/>
                <w:szCs w:val="18"/>
                <w:color w:val="auto"/>
              </w:rPr>
              <w:t>•   Class A common stock</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100"/>
              <w:spacing w:after="0"/>
              <w:rPr>
                <w:sz w:val="20"/>
                <w:szCs w:val="20"/>
                <w:color w:val="auto"/>
              </w:rPr>
            </w:pPr>
            <w:r>
              <w:rPr>
                <w:rFonts w:ascii="Arial" w:cs="Arial" w:eastAsia="Arial" w:hAnsi="Arial"/>
                <w:sz w:val="18"/>
                <w:szCs w:val="18"/>
                <w:color w:val="auto"/>
              </w:rPr>
              <w:t>Purchase contracts</w:t>
            </w:r>
          </w:p>
        </w:tc>
        <w:tc>
          <w:tcPr>
            <w:tcW w:w="3960" w:type="dxa"/>
            <w:vAlign w:val="bottom"/>
            <w:gridSpan w:val="2"/>
          </w:tcPr>
          <w:p>
            <w:pPr>
              <w:ind w:left="1500"/>
              <w:spacing w:after="0"/>
              <w:rPr>
                <w:sz w:val="20"/>
                <w:szCs w:val="20"/>
                <w:color w:val="auto"/>
              </w:rPr>
            </w:pPr>
            <w:r>
              <w:rPr>
                <w:rFonts w:ascii="Arial" w:cs="Arial" w:eastAsia="Arial" w:hAnsi="Arial"/>
                <w:sz w:val="18"/>
                <w:szCs w:val="18"/>
                <w:color w:val="auto"/>
                <w:w w:val="90"/>
              </w:rPr>
              <w:t>•   Class A Special common stock</w:t>
            </w:r>
          </w:p>
        </w:tc>
      </w:tr>
    </w:tbl>
    <w:p>
      <w:pPr>
        <w:spacing w:after="0" w:line="61" w:lineRule="exact"/>
        <w:rPr>
          <w:sz w:val="20"/>
          <w:szCs w:val="20"/>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Units</w:t>
      </w:r>
    </w:p>
    <w:p>
      <w:pPr>
        <w:spacing w:after="0" w:line="1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April 24, 2009, the reported last sale prices on the Nasdaq Global Select Market for our Class A common stock and our Class A Special common stock were $13.89 and $12.99,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360" w:type="dxa"/>
            <w:vAlign w:val="bottom"/>
          </w:tcPr>
          <w:p>
            <w:pPr>
              <w:ind w:left="1200"/>
              <w:spacing w:after="0"/>
              <w:rPr>
                <w:sz w:val="20"/>
                <w:szCs w:val="20"/>
                <w:color w:val="auto"/>
              </w:rPr>
            </w:pPr>
            <w:r>
              <w:rPr>
                <w:rFonts w:ascii="Arial" w:cs="Arial" w:eastAsia="Arial" w:hAnsi="Arial"/>
                <w:sz w:val="18"/>
                <w:szCs w:val="18"/>
                <w:color w:val="auto"/>
              </w:rPr>
              <w:t>•</w:t>
            </w:r>
          </w:p>
        </w:tc>
        <w:tc>
          <w:tcPr>
            <w:tcW w:w="298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3060" w:type="dxa"/>
            <w:vAlign w:val="bottom"/>
            <w:gridSpan w:val="2"/>
          </w:tcPr>
          <w:p>
            <w:pPr>
              <w:ind w:left="620"/>
              <w:spacing w:after="0"/>
              <w:rPr>
                <w:sz w:val="20"/>
                <w:szCs w:val="20"/>
                <w:color w:val="auto"/>
              </w:rPr>
            </w:pPr>
            <w:r>
              <w:rPr>
                <w:rFonts w:ascii="Arial" w:cs="Arial" w:eastAsia="Arial" w:hAnsi="Arial"/>
                <w:sz w:val="18"/>
                <w:szCs w:val="18"/>
                <w:color w:val="auto"/>
                <w:w w:val="91"/>
              </w:rPr>
              <w:t>•   Conversion or exchange rights</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1360" w:type="dxa"/>
            <w:vAlign w:val="bottom"/>
          </w:tcPr>
          <w:p>
            <w:pPr>
              <w:ind w:left="1200"/>
              <w:spacing w:after="0"/>
              <w:rPr>
                <w:sz w:val="20"/>
                <w:szCs w:val="20"/>
                <w:color w:val="auto"/>
              </w:rPr>
            </w:pPr>
            <w:r>
              <w:rPr>
                <w:rFonts w:ascii="Arial" w:cs="Arial" w:eastAsia="Arial" w:hAnsi="Arial"/>
                <w:sz w:val="18"/>
                <w:szCs w:val="18"/>
                <w:color w:val="auto"/>
              </w:rPr>
              <w:t>•</w:t>
            </w:r>
          </w:p>
        </w:tc>
        <w:tc>
          <w:tcPr>
            <w:tcW w:w="2980" w:type="dxa"/>
            <w:vAlign w:val="bottom"/>
          </w:tcPr>
          <w:p>
            <w:pPr>
              <w:ind w:left="120"/>
              <w:spacing w:after="0"/>
              <w:rPr>
                <w:sz w:val="20"/>
                <w:szCs w:val="20"/>
                <w:color w:val="auto"/>
              </w:rPr>
            </w:pPr>
            <w:r>
              <w:rPr>
                <w:rFonts w:ascii="Arial" w:cs="Arial" w:eastAsia="Arial" w:hAnsi="Arial"/>
                <w:sz w:val="18"/>
                <w:szCs w:val="18"/>
                <w:color w:val="auto"/>
              </w:rPr>
              <w:t>Redemption terms</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auto"/>
              </w:rPr>
              <w:t>Liquidation amount</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100"/>
              <w:spacing w:after="0"/>
              <w:rPr>
                <w:sz w:val="20"/>
                <w:szCs w:val="20"/>
                <w:color w:val="auto"/>
              </w:rPr>
            </w:pPr>
            <w:r>
              <w:rPr>
                <w:rFonts w:ascii="Arial" w:cs="Arial" w:eastAsia="Arial" w:hAnsi="Arial"/>
                <w:sz w:val="18"/>
                <w:szCs w:val="18"/>
                <w:color w:val="auto"/>
              </w:rPr>
              <w:t>Sinking fund terms</w:t>
            </w:r>
          </w:p>
        </w:tc>
        <w:tc>
          <w:tcPr>
            <w:tcW w:w="4340" w:type="dxa"/>
            <w:vAlign w:val="bottom"/>
            <w:gridSpan w:val="2"/>
          </w:tcPr>
          <w:p>
            <w:pPr>
              <w:ind w:left="1200"/>
              <w:spacing w:after="0"/>
              <w:rPr>
                <w:sz w:val="20"/>
                <w:szCs w:val="20"/>
                <w:color w:val="auto"/>
              </w:rPr>
            </w:pPr>
            <w:r>
              <w:rPr>
                <w:rFonts w:ascii="Arial" w:cs="Arial" w:eastAsia="Arial" w:hAnsi="Arial"/>
                <w:sz w:val="18"/>
                <w:szCs w:val="18"/>
                <w:color w:val="auto"/>
              </w:rPr>
              <w:t>•   Listing on a securities exchange</w:t>
            </w:r>
          </w:p>
        </w:tc>
        <w:tc>
          <w:tcPr>
            <w:tcW w:w="800" w:type="dxa"/>
            <w:vAlign w:val="bottom"/>
          </w:tcPr>
          <w:p>
            <w:pPr>
              <w:ind w:left="620"/>
              <w:spacing w:after="0"/>
              <w:rPr>
                <w:sz w:val="20"/>
                <w:szCs w:val="20"/>
                <w:color w:val="auto"/>
              </w:rPr>
            </w:pPr>
            <w:r>
              <w:rPr>
                <w:rFonts w:ascii="Arial" w:cs="Arial" w:eastAsia="Arial" w:hAnsi="Arial"/>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auto"/>
              </w:rPr>
              <w:t>Subsidiary guarantees</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100"/>
              <w:spacing w:after="0"/>
              <w:rPr>
                <w:sz w:val="20"/>
                <w:szCs w:val="20"/>
                <w:color w:val="auto"/>
              </w:rPr>
            </w:pPr>
            <w:r>
              <w:rPr>
                <w:rFonts w:ascii="Arial" w:cs="Arial" w:eastAsia="Arial" w:hAnsi="Arial"/>
                <w:sz w:val="18"/>
                <w:szCs w:val="18"/>
                <w:color w:val="auto"/>
              </w:rPr>
              <w:t>Currency of payments</w:t>
            </w:r>
          </w:p>
        </w:tc>
        <w:tc>
          <w:tcPr>
            <w:tcW w:w="4340" w:type="dxa"/>
            <w:vAlign w:val="bottom"/>
            <w:gridSpan w:val="2"/>
          </w:tcPr>
          <w:p>
            <w:pPr>
              <w:ind w:left="1200"/>
              <w:spacing w:after="0"/>
              <w:rPr>
                <w:sz w:val="20"/>
                <w:szCs w:val="20"/>
                <w:color w:val="auto"/>
              </w:rPr>
            </w:pPr>
            <w:r>
              <w:rPr>
                <w:rFonts w:ascii="Arial" w:cs="Arial" w:eastAsia="Arial" w:hAnsi="Arial"/>
                <w:sz w:val="18"/>
                <w:szCs w:val="18"/>
                <w:color w:val="auto"/>
              </w:rPr>
              <w:t>•   Amount payable at maturity</w:t>
            </w:r>
          </w:p>
        </w:tc>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13 of our annual report on Form 10-K for the year ended December 31, 2008,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April 27, 2009</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The Companies</w:t>
              </w:r>
            </w:hyperlink>
          </w:p>
        </w:tc>
        <w:tc>
          <w:tcPr>
            <w:tcW w:w="10020" w:type="dxa"/>
            <w:vAlign w:val="bottom"/>
            <w:gridSpan w:val="1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1002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Caution Concerning Forward-Looking Statements</w:t>
              </w:r>
            </w:hyperlink>
          </w:p>
        </w:tc>
        <w:tc>
          <w:tcPr>
            <w:tcW w:w="76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Dividend Policy</w:t>
              </w:r>
            </w:hyperlink>
          </w:p>
        </w:tc>
        <w:tc>
          <w:tcPr>
            <w:tcW w:w="998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Ratios of Earnings to Fixed Charges and of Earnings to Combined Fixed Charges and Preferred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Debt Securities and Cable Guarantees</w:t>
              </w:r>
            </w:hyperlink>
          </w:p>
        </w:tc>
        <w:tc>
          <w:tcPr>
            <w:tcW w:w="36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Global Securities</w:t>
              </w:r>
            </w:hyperlink>
          </w:p>
        </w:tc>
        <w:tc>
          <w:tcPr>
            <w:tcW w:w="74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Capital Stock</w:t>
              </w:r>
            </w:hyperlink>
          </w:p>
        </w:tc>
        <w:tc>
          <w:tcPr>
            <w:tcW w:w="91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97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101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Incorporation of Certain Documents by Reference</w:t>
              </w:r>
            </w:hyperlink>
          </w:p>
        </w:tc>
        <w:tc>
          <w:tcPr>
            <w:tcW w:w="76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or “we,” “us,” “our” or comparable terms and to Comcast Holdings Corporation as “Comcast Holdings.” We refer to Comcast Cable Communications, LLC as “Comcast Cable,” Comcast Cable Communications Holdings, Inc. as “Comcast Cable Communications Holdings,”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are the nation’s leading provider of cable services, offering a variety of entertainment, information and communications services to residential and commercial customers. As of December 31, 2008, our cable systems served approximately 24.2 million video customers, 14.9 million high-speed Internet customers and 6.5 million phone customers and passed over 50.6 million homes in 39 states and the District of Columbia. We report the results of these operations as our Cable segment, which generates approximately 95% of our consolidated revenue. Our Cable segment also includes the operations of our regional sports networks. Our other reportable segment, Programming, consists primarily of our national programming networks, including E!, Golf Channel, VERSUS, G4 and Style. We were incorporated under the laws of Pennsylvania in December 2001. Through our predecessors, we have developed, managed and operated cable systems since 1963.</w:t>
      </w:r>
    </w:p>
    <w:p>
      <w:pPr>
        <w:spacing w:after="0" w:line="14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Comcast’s Internet businesses focused on entertainment, information and communication, including Comcast.net, Fancast, thePlatform, Fandango, Plaxo and DailyCandy. Comcast Spectacor owns two professional sports teams and two large, multipurpose arenas, and manages other facilities for sporting events, concerts and other events.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 owned subsidiary of ours.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 site at http://www.comcast.com where general information about us is available. We are not incorporating the contents of the Web 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20" w:firstLine="2664"/>
        <w:spacing w:after="0" w:line="394"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weakening economic conditions may have a negative impact on our results of operations and financial condition;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2008 incorporated herein by reference. Actual events or our actual results may differ materially from any of our forward-looking statements. We undertake no obligation to update any forward-looking statements.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$0.27 per share. Our Board of Directors retains the right to change our dividend policy at any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500" w:type="dxa"/>
            <w:vAlign w:val="bottom"/>
            <w:tcBorders>
              <w:top w:val="single" w:sz="8" w:color="auto"/>
            </w:tcBorders>
          </w:tcPr>
          <w:p>
            <w:pPr>
              <w:jc w:val="right"/>
              <w:ind w:right="1037"/>
              <w:spacing w:after="0" w:line="156"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499"/>
              <w:spacing w:after="0" w:line="156" w:lineRule="exact"/>
              <w:rPr>
                <w:sz w:val="20"/>
                <w:szCs w:val="20"/>
                <w:color w:val="auto"/>
              </w:rPr>
            </w:pPr>
            <w:r>
              <w:rPr>
                <w:rFonts w:ascii="Arial" w:cs="Arial" w:eastAsia="Arial" w:hAnsi="Arial"/>
                <w:sz w:val="14"/>
                <w:szCs w:val="14"/>
                <w:b w:val="1"/>
                <w:bCs w:val="1"/>
                <w:color w:val="auto"/>
                <w:w w:val="83"/>
              </w:rPr>
              <w:t>2006</w:t>
            </w:r>
          </w:p>
        </w:tc>
        <w:tc>
          <w:tcPr>
            <w:tcW w:w="2260" w:type="dxa"/>
            <w:vAlign w:val="bottom"/>
            <w:tcBorders>
              <w:top w:val="single" w:sz="8" w:color="auto"/>
            </w:tcBorders>
            <w:gridSpan w:val="2"/>
          </w:tcPr>
          <w:p>
            <w:pPr>
              <w:jc w:val="center"/>
              <w:ind w:left="32"/>
              <w:spacing w:after="0" w:line="156" w:lineRule="exact"/>
              <w:rPr>
                <w:sz w:val="20"/>
                <w:szCs w:val="20"/>
                <w:color w:val="auto"/>
              </w:rPr>
            </w:pPr>
            <w:r>
              <w:rPr>
                <w:rFonts w:ascii="Arial" w:cs="Arial" w:eastAsia="Arial" w:hAnsi="Arial"/>
                <w:sz w:val="14"/>
                <w:szCs w:val="14"/>
                <w:b w:val="1"/>
                <w:bCs w:val="1"/>
                <w:color w:val="auto"/>
                <w:w w:val="89"/>
              </w:rPr>
              <w:t>2005</w:t>
            </w:r>
          </w:p>
        </w:tc>
        <w:tc>
          <w:tcPr>
            <w:tcW w:w="2160" w:type="dxa"/>
            <w:vAlign w:val="bottom"/>
            <w:tcBorders>
              <w:top w:val="single" w:sz="8" w:color="auto"/>
            </w:tcBorders>
            <w:gridSpan w:val="2"/>
          </w:tcPr>
          <w:p>
            <w:pPr>
              <w:jc w:val="center"/>
              <w:ind w:left="32"/>
              <w:spacing w:after="0" w:line="156" w:lineRule="exact"/>
              <w:rPr>
                <w:sz w:val="20"/>
                <w:szCs w:val="20"/>
                <w:color w:val="auto"/>
              </w:rPr>
            </w:pPr>
            <w:r>
              <w:rPr>
                <w:rFonts w:ascii="Arial" w:cs="Arial" w:eastAsia="Arial" w:hAnsi="Arial"/>
                <w:sz w:val="14"/>
                <w:szCs w:val="14"/>
                <w:b w:val="1"/>
                <w:bCs w:val="1"/>
                <w:color w:val="auto"/>
                <w:w w:val="83"/>
              </w:rPr>
              <w:t>2004</w:t>
            </w:r>
          </w:p>
        </w:tc>
      </w:tr>
      <w:tr>
        <w:trPr>
          <w:trHeight w:val="201"/>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3"/>
              </w:rPr>
              <w:t>Ratio of earnings to fixed charges:</w:t>
            </w:r>
          </w:p>
        </w:tc>
        <w:tc>
          <w:tcPr>
            <w:tcW w:w="1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1260"/>
              <w:spacing w:after="0"/>
              <w:rPr>
                <w:sz w:val="20"/>
                <w:szCs w:val="20"/>
                <w:color w:val="auto"/>
              </w:rPr>
            </w:pPr>
            <w:r>
              <w:rPr>
                <w:rFonts w:ascii="Arial" w:cs="Arial" w:eastAsia="Arial" w:hAnsi="Arial"/>
                <w:sz w:val="18"/>
                <w:szCs w:val="18"/>
                <w:color w:val="auto"/>
              </w:rPr>
              <w:t>2.59x</w:t>
            </w:r>
          </w:p>
        </w:tc>
        <w:tc>
          <w:tcPr>
            <w:tcW w:w="27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2.85x</w:t>
            </w:r>
          </w:p>
        </w:tc>
        <w:tc>
          <w:tcPr>
            <w:tcW w:w="1600" w:type="dxa"/>
            <w:vAlign w:val="bottom"/>
          </w:tcPr>
          <w:p>
            <w:pPr>
              <w:jc w:val="center"/>
              <w:ind w:right="499"/>
              <w:spacing w:after="0"/>
              <w:rPr>
                <w:sz w:val="20"/>
                <w:szCs w:val="20"/>
                <w:color w:val="auto"/>
              </w:rPr>
            </w:pPr>
            <w:r>
              <w:rPr>
                <w:rFonts w:ascii="Arial" w:cs="Arial" w:eastAsia="Arial" w:hAnsi="Arial"/>
                <w:sz w:val="18"/>
                <w:szCs w:val="18"/>
                <w:color w:val="auto"/>
                <w:w w:val="87"/>
              </w:rPr>
              <w:t>2.72x(1)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1.92x(1)</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1.94x(1)</w:t>
            </w:r>
          </w:p>
        </w:tc>
      </w:tr>
      <w:tr>
        <w:trPr>
          <w:trHeight w:val="318"/>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w w:val="90"/>
              </w:rPr>
              <w:t>Ratio of earnings to combined fixed charges and preferred dividends: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1260"/>
              <w:spacing w:after="0"/>
              <w:rPr>
                <w:sz w:val="20"/>
                <w:szCs w:val="20"/>
                <w:color w:val="auto"/>
              </w:rPr>
            </w:pPr>
            <w:r>
              <w:rPr>
                <w:rFonts w:ascii="Arial" w:cs="Arial" w:eastAsia="Arial" w:hAnsi="Arial"/>
                <w:sz w:val="18"/>
                <w:szCs w:val="18"/>
                <w:color w:val="auto"/>
              </w:rPr>
              <w:t>2.59x</w:t>
            </w:r>
          </w:p>
        </w:tc>
        <w:tc>
          <w:tcPr>
            <w:tcW w:w="27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2.84x</w:t>
            </w:r>
          </w:p>
        </w:tc>
        <w:tc>
          <w:tcPr>
            <w:tcW w:w="1600" w:type="dxa"/>
            <w:vAlign w:val="bottom"/>
          </w:tcPr>
          <w:p>
            <w:pPr>
              <w:jc w:val="center"/>
              <w:ind w:right="499"/>
              <w:spacing w:after="0"/>
              <w:rPr>
                <w:sz w:val="20"/>
                <w:szCs w:val="20"/>
                <w:color w:val="auto"/>
              </w:rPr>
            </w:pPr>
            <w:r>
              <w:rPr>
                <w:rFonts w:ascii="Arial" w:cs="Arial" w:eastAsia="Arial" w:hAnsi="Arial"/>
                <w:sz w:val="18"/>
                <w:szCs w:val="18"/>
                <w:color w:val="auto"/>
                <w:w w:val="87"/>
              </w:rPr>
              <w:t>2.72x(1)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1.92x(1)</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1.94x(1)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and the ratio of earnings to combined fixed charges and preferred dividends to reflect the impact of discontinued operations. Prior to this adjustment, the ratio of earnings to fixed charges for the years ended December 31, 2005 and 2004 was 2.01x and 1.97x, respectively, and the ratio of earnings to combined fixed charges and preferred dividends for the years ended December 31, 2005 and 2004 was 2.01x and 1.97x, respectively.</w:t>
      </w:r>
    </w:p>
    <w:p>
      <w:pPr>
        <w:spacing w:after="0" w:line="12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w:t>
      </w:r>
    </w:p>
    <w:p>
      <w:pPr>
        <w:spacing w:after="0" w:line="2" w:lineRule="exact"/>
        <w:rPr>
          <w:sz w:val="20"/>
          <w:szCs w:val="20"/>
          <w:color w:val="auto"/>
        </w:rPr>
      </w:pPr>
    </w:p>
    <w:p>
      <w:pPr>
        <w:ind w:right="100" w:firstLine="8"/>
        <w:spacing w:after="0" w:line="302"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w:t>
      </w:r>
    </w:p>
    <w:p>
      <w:pPr>
        <w:spacing w:after="0" w:line="38"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pretax income from continuing operations before adjustment for noncontrolling interests in consolidated subsidiaries or income or loss from equity investees,</w:t>
      </w:r>
    </w:p>
    <w:p>
      <w:pPr>
        <w:spacing w:after="0" w:line="32" w:lineRule="exact"/>
        <w:rPr>
          <w:rFonts w:ascii="Arial" w:cs="Arial" w:eastAsia="Arial" w:hAnsi="Arial"/>
          <w:sz w:val="16"/>
          <w:szCs w:val="16"/>
          <w:color w:val="auto"/>
        </w:rPr>
      </w:pPr>
    </w:p>
    <w:p>
      <w:pPr>
        <w:ind w:firstLine="8"/>
        <w:spacing w:after="0" w:line="281"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2" w:lineRule="exact"/>
        <w:rPr>
          <w:rFonts w:ascii="Arial" w:cs="Arial" w:eastAsia="Arial" w:hAnsi="Arial"/>
          <w:sz w:val="16"/>
          <w:szCs w:val="16"/>
          <w:color w:val="auto"/>
        </w:rPr>
      </w:pPr>
    </w:p>
    <w:p>
      <w:pPr>
        <w:ind w:right="200" w:firstLine="8"/>
        <w:spacing w:after="0" w:line="254" w:lineRule="auto"/>
        <w:tabs>
          <w:tab w:leader="none" w:pos="2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right="8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case of senior debt securities, under a senior indenture dated January 7, 2003, as amended by a supplemental indenture dated March 25, 2003, entered into among us, the cable guarantors and The Bank of New York Mellon, formerly known as The Bank of New York, as trustee; and</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45" w:lineRule="exact"/>
        <w:rPr>
          <w:sz w:val="20"/>
          <w:szCs w:val="20"/>
          <w:color w:val="auto"/>
        </w:rPr>
      </w:pPr>
    </w:p>
    <w:p>
      <w:pPr>
        <w:ind w:left="1480" w:right="120" w:hanging="446"/>
        <w:spacing w:after="0" w:line="259"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920" w:right="40" w:hanging="318"/>
        <w:spacing w:after="0" w:line="268"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1920" w:right="320" w:hanging="318"/>
        <w:spacing w:after="0" w:line="259"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16</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$0.27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 xml:space="preserve">As of December 31, 2008, on all matters submitted for a vote of holders of all classes of our voting stock, holders of our Class A common stock in the aggregate hold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voting power of our capital stock. As of December 31, 2008, our Class B common stock has a nondilutable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51" w:lineRule="auto"/>
        <w:rPr>
          <w:sz w:val="20"/>
          <w:szCs w:val="20"/>
          <w:color w:val="auto"/>
        </w:rPr>
      </w:pPr>
      <w:r>
        <w:rPr>
          <w:rFonts w:ascii="Arial" w:cs="Arial" w:eastAsia="Arial" w:hAnsi="Arial"/>
          <w:sz w:val="17"/>
          <w:szCs w:val="17"/>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 The Class B common stock is convertible on a share-for-share basis into Class A common stock or Class A Special common stock. As of February 28, 2009, if Mr. Roberts were to convert the Class B common stock he beneficially owns into Class A common stock, Mr. Roberts would beneficially own 12,798,458 shares of Class A common stock, which is less than 1% of the Class A common stock that would be outstanding after the conversion.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8"/>
          <w:szCs w:val="18"/>
          <w:i w:val="1"/>
          <w:iCs w:val="1"/>
          <w:color w:val="auto"/>
        </w:rPr>
        <w:t>i.e.</w:t>
      </w:r>
      <w:r>
        <w:rPr>
          <w:rFonts w:ascii="Arial" w:cs="Arial" w:eastAsia="Arial" w:hAnsi="Arial"/>
          <w:sz w:val="18"/>
          <w:szCs w:val="18"/>
          <w:color w:val="auto"/>
        </w:rPr>
        <w:t>,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4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“Flip In” Feature. </w:t>
      </w:r>
      <w:r>
        <w:rPr>
          <w:rFonts w:ascii="Arial" w:cs="Arial" w:eastAsia="Arial" w:hAnsi="Arial"/>
          <w:sz w:val="18"/>
          <w:szCs w:val="18"/>
          <w:color w:val="auto"/>
        </w:rPr>
        <w:t>If any person becomes an Acquiring Person, each holder of a Right, except for the Acquiring Person or certain affiliated persons,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Right, except for the person that has become an Acquiring Person or certain affiliated persons, could exercise his or her Right by paying to us $125 in order to receive shares of our Class A common stock having a value equal to $250.</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3"/>
          <w:szCs w:val="13"/>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(which express an unqualified opinion on the consolidated financial statements and the consolidated financial statement schedule and include an explanatory paragraph concerning the adoption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effective January 1, 2007, of Statement of Financial Accounting Standards (“SFAS”) No. 159, </w:t>
      </w:r>
      <w:r>
        <w:rPr>
          <w:rFonts w:ascii="Arial" w:cs="Arial" w:eastAsia="Arial" w:hAnsi="Arial"/>
          <w:sz w:val="16"/>
          <w:szCs w:val="16"/>
          <w:i w:val="1"/>
          <w:iCs w:val="1"/>
          <w:color w:val="auto"/>
        </w:rPr>
        <w:t>The Fair Value Option for Financial Assets and Financial Liabilities 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effective January 1, 2008, and of EITF Issue No 06-10,</w:t>
      </w:r>
      <w:r>
        <w:rPr>
          <w:rFonts w:ascii="Arial" w:cs="Arial" w:eastAsia="Arial" w:hAnsi="Arial"/>
          <w:sz w:val="16"/>
          <w:szCs w:val="16"/>
          <w:i w:val="1"/>
          <w:iCs w:val="1"/>
          <w:color w:val="auto"/>
        </w:rPr>
        <w:t xml:space="preserve"> Accounting for Collateral Assignment Spilt-Dollar Life Insurance Arrangements, </w:t>
      </w:r>
      <w:r>
        <w:rPr>
          <w:rFonts w:ascii="Arial" w:cs="Arial" w:eastAsia="Arial" w:hAnsi="Arial"/>
          <w:sz w:val="16"/>
          <w:szCs w:val="16"/>
          <w:color w:val="auto"/>
        </w:rPr>
        <w:t>effective January 1, 2008 and express an unqualified opinion on the effectiveness of internal control over financial reporting). Such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consolidated financial statement schedule have been so incorporated in reliance upon the reports of such firm given upon their authority as experts in accounting and auditing.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 filed on February 20, 2009.</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2009 annual meeting of stockholders incorporated by reference in the Annual Report on Form 10-K for the year ended December 31,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Report on Form 8-K filed on February 13, 2009.</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831850</wp:posOffset>
            </wp:positionV>
            <wp:extent cx="1397635" cy="3600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$700,000,000 5.70% Notes due 2019</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$800,000,000 6.55% Notes due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659130</wp:posOffset>
            </wp:positionV>
            <wp:extent cx="22383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3080" w:type="dxa"/>
            <w:vAlign w:val="bottom"/>
            <w:gridSpan w:val="3"/>
          </w:tcPr>
          <w:p>
            <w:pPr>
              <w:jc w:val="center"/>
              <w:ind w:left="352"/>
              <w:spacing w:after="0"/>
              <w:rPr>
                <w:sz w:val="20"/>
                <w:szCs w:val="20"/>
                <w:color w:val="auto"/>
              </w:rPr>
            </w:pPr>
            <w:r>
              <w:rPr>
                <w:rFonts w:ascii="Arial" w:cs="Arial" w:eastAsia="Arial" w:hAnsi="Arial"/>
                <w:sz w:val="18"/>
                <w:szCs w:val="18"/>
                <w:b w:val="1"/>
                <w:bCs w:val="1"/>
                <w:color w:val="auto"/>
                <w:w w:val="95"/>
              </w:rPr>
              <w:t>PROSPECTUS SUPPLEMENT</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83"/>
        </w:trPr>
        <w:tc>
          <w:tcPr>
            <w:tcW w:w="396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740" w:type="dxa"/>
            <w:vAlign w:val="bottom"/>
          </w:tcPr>
          <w:p>
            <w:pPr>
              <w:spacing w:after="0"/>
              <w:rPr>
                <w:sz w:val="7"/>
                <w:szCs w:val="7"/>
                <w:color w:val="auto"/>
              </w:rPr>
            </w:pPr>
          </w:p>
        </w:tc>
      </w:tr>
      <w:tr>
        <w:trPr>
          <w:trHeight w:val="451"/>
        </w:trPr>
        <w:tc>
          <w:tcPr>
            <w:tcW w:w="3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89"/>
              </w:rPr>
              <w:t>Joint Book-Running Managers</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58"/>
        </w:trPr>
        <w:tc>
          <w:tcPr>
            <w:tcW w:w="3960" w:type="dxa"/>
            <w:vAlign w:val="bottom"/>
          </w:tcPr>
          <w:p>
            <w:pPr>
              <w:spacing w:after="0"/>
              <w:rPr>
                <w:sz w:val="20"/>
                <w:szCs w:val="20"/>
                <w:color w:val="auto"/>
              </w:rPr>
            </w:pPr>
            <w:r>
              <w:rPr>
                <w:rFonts w:ascii="Arial" w:cs="Arial" w:eastAsia="Arial" w:hAnsi="Arial"/>
                <w:sz w:val="22"/>
                <w:szCs w:val="22"/>
                <w:b w:val="1"/>
                <w:bCs w:val="1"/>
                <w:color w:val="auto"/>
              </w:rPr>
              <w:t>Banc of America Securities LLC</w:t>
            </w:r>
          </w:p>
        </w:tc>
        <w:tc>
          <w:tcPr>
            <w:tcW w:w="560" w:type="dxa"/>
            <w:vAlign w:val="bottom"/>
          </w:tcPr>
          <w:p>
            <w:pPr>
              <w:spacing w:after="0"/>
              <w:rPr>
                <w:sz w:val="24"/>
                <w:szCs w:val="24"/>
                <w:color w:val="auto"/>
              </w:rPr>
            </w:pPr>
          </w:p>
        </w:tc>
        <w:tc>
          <w:tcPr>
            <w:tcW w:w="2520" w:type="dxa"/>
            <w:vAlign w:val="bottom"/>
            <w:gridSpan w:val="2"/>
          </w:tcPr>
          <w:p>
            <w:pPr>
              <w:jc w:val="center"/>
              <w:ind w:right="60"/>
              <w:spacing w:after="0"/>
              <w:rPr>
                <w:sz w:val="20"/>
                <w:szCs w:val="20"/>
                <w:color w:val="auto"/>
              </w:rPr>
            </w:pPr>
            <w:r>
              <w:rPr>
                <w:rFonts w:ascii="Arial" w:cs="Arial" w:eastAsia="Arial" w:hAnsi="Arial"/>
                <w:sz w:val="22"/>
                <w:szCs w:val="22"/>
                <w:b w:val="1"/>
                <w:bCs w:val="1"/>
                <w:color w:val="auto"/>
                <w:w w:val="89"/>
              </w:rPr>
              <w:t>Barclays Capital</w:t>
            </w:r>
          </w:p>
        </w:tc>
        <w:tc>
          <w:tcPr>
            <w:tcW w:w="1640" w:type="dxa"/>
            <w:vAlign w:val="bottom"/>
            <w:gridSpan w:val="2"/>
          </w:tcPr>
          <w:p>
            <w:pPr>
              <w:ind w:left="100"/>
              <w:spacing w:after="0"/>
              <w:rPr>
                <w:sz w:val="20"/>
                <w:szCs w:val="20"/>
                <w:color w:val="auto"/>
              </w:rPr>
            </w:pPr>
            <w:r>
              <w:rPr>
                <w:rFonts w:ascii="Arial" w:cs="Arial" w:eastAsia="Arial" w:hAnsi="Arial"/>
                <w:sz w:val="22"/>
                <w:szCs w:val="22"/>
                <w:b w:val="1"/>
                <w:bCs w:val="1"/>
                <w:color w:val="auto"/>
              </w:rPr>
              <w:t>BNP PARIBAS</w:t>
            </w:r>
          </w:p>
        </w:tc>
        <w:tc>
          <w:tcPr>
            <w:tcW w:w="2740" w:type="dxa"/>
            <w:vAlign w:val="bottom"/>
          </w:tcPr>
          <w:p>
            <w:pPr>
              <w:ind w:left="880"/>
              <w:spacing w:after="0"/>
              <w:rPr>
                <w:sz w:val="20"/>
                <w:szCs w:val="20"/>
                <w:color w:val="auto"/>
              </w:rPr>
            </w:pPr>
            <w:r>
              <w:rPr>
                <w:rFonts w:ascii="Arial" w:cs="Arial" w:eastAsia="Arial" w:hAnsi="Arial"/>
                <w:sz w:val="22"/>
                <w:szCs w:val="22"/>
                <w:b w:val="1"/>
                <w:bCs w:val="1"/>
                <w:color w:val="auto"/>
                <w:w w:val="85"/>
              </w:rPr>
              <w:t>Wachovia Securities</w:t>
            </w:r>
          </w:p>
        </w:tc>
      </w:tr>
      <w:tr>
        <w:trPr>
          <w:trHeight w:val="274"/>
        </w:trPr>
        <w:tc>
          <w:tcPr>
            <w:tcW w:w="3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740" w:type="dxa"/>
            <w:vAlign w:val="bottom"/>
          </w:tcPr>
          <w:p>
            <w:pPr>
              <w:spacing w:after="0"/>
              <w:rPr>
                <w:sz w:val="23"/>
                <w:szCs w:val="23"/>
                <w:color w:val="auto"/>
              </w:rPr>
            </w:pPr>
          </w:p>
        </w:tc>
      </w:tr>
      <w:tr>
        <w:trPr>
          <w:trHeight w:val="425"/>
        </w:trPr>
        <w:tc>
          <w:tcPr>
            <w:tcW w:w="3960" w:type="dxa"/>
            <w:vAlign w:val="bottom"/>
          </w:tcPr>
          <w:p>
            <w:pPr>
              <w:jc w:val="center"/>
              <w:ind w:right="527"/>
              <w:spacing w:after="0"/>
              <w:rPr>
                <w:sz w:val="20"/>
                <w:szCs w:val="20"/>
                <w:color w:val="auto"/>
              </w:rPr>
            </w:pPr>
            <w:r>
              <w:rPr>
                <w:rFonts w:ascii="Arial" w:cs="Arial" w:eastAsia="Arial" w:hAnsi="Arial"/>
                <w:sz w:val="18"/>
                <w:szCs w:val="18"/>
                <w:b w:val="1"/>
                <w:bCs w:val="1"/>
                <w:color w:val="auto"/>
              </w:rPr>
              <w:t>Citi</w:t>
            </w:r>
          </w:p>
        </w:tc>
        <w:tc>
          <w:tcPr>
            <w:tcW w:w="560" w:type="dxa"/>
            <w:vAlign w:val="bottom"/>
          </w:tcPr>
          <w:p>
            <w:pPr>
              <w:spacing w:after="0"/>
              <w:rPr>
                <w:sz w:val="24"/>
                <w:szCs w:val="24"/>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Daiwa Securities America Inc.</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40" w:type="dxa"/>
            <w:vAlign w:val="bottom"/>
          </w:tcPr>
          <w:p>
            <w:pPr>
              <w:jc w:val="center"/>
              <w:ind w:right="467"/>
              <w:spacing w:after="0"/>
              <w:rPr>
                <w:sz w:val="20"/>
                <w:szCs w:val="20"/>
                <w:color w:val="auto"/>
              </w:rPr>
            </w:pPr>
            <w:r>
              <w:rPr>
                <w:rFonts w:ascii="Arial" w:cs="Arial" w:eastAsia="Arial" w:hAnsi="Arial"/>
                <w:sz w:val="18"/>
                <w:szCs w:val="18"/>
                <w:b w:val="1"/>
                <w:bCs w:val="1"/>
                <w:color w:val="auto"/>
                <w:w w:val="85"/>
              </w:rPr>
              <w:t>Deutsche Bank Securities</w:t>
            </w:r>
          </w:p>
        </w:tc>
      </w:tr>
      <w:tr>
        <w:trPr>
          <w:trHeight w:val="216"/>
        </w:trPr>
        <w:tc>
          <w:tcPr>
            <w:tcW w:w="3960" w:type="dxa"/>
            <w:vAlign w:val="bottom"/>
          </w:tcPr>
          <w:p>
            <w:pPr>
              <w:jc w:val="center"/>
              <w:ind w:right="527"/>
              <w:spacing w:after="0"/>
              <w:rPr>
                <w:sz w:val="20"/>
                <w:szCs w:val="20"/>
                <w:color w:val="auto"/>
              </w:rPr>
            </w:pPr>
            <w:r>
              <w:rPr>
                <w:rFonts w:ascii="Arial" w:cs="Arial" w:eastAsia="Arial" w:hAnsi="Arial"/>
                <w:sz w:val="18"/>
                <w:szCs w:val="18"/>
                <w:b w:val="1"/>
                <w:bCs w:val="1"/>
                <w:color w:val="auto"/>
                <w:w w:val="88"/>
              </w:rPr>
              <w:t>Goldman, Sachs &amp; Co.</w:t>
            </w:r>
          </w:p>
        </w:tc>
        <w:tc>
          <w:tcPr>
            <w:tcW w:w="560" w:type="dxa"/>
            <w:vAlign w:val="bottom"/>
          </w:tcPr>
          <w:p>
            <w:pPr>
              <w:spacing w:after="0"/>
              <w:rPr>
                <w:sz w:val="18"/>
                <w:szCs w:val="18"/>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J.P. Morgan</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tcPr>
          <w:p>
            <w:pPr>
              <w:jc w:val="center"/>
              <w:ind w:right="467"/>
              <w:spacing w:after="0"/>
              <w:rPr>
                <w:sz w:val="20"/>
                <w:szCs w:val="20"/>
                <w:color w:val="auto"/>
              </w:rPr>
            </w:pPr>
            <w:r>
              <w:rPr>
                <w:rFonts w:ascii="Arial" w:cs="Arial" w:eastAsia="Arial" w:hAnsi="Arial"/>
                <w:sz w:val="18"/>
                <w:szCs w:val="18"/>
                <w:b w:val="1"/>
                <w:bCs w:val="1"/>
                <w:color w:val="auto"/>
                <w:w w:val="88"/>
              </w:rPr>
              <w:t>Mitsubishi UFJ Securities</w:t>
            </w:r>
          </w:p>
        </w:tc>
      </w:tr>
      <w:tr>
        <w:trPr>
          <w:trHeight w:val="228"/>
        </w:trPr>
        <w:tc>
          <w:tcPr>
            <w:tcW w:w="3960" w:type="dxa"/>
            <w:vAlign w:val="bottom"/>
          </w:tcPr>
          <w:p>
            <w:pPr>
              <w:jc w:val="center"/>
              <w:ind w:right="527"/>
              <w:spacing w:after="0"/>
              <w:rPr>
                <w:sz w:val="20"/>
                <w:szCs w:val="20"/>
                <w:color w:val="auto"/>
              </w:rPr>
            </w:pPr>
            <w:r>
              <w:rPr>
                <w:rFonts w:ascii="Arial" w:cs="Arial" w:eastAsia="Arial" w:hAnsi="Arial"/>
                <w:sz w:val="18"/>
                <w:szCs w:val="18"/>
                <w:b w:val="1"/>
                <w:bCs w:val="1"/>
                <w:color w:val="auto"/>
                <w:w w:val="90"/>
              </w:rPr>
              <w:t>Morgan Stanley</w:t>
            </w:r>
          </w:p>
        </w:tc>
        <w:tc>
          <w:tcPr>
            <w:tcW w:w="56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RBS</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740" w:type="dxa"/>
            <w:vAlign w:val="bottom"/>
          </w:tcPr>
          <w:p>
            <w:pPr>
              <w:jc w:val="center"/>
              <w:ind w:right="467"/>
              <w:spacing w:after="0"/>
              <w:rPr>
                <w:sz w:val="20"/>
                <w:szCs w:val="20"/>
                <w:color w:val="auto"/>
              </w:rPr>
            </w:pPr>
            <w:r>
              <w:rPr>
                <w:rFonts w:ascii="Arial" w:cs="Arial" w:eastAsia="Arial" w:hAnsi="Arial"/>
                <w:sz w:val="18"/>
                <w:szCs w:val="18"/>
                <w:b w:val="1"/>
                <w:bCs w:val="1"/>
                <w:color w:val="auto"/>
                <w:w w:val="88"/>
              </w:rPr>
              <w:t>UBS Investment Bank</w:t>
            </w:r>
          </w:p>
        </w:tc>
      </w:tr>
    </w:tbl>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SunTrust Robinson Humphrey</w:t>
      </w:r>
    </w:p>
    <w:p>
      <w:pPr>
        <w:spacing w:after="0" w:line="21" w:lineRule="exact"/>
        <w:rPr>
          <w:sz w:val="20"/>
          <w:szCs w:val="20"/>
          <w:color w:val="auto"/>
        </w:rPr>
      </w:pPr>
    </w:p>
    <w:p>
      <w:pPr>
        <w:ind w:left="480"/>
        <w:spacing w:after="0"/>
        <w:tabs>
          <w:tab w:leader="none" w:pos="4660" w:val="left"/>
          <w:tab w:leader="none" w:pos="8580" w:val="left"/>
        </w:tabs>
        <w:rPr>
          <w:sz w:val="20"/>
          <w:szCs w:val="20"/>
          <w:color w:val="auto"/>
        </w:rPr>
      </w:pPr>
      <w:r>
        <w:rPr>
          <w:rFonts w:ascii="Arial" w:cs="Arial" w:eastAsia="Arial" w:hAnsi="Arial"/>
          <w:sz w:val="18"/>
          <w:szCs w:val="18"/>
          <w:b w:val="1"/>
          <w:bCs w:val="1"/>
          <w:color w:val="auto"/>
        </w:rPr>
        <w:t>Lloyds TSB Corporate Markets</w:t>
      </w:r>
      <w:r>
        <w:rPr>
          <w:sz w:val="20"/>
          <w:szCs w:val="20"/>
          <w:color w:val="auto"/>
        </w:rPr>
        <w:tab/>
      </w:r>
      <w:r>
        <w:rPr>
          <w:rFonts w:ascii="Arial" w:cs="Arial" w:eastAsia="Arial" w:hAnsi="Arial"/>
          <w:sz w:val="18"/>
          <w:szCs w:val="18"/>
          <w:b w:val="1"/>
          <w:bCs w:val="1"/>
          <w:color w:val="auto"/>
        </w:rPr>
        <w:t>Mizuho Securities USA Inc.</w:t>
      </w:r>
      <w:r>
        <w:rPr>
          <w:sz w:val="20"/>
          <w:szCs w:val="20"/>
          <w:color w:val="auto"/>
        </w:rPr>
        <w:tab/>
      </w:r>
      <w:r>
        <w:rPr>
          <w:rFonts w:ascii="Arial" w:cs="Arial" w:eastAsia="Arial" w:hAnsi="Arial"/>
          <w:sz w:val="15"/>
          <w:szCs w:val="15"/>
          <w:b w:val="1"/>
          <w:bCs w:val="1"/>
          <w:color w:val="auto"/>
        </w:rPr>
        <w:t>U.S. Bancorp Investments,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BNY Mellon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204470</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20" w:type="dxa"/>
            <w:vAlign w:val="bottom"/>
          </w:tcPr>
          <w:p>
            <w:pPr>
              <w:jc w:val="center"/>
              <w:ind w:right="1032"/>
              <w:spacing w:after="0"/>
              <w:rPr>
                <w:sz w:val="20"/>
                <w:szCs w:val="20"/>
                <w:color w:val="auto"/>
              </w:rPr>
            </w:pPr>
            <w:r>
              <w:rPr>
                <w:rFonts w:ascii="Arial" w:cs="Arial" w:eastAsia="Arial" w:hAnsi="Arial"/>
                <w:sz w:val="14"/>
                <w:szCs w:val="14"/>
                <w:b w:val="1"/>
                <w:bCs w:val="1"/>
                <w:color w:val="auto"/>
                <w:w w:val="91"/>
              </w:rPr>
              <w:t>Loop Capital Markets, LLC</w:t>
            </w:r>
          </w:p>
        </w:tc>
        <w:tc>
          <w:tcPr>
            <w:tcW w:w="3820" w:type="dxa"/>
            <w:vAlign w:val="bottom"/>
          </w:tcPr>
          <w:p>
            <w:pPr>
              <w:spacing w:after="0"/>
              <w:rPr>
                <w:sz w:val="14"/>
                <w:szCs w:val="14"/>
                <w:color w:val="auto"/>
              </w:rPr>
            </w:pPr>
          </w:p>
        </w:tc>
        <w:tc>
          <w:tcPr>
            <w:tcW w:w="2880" w:type="dxa"/>
            <w:vAlign w:val="bottom"/>
          </w:tcPr>
          <w:p>
            <w:pPr>
              <w:jc w:val="center"/>
              <w:ind w:left="872"/>
              <w:spacing w:after="0"/>
              <w:rPr>
                <w:sz w:val="20"/>
                <w:szCs w:val="20"/>
                <w:color w:val="auto"/>
              </w:rPr>
            </w:pPr>
            <w:r>
              <w:rPr>
                <w:rFonts w:ascii="Arial" w:cs="Arial" w:eastAsia="Arial" w:hAnsi="Arial"/>
                <w:sz w:val="14"/>
                <w:szCs w:val="14"/>
                <w:b w:val="1"/>
                <w:bCs w:val="1"/>
                <w:color w:val="auto"/>
                <w:w w:val="90"/>
              </w:rPr>
              <w:t>The Williams Capital Group, L.P.</w:t>
            </w:r>
          </w:p>
        </w:tc>
      </w:tr>
      <w:tr>
        <w:trPr>
          <w:trHeight w:val="149"/>
        </w:trPr>
        <w:tc>
          <w:tcPr>
            <w:tcW w:w="2720" w:type="dxa"/>
            <w:vAlign w:val="bottom"/>
          </w:tcPr>
          <w:p>
            <w:pPr>
              <w:jc w:val="center"/>
              <w:ind w:right="1032"/>
              <w:spacing w:after="0" w:line="149" w:lineRule="exact"/>
              <w:rPr>
                <w:sz w:val="20"/>
                <w:szCs w:val="20"/>
                <w:color w:val="auto"/>
              </w:rPr>
            </w:pPr>
            <w:r>
              <w:rPr>
                <w:rFonts w:ascii="Arial" w:cs="Arial" w:eastAsia="Arial" w:hAnsi="Arial"/>
                <w:sz w:val="14"/>
                <w:szCs w:val="14"/>
                <w:b w:val="1"/>
                <w:bCs w:val="1"/>
                <w:color w:val="auto"/>
                <w:w w:val="89"/>
              </w:rPr>
              <w:t>Blaylock Robert Van, LLC</w:t>
            </w:r>
          </w:p>
        </w:tc>
        <w:tc>
          <w:tcPr>
            <w:tcW w:w="382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92"/>
              </w:rPr>
              <w:t>Cabrera Capital Markets, LLC</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8"/>
              </w:rPr>
              <w:t>Doley Securities, LLC</w:t>
            </w:r>
          </w:p>
        </w:tc>
      </w:tr>
      <w:tr>
        <w:trPr>
          <w:trHeight w:val="149"/>
        </w:trPr>
        <w:tc>
          <w:tcPr>
            <w:tcW w:w="2720" w:type="dxa"/>
            <w:vAlign w:val="bottom"/>
          </w:tcPr>
          <w:p>
            <w:pPr>
              <w:jc w:val="center"/>
              <w:ind w:right="1012"/>
              <w:spacing w:after="0" w:line="149" w:lineRule="exact"/>
              <w:rPr>
                <w:sz w:val="20"/>
                <w:szCs w:val="20"/>
                <w:color w:val="auto"/>
              </w:rPr>
            </w:pPr>
            <w:r>
              <w:rPr>
                <w:rFonts w:ascii="Arial" w:cs="Arial" w:eastAsia="Arial" w:hAnsi="Arial"/>
                <w:sz w:val="14"/>
                <w:szCs w:val="14"/>
                <w:b w:val="1"/>
                <w:bCs w:val="1"/>
                <w:color w:val="auto"/>
                <w:w w:val="90"/>
              </w:rPr>
              <w:t>Guzman &amp; Company</w:t>
            </w:r>
          </w:p>
        </w:tc>
        <w:tc>
          <w:tcPr>
            <w:tcW w:w="382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91"/>
              </w:rPr>
              <w:t>M.R. Beal &amp; Company</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91"/>
              </w:rPr>
              <w:t>Ramirez &amp; Co., Inc.</w:t>
            </w:r>
          </w:p>
        </w:tc>
      </w:tr>
      <w:tr>
        <w:trPr>
          <w:trHeight w:val="174"/>
        </w:trPr>
        <w:tc>
          <w:tcPr>
            <w:tcW w:w="2720" w:type="dxa"/>
            <w:vAlign w:val="bottom"/>
          </w:tcPr>
          <w:p>
            <w:pPr>
              <w:jc w:val="center"/>
              <w:ind w:right="1012"/>
              <w:spacing w:after="0"/>
              <w:rPr>
                <w:sz w:val="20"/>
                <w:szCs w:val="20"/>
                <w:color w:val="auto"/>
              </w:rPr>
            </w:pPr>
            <w:r>
              <w:rPr>
                <w:rFonts w:ascii="Arial" w:cs="Arial" w:eastAsia="Arial" w:hAnsi="Arial"/>
                <w:sz w:val="14"/>
                <w:szCs w:val="14"/>
                <w:b w:val="1"/>
                <w:bCs w:val="1"/>
                <w:color w:val="auto"/>
                <w:w w:val="90"/>
              </w:rPr>
              <w:t>Siebert Capital Markets</w:t>
            </w:r>
          </w:p>
        </w:tc>
        <w:tc>
          <w:tcPr>
            <w:tcW w:w="3820" w:type="dxa"/>
            <w:vAlign w:val="bottom"/>
          </w:tcPr>
          <w:p>
            <w:pPr>
              <w:spacing w:after="0"/>
              <w:rPr>
                <w:sz w:val="15"/>
                <w:szCs w:val="15"/>
                <w:color w:val="auto"/>
              </w:rPr>
            </w:pP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91"/>
              </w:rPr>
              <w:t>Utendahl Capital Group,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Roman"/>
      <w:start w:val="10"/>
    </w:lvl>
  </w:abstractNum>
  <w:abstractNum w:abstractNumId="4">
    <w:nsid w:val="4353D0CD"/>
    <w:multiLevelType w:val="hybridMultilevel"/>
    <w:lvl w:ilvl="0">
      <w:lvlJc w:val="left"/>
      <w:lvlText w:val="•"/>
      <w:numFmt w:val="bullet"/>
      <w:start w:val="1"/>
    </w:lvl>
    <w:lvl w:ilvl="1">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lowerRoman"/>
      <w:start w:val="1"/>
    </w:lvl>
  </w:abstractNum>
  <w:abstractNum w:abstractNumId="11">
    <w:nsid w:val="2901D82"/>
    <w:multiLevelType w:val="hybridMultilevel"/>
    <w:lvl w:ilvl="0">
      <w:lvlJc w:val="left"/>
      <w:lvlText w:val="(%1)"/>
      <w:numFmt w:val="lowerRoman"/>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lowerRoman"/>
      <w:start w:val="10"/>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23"/>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lvl w:ilvl="1">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lvl w:ilvl="1">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lvl w:ilvl="1">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2019-12-10T21:04:30Z</dcterms:created>
  <dcterms:modified xsi:type="dcterms:W3CDTF">2019-12-10T21:04:30Z</dcterms:modified>
</cp:coreProperties>
</file>