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Washington, D.C. 20549</w:t>
      </w:r>
    </w:p>
    <w:p>
      <w:pPr>
        <w:spacing w:after="0" w:line="4"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SCHEDULE 13D</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88"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(Amendment No.1)</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SPRINT CORPORATION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(Name of Issuer)</w:t>
      </w:r>
    </w:p>
    <w:p>
      <w:pPr>
        <w:spacing w:after="0" w:line="188"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PCS COMMON STOCK SERIES 1</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$1.00 PAR VALUE</w:t>
      </w:r>
    </w:p>
    <w:p>
      <w:pPr>
        <w:spacing w:after="0" w:line="4"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(Title of Class of Securities)</w:t>
      </w:r>
    </w:p>
    <w:p>
      <w:pPr>
        <w:spacing w:after="0" w:line="188"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852061506</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(Cusip Number)</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(Name of Person Filing Statement)</w:t>
      </w:r>
    </w:p>
    <w:p>
      <w:pPr>
        <w:spacing w:after="0" w:line="18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Arthur R. Block</w:t>
      </w:r>
    </w:p>
    <w:p>
      <w:pPr>
        <w:spacing w:after="0" w:line="4"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4"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Tel No.: (215) 665-1700</w:t>
      </w:r>
    </w:p>
    <w:p>
      <w:pPr>
        <w:spacing w:after="0" w:line="4" w:lineRule="exact"/>
        <w:rPr>
          <w:sz w:val="24"/>
          <w:szCs w:val="24"/>
          <w:color w:val="auto"/>
        </w:rPr>
      </w:pPr>
    </w:p>
    <w:p>
      <w:pPr>
        <w:ind w:left="2020"/>
        <w:spacing w:after="0"/>
        <w:rPr>
          <w:sz w:val="20"/>
          <w:szCs w:val="20"/>
          <w:color w:val="auto"/>
        </w:rPr>
      </w:pPr>
      <w:r>
        <w:rPr>
          <w:rFonts w:ascii="Courier New" w:cs="Courier New" w:eastAsia="Courier New" w:hAnsi="Courier New"/>
          <w:sz w:val="16"/>
          <w:szCs w:val="16"/>
          <w:color w:val="auto"/>
        </w:rPr>
        <w:t>(Name, Address and Telephone Number of</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Person Authorized to Receive Notices</w:t>
      </w:r>
    </w:p>
    <w:p>
      <w:pPr>
        <w:spacing w:after="0" w:line="4"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and Communications)</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November 23, 1998</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8"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statement because of Rule 13d-1 (e), 13d-1 (f) or 13d-1 (g), check the following: [ ]</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8" w:lineRule="exact"/>
        <w:rPr>
          <w:sz w:val="24"/>
          <w:szCs w:val="24"/>
          <w:color w:val="auto"/>
        </w:rPr>
      </w:pPr>
    </w:p>
    <w:p>
      <w:pPr>
        <w:spacing w:after="0"/>
        <w:tabs>
          <w:tab w:leader="none" w:pos="3620" w:val="left"/>
          <w:tab w:leader="none" w:pos="5640" w:val="left"/>
          <w:tab w:leader="none" w:pos="6420" w:val="left"/>
          <w:tab w:leader="none" w:pos="6800" w:val="left"/>
          <w:tab w:leader="none" w:pos="7080" w:val="left"/>
        </w:tabs>
        <w:rPr>
          <w:sz w:val="20"/>
          <w:szCs w:val="20"/>
          <w:color w:val="auto"/>
        </w:rPr>
      </w:pPr>
      <w:r>
        <w:rPr>
          <w:rFonts w:ascii="Courier New" w:cs="Courier New" w:eastAsia="Courier New" w:hAnsi="Courier New"/>
          <w:sz w:val="16"/>
          <w:szCs w:val="16"/>
          <w:color w:val="auto"/>
        </w:rPr>
        <w:t>CUSIP No. 85206150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2</w:t>
        <w:tab/>
        <w:t>of</w:t>
        <w:tab/>
        <w:t>5</w:t>
        <w:tab/>
        <w:t>Pages</w:t>
      </w:r>
    </w:p>
    <w:p>
      <w:pPr>
        <w:spacing w:after="0" w:line="188" w:lineRule="exact"/>
        <w:rPr>
          <w:sz w:val="24"/>
          <w:szCs w:val="24"/>
          <w:color w:val="auto"/>
        </w:rPr>
      </w:pPr>
    </w:p>
    <w:p>
      <w:pPr>
        <w:ind w:left="860" w:hanging="573"/>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PERSONS (ENTITIES ONLY)</w:t>
      </w:r>
    </w:p>
    <w:p>
      <w:pPr>
        <w:spacing w:after="0" w:line="188" w:lineRule="exact"/>
        <w:rPr>
          <w:sz w:val="24"/>
          <w:szCs w:val="24"/>
          <w:color w:val="auto"/>
        </w:rPr>
      </w:pPr>
    </w:p>
    <w:tbl>
      <w:tblPr>
        <w:tblLayout w:type="fixed"/>
        <w:tblInd w:w="28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5320" w:type="dxa"/>
            <w:vAlign w:val="bottom"/>
          </w:tcPr>
          <w:p>
            <w:pPr>
              <w:ind w:left="180"/>
              <w:spacing w:after="0"/>
              <w:rPr>
                <w:sz w:val="20"/>
                <w:szCs w:val="20"/>
                <w:color w:val="auto"/>
              </w:rPr>
            </w:pPr>
            <w:r>
              <w:rPr>
                <w:rFonts w:ascii="Courier New" w:cs="Courier New" w:eastAsia="Courier New" w:hAnsi="Courier New"/>
                <w:sz w:val="16"/>
                <w:szCs w:val="16"/>
                <w:color w:val="auto"/>
              </w:rPr>
              <w:t>COMCAST CORPORATION</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70"/>
        </w:trPr>
        <w:tc>
          <w:tcPr>
            <w:tcW w:w="40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2.</w:t>
            </w:r>
          </w:p>
        </w:tc>
        <w:tc>
          <w:tcPr>
            <w:tcW w:w="5320" w:type="dxa"/>
            <w:vAlign w:val="bottom"/>
          </w:tcPr>
          <w:p>
            <w:pPr>
              <w:ind w:left="18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780" w:type="dxa"/>
            <w:vAlign w:val="bottom"/>
          </w:tcPr>
          <w:p>
            <w:pPr>
              <w:ind w:left="440"/>
              <w:spacing w:after="0"/>
              <w:rPr>
                <w:sz w:val="20"/>
                <w:szCs w:val="20"/>
                <w:color w:val="auto"/>
              </w:rPr>
            </w:pPr>
            <w:r>
              <w:rPr>
                <w:rFonts w:ascii="Courier New" w:cs="Courier New" w:eastAsia="Courier New" w:hAnsi="Courier New"/>
                <w:sz w:val="16"/>
                <w:szCs w:val="16"/>
                <w:color w:val="auto"/>
              </w:rPr>
              <w:t>(a)</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 ]</w:t>
            </w:r>
          </w:p>
        </w:tc>
      </w:tr>
      <w:tr>
        <w:trPr>
          <w:trHeight w:val="185"/>
        </w:trPr>
        <w:tc>
          <w:tcPr>
            <w:tcW w:w="4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6"/>
                <w:szCs w:val="16"/>
                <w:color w:val="auto"/>
              </w:rPr>
              <w:t>(b)</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[x]</w:t>
            </w:r>
          </w:p>
        </w:tc>
      </w:tr>
    </w:tbl>
    <w:p>
      <w:pPr>
        <w:spacing w:after="0" w:line="188" w:lineRule="exact"/>
        <w:rPr>
          <w:sz w:val="24"/>
          <w:szCs w:val="24"/>
          <w:color w:val="auto"/>
        </w:rPr>
      </w:pPr>
    </w:p>
    <w:p>
      <w:pPr>
        <w:ind w:left="860" w:hanging="573"/>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74" w:lineRule="exact"/>
        <w:rPr>
          <w:rFonts w:ascii="Courier New" w:cs="Courier New" w:eastAsia="Courier New" w:hAnsi="Courier New"/>
          <w:sz w:val="16"/>
          <w:szCs w:val="16"/>
          <w:color w:val="auto"/>
        </w:rPr>
      </w:pPr>
    </w:p>
    <w:p>
      <w:pPr>
        <w:ind w:left="860" w:right="7919" w:hanging="573"/>
        <w:spacing w:after="0" w:line="486"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OO</w:t>
      </w:r>
    </w:p>
    <w:p>
      <w:pPr>
        <w:spacing w:after="0" w:line="5" w:lineRule="exact"/>
        <w:rPr>
          <w:rFonts w:ascii="Courier New" w:cs="Courier New" w:eastAsia="Courier New" w:hAnsi="Courier New"/>
          <w:sz w:val="16"/>
          <w:szCs w:val="16"/>
          <w:color w:val="auto"/>
        </w:rPr>
      </w:pPr>
    </w:p>
    <w:p>
      <w:pPr>
        <w:ind w:left="860" w:right="3979" w:hanging="573"/>
        <w:spacing w:after="0" w:line="242"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 |X|</w:t>
      </w:r>
    </w:p>
    <w:p>
      <w:pPr>
        <w:spacing w:after="0" w:line="188" w:lineRule="exact"/>
        <w:rPr>
          <w:rFonts w:ascii="Courier New" w:cs="Courier New" w:eastAsia="Courier New" w:hAnsi="Courier New"/>
          <w:sz w:val="16"/>
          <w:szCs w:val="16"/>
          <w:color w:val="auto"/>
        </w:rPr>
      </w:pPr>
    </w:p>
    <w:p>
      <w:pPr>
        <w:ind w:left="860" w:right="5899" w:hanging="573"/>
        <w:spacing w:after="0" w:line="486"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3" w:lineRule="exact"/>
        <w:rPr>
          <w:sz w:val="24"/>
          <w:szCs w:val="24"/>
          <w:color w:val="auto"/>
        </w:rPr>
      </w:pPr>
    </w:p>
    <w:tbl>
      <w:tblPr>
        <w:tblLayout w:type="fixed"/>
        <w:tblInd w:w="48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c>
          <w:tcPr>
            <w:tcW w:w="1580" w:type="dxa"/>
            <w:vAlign w:val="bottom"/>
          </w:tcPr>
          <w:p>
            <w:pPr>
              <w:ind w:left="180"/>
              <w:spacing w:after="0"/>
              <w:rPr>
                <w:sz w:val="20"/>
                <w:szCs w:val="20"/>
                <w:color w:val="auto"/>
              </w:rPr>
            </w:pPr>
            <w:r>
              <w:rPr>
                <w:rFonts w:ascii="Courier New" w:cs="Courier New" w:eastAsia="Courier New" w:hAnsi="Courier New"/>
                <w:sz w:val="16"/>
                <w:szCs w:val="16"/>
                <w:color w:val="auto"/>
              </w:rPr>
              <w:t>53,479,187</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5"/>
        </w:trPr>
        <w:tc>
          <w:tcPr>
            <w:tcW w:w="154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9"/>
              </w:rPr>
              <w:t>NUMBER OF</w:t>
            </w: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6"/>
                <w:szCs w:val="16"/>
                <w:color w:val="auto"/>
              </w:rPr>
              <w:t>(See Item Nos.</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 and</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6)</w:t>
            </w:r>
          </w:p>
        </w:tc>
      </w:tr>
      <w:tr>
        <w:trPr>
          <w:trHeight w:val="185"/>
        </w:trPr>
        <w:tc>
          <w:tcPr>
            <w:tcW w:w="154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SHARES</w:t>
            </w: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1540" w:type="dxa"/>
            <w:vAlign w:val="bottom"/>
          </w:tcPr>
          <w:p>
            <w:pPr>
              <w:jc w:val="center"/>
              <w:ind w:right="300"/>
              <w:spacing w:after="0"/>
              <w:rPr>
                <w:sz w:val="20"/>
                <w:szCs w:val="20"/>
                <w:color w:val="auto"/>
              </w:rPr>
            </w:pPr>
            <w:r>
              <w:rPr>
                <w:rFonts w:ascii="Courier New" w:cs="Courier New" w:eastAsia="Courier New" w:hAnsi="Courier New"/>
                <w:sz w:val="16"/>
                <w:szCs w:val="16"/>
                <w:color w:val="auto"/>
              </w:rPr>
              <w:t>BENEFICIALLY</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580" w:type="dxa"/>
            <w:vAlign w:val="bottom"/>
          </w:tcPr>
          <w:p>
            <w:pPr>
              <w:ind w:left="180"/>
              <w:spacing w:after="0"/>
              <w:rPr>
                <w:sz w:val="20"/>
                <w:szCs w:val="20"/>
                <w:color w:val="auto"/>
              </w:rPr>
            </w:pPr>
            <w:r>
              <w:rPr>
                <w:rFonts w:ascii="Courier New" w:cs="Courier New" w:eastAsia="Courier New" w:hAnsi="Courier New"/>
                <w:sz w:val="16"/>
                <w:szCs w:val="16"/>
                <w:color w:val="auto"/>
              </w:rPr>
              <w:t>0 shares</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1540" w:type="dxa"/>
            <w:vAlign w:val="bottom"/>
          </w:tcPr>
          <w:p>
            <w:pPr>
              <w:jc w:val="center"/>
              <w:ind w:right="300"/>
              <w:spacing w:after="0"/>
              <w:rPr>
                <w:sz w:val="20"/>
                <w:szCs w:val="20"/>
                <w:color w:val="auto"/>
              </w:rPr>
            </w:pPr>
            <w:r>
              <w:rPr>
                <w:rFonts w:ascii="Courier New" w:cs="Courier New" w:eastAsia="Courier New" w:hAnsi="Courier New"/>
                <w:sz w:val="16"/>
                <w:szCs w:val="16"/>
                <w:color w:val="auto"/>
                <w:w w:val="98"/>
              </w:rPr>
              <w:t>OWNED BY</w:t>
            </w: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1540" w:type="dxa"/>
            <w:vAlign w:val="bottom"/>
          </w:tcPr>
          <w:p>
            <w:pPr>
              <w:jc w:val="center"/>
              <w:ind w:right="320"/>
              <w:spacing w:after="0"/>
              <w:rPr>
                <w:sz w:val="20"/>
                <w:szCs w:val="20"/>
                <w:color w:val="auto"/>
              </w:rPr>
            </w:pPr>
            <w:r>
              <w:rPr>
                <w:rFonts w:ascii="Courier New" w:cs="Courier New" w:eastAsia="Courier New" w:hAnsi="Courier New"/>
                <w:sz w:val="16"/>
                <w:szCs w:val="16"/>
                <w:color w:val="auto"/>
                <w:w w:val="98"/>
              </w:rPr>
              <w:t>EACH</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22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53,479,187 PCS Common</w:t>
            </w:r>
          </w:p>
        </w:tc>
        <w:tc>
          <w:tcPr>
            <w:tcW w:w="280" w:type="dxa"/>
            <w:vAlign w:val="bottom"/>
          </w:tcPr>
          <w:p>
            <w:pPr>
              <w:spacing w:after="0"/>
              <w:rPr>
                <w:sz w:val="16"/>
                <w:szCs w:val="16"/>
                <w:color w:val="auto"/>
              </w:rPr>
            </w:pPr>
          </w:p>
        </w:tc>
      </w:tr>
      <w:tr>
        <w:trPr>
          <w:trHeight w:val="185"/>
        </w:trPr>
        <w:tc>
          <w:tcPr>
            <w:tcW w:w="154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9"/>
              </w:rPr>
              <w:t>REPORTING</w:t>
            </w: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6"/>
                <w:szCs w:val="16"/>
                <w:color w:val="auto"/>
              </w:rPr>
              <w:t>Stock-Series-2</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w:t>
            </w:r>
          </w:p>
        </w:tc>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par</w:t>
            </w:r>
          </w:p>
        </w:tc>
      </w:tr>
      <w:tr>
        <w:trPr>
          <w:trHeight w:val="185"/>
        </w:trPr>
        <w:tc>
          <w:tcPr>
            <w:tcW w:w="1540" w:type="dxa"/>
            <w:vAlign w:val="bottom"/>
          </w:tcPr>
          <w:p>
            <w:pPr>
              <w:jc w:val="center"/>
              <w:ind w:right="400"/>
              <w:spacing w:after="0"/>
              <w:rPr>
                <w:sz w:val="20"/>
                <w:szCs w:val="20"/>
                <w:color w:val="auto"/>
              </w:rPr>
            </w:pPr>
            <w:r>
              <w:rPr>
                <w:rFonts w:ascii="Courier New" w:cs="Courier New" w:eastAsia="Courier New" w:hAnsi="Courier New"/>
                <w:sz w:val="16"/>
                <w:szCs w:val="16"/>
                <w:color w:val="auto"/>
              </w:rPr>
              <w:t>PERSON WITH</w:t>
            </w: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value per share (See</w:t>
            </w:r>
          </w:p>
        </w:tc>
        <w:tc>
          <w:tcPr>
            <w:tcW w:w="28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6"/>
                <w:szCs w:val="16"/>
                <w:color w:val="auto"/>
              </w:rPr>
              <w:t>Item Nos. 1, 4</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and 6)</w:t>
            </w:r>
          </w:p>
        </w:tc>
        <w:tc>
          <w:tcPr>
            <w:tcW w:w="280" w:type="dxa"/>
            <w:vAlign w:val="bottom"/>
          </w:tcPr>
          <w:p>
            <w:pPr>
              <w:spacing w:after="0"/>
              <w:rPr>
                <w:sz w:val="16"/>
                <w:szCs w:val="16"/>
                <w:color w:val="auto"/>
              </w:rPr>
            </w:pPr>
          </w:p>
        </w:tc>
      </w:tr>
    </w:tbl>
    <w:p>
      <w:pPr>
        <w:spacing w:after="0" w:line="188" w:lineRule="exact"/>
        <w:rPr>
          <w:sz w:val="24"/>
          <w:szCs w:val="24"/>
          <w:color w:val="auto"/>
        </w:rPr>
      </w:pPr>
    </w:p>
    <w:p>
      <w:pPr>
        <w:ind w:left="2780" w:hanging="476"/>
        <w:spacing w:after="0"/>
        <w:tabs>
          <w:tab w:leader="none" w:pos="2780"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 shares</w:t>
      </w:r>
    </w:p>
    <w:p>
      <w:pPr>
        <w:spacing w:after="0" w:line="188" w:lineRule="exact"/>
        <w:rPr>
          <w:rFonts w:ascii="Courier New" w:cs="Courier New" w:eastAsia="Courier New" w:hAnsi="Courier New"/>
          <w:sz w:val="16"/>
          <w:szCs w:val="16"/>
          <w:color w:val="auto"/>
        </w:rPr>
      </w:pPr>
    </w:p>
    <w:p>
      <w:pPr>
        <w:ind w:left="860" w:hanging="669"/>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8" w:lineRule="exact"/>
        <w:rPr>
          <w:rFonts w:ascii="Courier New" w:cs="Courier New" w:eastAsia="Courier New" w:hAnsi="Courier New"/>
          <w:sz w:val="16"/>
          <w:szCs w:val="16"/>
          <w:color w:val="auto"/>
        </w:rPr>
      </w:pPr>
    </w:p>
    <w:p>
      <w:pPr>
        <w:ind w:left="1340" w:hanging="477"/>
        <w:spacing w:after="0"/>
        <w:tabs>
          <w:tab w:leader="none" w:pos="13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53,479,187*</w:t>
      </w:r>
    </w:p>
    <w:p>
      <w:pPr>
        <w:sectPr>
          <w:pgSz w:w="11900" w:h="16880" w:orient="portrait"/>
          <w:cols w:equalWidth="0" w:num="1">
            <w:col w:w="10219"/>
          </w:cols>
          <w:pgMar w:left="240" w:top="423" w:right="1440" w:bottom="0" w:gutter="0" w:footer="0" w:header="0"/>
        </w:sectPr>
      </w:pPr>
    </w:p>
    <w:bookmarkStart w:id="1" w:name="page2"/>
    <w:bookmarkEnd w:id="1"/>
    <w:p>
      <w:pPr>
        <w:ind w:left="860" w:right="3840"/>
        <w:spacing w:after="0" w:line="244" w:lineRule="auto"/>
        <w:rPr>
          <w:sz w:val="20"/>
          <w:szCs w:val="20"/>
          <w:color w:val="auto"/>
        </w:rPr>
      </w:pPr>
      <w:r>
        <w:rPr>
          <w:rFonts w:ascii="Courier New" w:cs="Courier New" w:eastAsia="Courier New" w:hAnsi="Courier New"/>
          <w:sz w:val="16"/>
          <w:szCs w:val="16"/>
          <w:color w:val="auto"/>
        </w:rPr>
        <w:t>53,479,187 shares consists of shares (i) 47,248,435 of Series 2 PCS Stock, (ii) presently exercisable Warrants to purchase an additional 3,015,858 shares of Series 2 PCS Stock, and (iii) 61,726 shares of Series 7 Preferred Stock (which for purposes of this Report are assumed to be convertible into an aggregate of 3,214,895 shares of Series 2 PCS Stock). Each share of Series 2 PCS Stock automatically converts into one share of Series 1 PCS Stock under certain circumstances.</w:t>
      </w:r>
    </w:p>
    <w:p>
      <w:pPr>
        <w:spacing w:after="0" w:line="188" w:lineRule="exact"/>
        <w:rPr>
          <w:sz w:val="20"/>
          <w:szCs w:val="20"/>
          <w:color w:val="auto"/>
        </w:rPr>
      </w:pPr>
    </w:p>
    <w:p>
      <w:pPr>
        <w:ind w:left="860" w:right="4220" w:firstLine="3"/>
        <w:spacing w:after="0" w:line="244" w:lineRule="auto"/>
        <w:tabs>
          <w:tab w:leader="none" w:pos="10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the conversion of all shares of Series 2 PCS Stock beneficially owned by the Reporting Person (including all shares of Series 2 PCS Stock issuable upon exercise of all Warrants and upon conversion of all Series 7 Preferred Stock) into the corresponding number of shares of Series 1 PCS Stock. See Item No. 1.</w:t>
      </w:r>
    </w:p>
    <w:p>
      <w:pPr>
        <w:spacing w:after="0" w:line="187" w:lineRule="exact"/>
        <w:rPr>
          <w:sz w:val="20"/>
          <w:szCs w:val="20"/>
          <w:color w:val="auto"/>
        </w:rPr>
      </w:pPr>
    </w:p>
    <w:p>
      <w:pPr>
        <w:ind w:left="860" w:right="3840"/>
        <w:spacing w:after="0" w:line="244" w:lineRule="auto"/>
        <w:rPr>
          <w:sz w:val="20"/>
          <w:szCs w:val="20"/>
          <w:color w:val="auto"/>
        </w:rPr>
      </w:pPr>
      <w:r>
        <w:rPr>
          <w:rFonts w:ascii="Courier New" w:cs="Courier New" w:eastAsia="Courier New" w:hAnsi="Courier New"/>
          <w:sz w:val="16"/>
          <w:szCs w:val="16"/>
          <w:color w:val="auto"/>
        </w:rPr>
        <w:t>Because the Reporting Person does not have the right to acquire any shares of Series 1 PCS Stock, underlying the shares of Series 2 PCS Stock, shares of the Series 7 Preferred Stock or the Warrants, within sixty days of the date of the event requiring this Report, the Reporting Person disclaims beneficialownership of all shares of Series 1 PCS Stock underlying the Series 2 PCS Stock, the Series 7 Preferred Stock and the Warrants. The filing of this Report by the Reporting Person shall not be construed as an admission that the Reporting Person is the beneficial owner of any shares of Series 1 PCS Stock.</w:t>
      </w:r>
    </w:p>
    <w:p>
      <w:pPr>
        <w:spacing w:after="0" w:line="187" w:lineRule="exact"/>
        <w:rPr>
          <w:sz w:val="20"/>
          <w:szCs w:val="20"/>
          <w:color w:val="auto"/>
        </w:rPr>
      </w:pPr>
    </w:p>
    <w:p>
      <w:pPr>
        <w:ind w:left="860" w:hanging="669"/>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w:t>
      </w:r>
    </w:p>
    <w:p>
      <w:pPr>
        <w:spacing w:after="0" w:line="4" w:lineRule="exact"/>
        <w:rPr>
          <w:sz w:val="20"/>
          <w:szCs w:val="20"/>
          <w:color w:val="auto"/>
        </w:rPr>
      </w:pPr>
    </w:p>
    <w:p>
      <w:pPr>
        <w:ind w:left="860"/>
        <w:spacing w:after="0"/>
        <w:tabs>
          <w:tab w:leader="none" w:pos="180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188" w:lineRule="exact"/>
        <w:rPr>
          <w:sz w:val="20"/>
          <w:szCs w:val="20"/>
          <w:color w:val="auto"/>
        </w:rPr>
      </w:pPr>
    </w:p>
    <w:p>
      <w:pPr>
        <w:ind w:left="860" w:hanging="669"/>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188"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23.7%</w:t>
      </w:r>
    </w:p>
    <w:p>
      <w:pPr>
        <w:spacing w:after="0" w:line="190" w:lineRule="exact"/>
        <w:rPr>
          <w:rFonts w:ascii="Courier New" w:cs="Courier New" w:eastAsia="Courier New" w:hAnsi="Courier New"/>
          <w:sz w:val="16"/>
          <w:szCs w:val="16"/>
          <w:color w:val="auto"/>
        </w:rPr>
      </w:pPr>
    </w:p>
    <w:p>
      <w:pPr>
        <w:ind w:left="860" w:right="384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each share of Series 2 PCS Stock generally is entitled to one-tenth of the applicable vote per share of Series 1 PCS Stock, the shares of Series 2 PCS Stock beneficially owned by the Reporting Person represent less than 1% of the voting power of Sprint Corporation.</w:t>
      </w:r>
    </w:p>
    <w:p>
      <w:pPr>
        <w:spacing w:after="0" w:line="189" w:lineRule="exact"/>
        <w:rPr>
          <w:rFonts w:ascii="Courier New" w:cs="Courier New" w:eastAsia="Courier New" w:hAnsi="Courier New"/>
          <w:sz w:val="16"/>
          <w:szCs w:val="16"/>
          <w:color w:val="auto"/>
        </w:rPr>
      </w:pPr>
    </w:p>
    <w:p>
      <w:pPr>
        <w:ind w:left="860" w:right="384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Series 2 PCS Stock beneficially owned by the Reporting Person represent approximately 11.3% of the outstanding Series 1 PCS Stock of the Issuer (which class includes the Series 1 PCS Stock, the Series 2 PCS Stock and the Series 3 PCS Stock), assuming the exercise of all Warrants to purchase shares of Series 2 PCS Stock initially issued to the Reporting Person, the conversion of all shares of Series 7 Preferred Stock initially issued to the Reporting Person into shares of Series 7 Preferred Stock, the issuance of all shares of Series 3 PCS Stock issuable in respect of the Sprint's outstanding Class A Common Stock and the issuance of all shares of Series 1 PCS Stock represented by the Sprint FON Group's "inter-group interest" in Sprint's PCS Group (including that portion of such inter-group interest corresponding to the Series 7 Preferred Stock and the Warrants to purchase Series 2 PCS Stock held by the Reporting Person and certain other holders).</w:t>
      </w:r>
    </w:p>
    <w:p>
      <w:pPr>
        <w:spacing w:after="0" w:line="191" w:lineRule="exact"/>
        <w:rPr>
          <w:rFonts w:ascii="Courier New" w:cs="Courier New" w:eastAsia="Courier New" w:hAnsi="Courier New"/>
          <w:sz w:val="16"/>
          <w:szCs w:val="16"/>
          <w:color w:val="auto"/>
        </w:rPr>
      </w:pPr>
    </w:p>
    <w:p>
      <w:pPr>
        <w:ind w:left="860" w:right="8360" w:hanging="669"/>
        <w:spacing w:after="0" w:line="486"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CO</w:t>
      </w:r>
    </w:p>
    <w:p>
      <w:pPr>
        <w:spacing w:after="0" w:line="190" w:lineRule="exact"/>
        <w:rPr>
          <w:sz w:val="20"/>
          <w:szCs w:val="20"/>
          <w:color w:val="auto"/>
        </w:rPr>
      </w:pPr>
    </w:p>
    <w:p>
      <w:pPr>
        <w:ind w:right="4120" w:firstLine="480"/>
        <w:spacing w:after="0" w:line="244" w:lineRule="auto"/>
        <w:rPr>
          <w:sz w:val="20"/>
          <w:szCs w:val="20"/>
          <w:color w:val="auto"/>
        </w:rPr>
      </w:pPr>
      <w:r>
        <w:rPr>
          <w:rFonts w:ascii="Courier New" w:cs="Courier New" w:eastAsia="Courier New" w:hAnsi="Courier New"/>
          <w:sz w:val="16"/>
          <w:szCs w:val="16"/>
          <w:color w:val="auto"/>
        </w:rPr>
        <w:t>Comcast Corporation, a Pennsylvania corporation hereby amends its Report on Schedule 13D, originally filed together with other reporting persons on December 11, 1998 (the "Schedule 13D"), to disclose the acquisition of its interest in PCS Common Stock Series 1 of the Sprint Corporation, a Kansas corporation (the "Issuer").</w:t>
      </w:r>
    </w:p>
    <w:p>
      <w:pPr>
        <w:spacing w:after="0" w:line="187" w:lineRule="exact"/>
        <w:rPr>
          <w:sz w:val="20"/>
          <w:szCs w:val="20"/>
          <w:color w:val="auto"/>
        </w:rPr>
      </w:pPr>
    </w:p>
    <w:p>
      <w:pPr>
        <w:ind w:right="4320" w:firstLine="480"/>
        <w:spacing w:after="0" w:line="274" w:lineRule="auto"/>
        <w:rPr>
          <w:sz w:val="20"/>
          <w:szCs w:val="20"/>
          <w:color w:val="auto"/>
        </w:rPr>
      </w:pPr>
      <w:r>
        <w:rPr>
          <w:rFonts w:ascii="Courier New" w:cs="Courier New" w:eastAsia="Courier New" w:hAnsi="Courier New"/>
          <w:sz w:val="15"/>
          <w:szCs w:val="15"/>
          <w:color w:val="auto"/>
        </w:rPr>
        <w:t>Unless otherwise indicated, each capitalized term used but not defined herein shall have the meaning assigned to such term in the Schedule 13D.</w:t>
      </w:r>
    </w:p>
    <w:p>
      <w:pPr>
        <w:spacing w:after="0" w:line="164" w:lineRule="exact"/>
        <w:rPr>
          <w:sz w:val="20"/>
          <w:szCs w:val="20"/>
          <w:color w:val="auto"/>
        </w:rPr>
      </w:pPr>
    </w:p>
    <w:p>
      <w:pPr>
        <w:spacing w:after="0"/>
        <w:tabs>
          <w:tab w:leader="none" w:pos="840" w:val="left"/>
          <w:tab w:leader="none" w:pos="4400" w:val="left"/>
        </w:tabs>
        <w:rPr>
          <w:sz w:val="20"/>
          <w:szCs w:val="20"/>
          <w:color w:val="auto"/>
        </w:rPr>
      </w:pPr>
      <w:r>
        <w:rPr>
          <w:rFonts w:ascii="Courier New" w:cs="Courier New" w:eastAsia="Courier New" w:hAnsi="Courier New"/>
          <w:sz w:val="16"/>
          <w:szCs w:val="16"/>
          <w:color w:val="auto"/>
        </w:rPr>
        <w:t>Item 2.</w:t>
        <w:tab/>
        <w:t>Identity and Background and Item 5.</w:t>
      </w:r>
      <w:r>
        <w:rPr>
          <w:sz w:val="20"/>
          <w:szCs w:val="20"/>
          <w:color w:val="auto"/>
        </w:rPr>
        <w:tab/>
      </w:r>
      <w:r>
        <w:rPr>
          <w:rFonts w:ascii="Courier New" w:cs="Courier New" w:eastAsia="Courier New" w:hAnsi="Courier New"/>
          <w:sz w:val="15"/>
          <w:szCs w:val="15"/>
          <w:color w:val="auto"/>
        </w:rPr>
        <w:t>Interest in Securities of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Issuer.</w:t>
      </w:r>
    </w:p>
    <w:p>
      <w:pPr>
        <w:spacing w:after="0" w:line="190" w:lineRule="exact"/>
        <w:rPr>
          <w:sz w:val="20"/>
          <w:szCs w:val="20"/>
          <w:color w:val="auto"/>
        </w:rPr>
      </w:pPr>
    </w:p>
    <w:p>
      <w:pPr>
        <w:ind w:right="3940" w:firstLine="480"/>
        <w:spacing w:after="0" w:line="242" w:lineRule="auto"/>
        <w:rPr>
          <w:sz w:val="20"/>
          <w:szCs w:val="20"/>
          <w:color w:val="auto"/>
        </w:rPr>
      </w:pPr>
      <w:r>
        <w:rPr>
          <w:rFonts w:ascii="Courier New" w:cs="Courier New" w:eastAsia="Courier New" w:hAnsi="Courier New"/>
          <w:sz w:val="16"/>
          <w:szCs w:val="16"/>
          <w:color w:val="auto"/>
        </w:rPr>
        <w:t>Schedule A of the Report is hereby amended and restated in its entirety by the following:</w:t>
      </w:r>
    </w:p>
    <w:p>
      <w:pPr>
        <w:spacing w:after="0" w:line="187"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SCHEDULE A</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DIRECTORS AND EXECUTIVE OFFICERS OF COMCAST</w:t>
      </w:r>
    </w:p>
    <w:p>
      <w:pPr>
        <w:spacing w:after="0" w:line="190" w:lineRule="exact"/>
        <w:rPr>
          <w:sz w:val="20"/>
          <w:szCs w:val="20"/>
          <w:color w:val="auto"/>
        </w:rPr>
      </w:pPr>
    </w:p>
    <w:p>
      <w:pPr>
        <w:ind w:right="4120" w:firstLine="480"/>
        <w:spacing w:after="0" w:line="244" w:lineRule="auto"/>
        <w:rPr>
          <w:sz w:val="20"/>
          <w:szCs w:val="20"/>
          <w:color w:val="auto"/>
        </w:rPr>
      </w:pPr>
      <w:r>
        <w:rPr>
          <w:rFonts w:ascii="Courier New" w:cs="Courier New" w:eastAsia="Courier New" w:hAnsi="Courier New"/>
          <w:sz w:val="16"/>
          <w:szCs w:val="16"/>
          <w:color w:val="auto"/>
        </w:rPr>
        <w:t>The name, business address, title, present principal occupation or employment of each of the directors and executive officers of Comcast Corporation ("Comcast") are set forth below. If no business address is given, the director's or officer's business address is 1500 Market Street, Philadelphia, PA 19102-2148. Unless otherwise indicated, each occupation set forth opposite an individual's name refers to Comcast. Unless otherwise indicated below, all of the persons listed below are citizens of the United States of America.</w:t>
      </w:r>
    </w:p>
    <w:p>
      <w:pPr>
        <w:sectPr>
          <w:pgSz w:w="11900" w:h="16838" w:orient="portrait"/>
          <w:cols w:equalWidth="0" w:num="1">
            <w:col w:w="11520"/>
          </w:cols>
          <w:pgMar w:left="240" w:top="326" w:right="139" w:bottom="0" w:gutter="0" w:footer="0" w:header="0"/>
        </w:sectPr>
      </w:pPr>
    </w:p>
    <w:p>
      <w:pPr>
        <w:spacing w:after="0" w:line="200" w:lineRule="exact"/>
        <w:rPr>
          <w:sz w:val="20"/>
          <w:szCs w:val="20"/>
          <w:color w:val="auto"/>
        </w:rPr>
      </w:pPr>
    </w:p>
    <w:p>
      <w:pPr>
        <w:spacing w:after="0" w:line="35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Business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242" w:lineRule="auto"/>
        <w:rPr>
          <w:sz w:val="20"/>
          <w:szCs w:val="20"/>
          <w:color w:val="auto"/>
        </w:rPr>
      </w:pPr>
      <w:r>
        <w:rPr>
          <w:rFonts w:ascii="Courier New" w:cs="Courier New" w:eastAsia="Courier New" w:hAnsi="Courier New"/>
          <w:sz w:val="16"/>
          <w:szCs w:val="16"/>
          <w:color w:val="auto"/>
        </w:rPr>
        <w:t>Present Principal Occupation -----------------------------------</w:t>
      </w:r>
    </w:p>
    <w:p>
      <w:pPr>
        <w:sectPr>
          <w:pgSz w:w="11900" w:h="16838" w:orient="portrait"/>
          <w:cols w:equalWidth="0" w:num="4">
            <w:col w:w="2680" w:space="300"/>
            <w:col w:w="2120" w:space="280"/>
            <w:col w:w="2500" w:space="280"/>
            <w:col w:w="3360"/>
          </w:cols>
          <w:pgMar w:left="240" w:top="326" w:right="1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Chairman of the Board of Directors</w:t>
            </w:r>
          </w:p>
        </w:tc>
      </w:tr>
      <w:tr>
        <w:trPr>
          <w:trHeight w:val="185"/>
        </w:trPr>
        <w:tc>
          <w:tcPr>
            <w:tcW w:w="268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of Directors and</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of Comcast</w:t>
            </w:r>
          </w:p>
        </w:tc>
      </w:tr>
      <w:tr>
        <w:trPr>
          <w:trHeight w:val="185"/>
        </w:trPr>
        <w:tc>
          <w:tcPr>
            <w:tcW w:w="268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Vice Chairman of the</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of the Board of</w:t>
            </w:r>
          </w:p>
        </w:tc>
      </w:tr>
      <w:tr>
        <w:trPr>
          <w:trHeight w:val="185"/>
        </w:trPr>
        <w:tc>
          <w:tcPr>
            <w:tcW w:w="268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Board of Directors and</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Directors of Comcast</w:t>
            </w:r>
          </w:p>
        </w:tc>
      </w:tr>
      <w:tr>
        <w:trPr>
          <w:trHeight w:val="185"/>
        </w:trPr>
        <w:tc>
          <w:tcPr>
            <w:tcW w:w="268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President; 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President of Comcast</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spacing w:after="0"/>
              <w:rPr>
                <w:sz w:val="16"/>
                <w:szCs w:val="16"/>
                <w:color w:val="auto"/>
              </w:rPr>
            </w:pP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1845 Walnut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Attorney</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Suite 2390</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1845 Walnut Street</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19103</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Suite 2390</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Philadelphia, PA 19103</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4200 One Liberty Place</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Partner in the law firm of Duane,</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19103</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Morris and Heckscher</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4200 Liberty Place</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Philadelphia, PA 19103</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Joseph L. Castle</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One Valley Square</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President of Castle Energy Corp.</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Suite 101</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One Valley Square</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512 Township Line Road</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Suite 101</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Blue Bell, PA 19422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512 Township Line Road</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Blue Bell, PA 19422</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1630 Locust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President of William Penn</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19103</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Foundation</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1630 Locust Street</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Philadelphia, PA 19103</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One Oliver Plaza</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Partner in Wechsler, Myers &amp;</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Pittsburgh, PA 15222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w w:val="99"/>
              </w:rPr>
              <w:t>Walsh, Certified Public Accountants</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One Oliver Plaza</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Pittsburgh, PA 15222</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1317 F. Street, N.W.</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Chairman of The Wexler Group</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Suite 600</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1317 F. Street, N.W.</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Washington, DC 20004</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Suite 600</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Washington, DC 20004</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Executive Vice President of</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Comcast</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w w:val="99"/>
              </w:rPr>
              <w:t>Senior Vice President and Treasurer</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of Comcast</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Stephen B. Burke</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Senior Vice President of Comcast</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spacing w:after="0"/>
              <w:rPr>
                <w:sz w:val="16"/>
                <w:szCs w:val="16"/>
                <w:color w:val="auto"/>
              </w:rPr>
            </w:pP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Senior Vice President, General</w:t>
            </w:r>
          </w:p>
        </w:tc>
      </w:tr>
      <w:tr>
        <w:trPr>
          <w:trHeight w:val="185"/>
        </w:trPr>
        <w:tc>
          <w:tcPr>
            <w:tcW w:w="2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3700" w:type="dxa"/>
            <w:vAlign w:val="bottom"/>
          </w:tcPr>
          <w:p>
            <w:pPr>
              <w:ind w:left="340"/>
              <w:spacing w:after="0"/>
              <w:rPr>
                <w:sz w:val="20"/>
                <w:szCs w:val="20"/>
                <w:color w:val="auto"/>
              </w:rPr>
            </w:pPr>
            <w:r>
              <w:rPr>
                <w:rFonts w:ascii="Courier New" w:cs="Courier New" w:eastAsia="Courier New" w:hAnsi="Courier New"/>
                <w:sz w:val="16"/>
                <w:szCs w:val="16"/>
                <w:color w:val="auto"/>
              </w:rPr>
              <w:t>Counsel and Secretary of Comcast</w:t>
            </w:r>
          </w:p>
        </w:tc>
      </w:tr>
      <w:tr>
        <w:trPr>
          <w:trHeight w:val="554"/>
        </w:trPr>
        <w:tc>
          <w:tcPr>
            <w:tcW w:w="2680" w:type="dxa"/>
            <w:vAlign w:val="bottom"/>
          </w:tcPr>
          <w:p>
            <w:pPr>
              <w:ind w:left="480"/>
              <w:spacing w:after="0"/>
              <w:rPr>
                <w:sz w:val="20"/>
                <w:szCs w:val="20"/>
                <w:color w:val="auto"/>
              </w:rPr>
            </w:pPr>
            <w:r>
              <w:rPr>
                <w:rFonts w:ascii="Courier New" w:cs="Courier New" w:eastAsia="Courier New" w:hAnsi="Courier New"/>
                <w:sz w:val="16"/>
                <w:szCs w:val="16"/>
                <w:color w:val="auto"/>
              </w:rPr>
              <w:t>* Citizen of Australia</w:t>
            </w:r>
          </w:p>
        </w:tc>
        <w:tc>
          <w:tcPr>
            <w:tcW w:w="2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right="3760" w:firstLine="865"/>
        <w:spacing w:after="0" w:line="24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Date: December 15, 1998</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Arthur R. Block</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tabs>
          <w:tab w:leader="none" w:pos="43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Arthur R. Block</w:t>
      </w:r>
    </w:p>
    <w:p>
      <w:pPr>
        <w:spacing w:after="0" w:line="4" w:lineRule="exact"/>
        <w:rPr>
          <w:sz w:val="20"/>
          <w:szCs w:val="20"/>
          <w:color w:val="auto"/>
        </w:rPr>
      </w:pPr>
    </w:p>
    <w:p>
      <w:pPr>
        <w:ind w:left="3640"/>
        <w:spacing w:after="0"/>
        <w:tabs>
          <w:tab w:leader="none" w:pos="46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sectPr>
      <w:pgSz w:w="11900" w:h="16838" w:orient="portrait"/>
      <w:cols w:equalWidth="0" w:num="1">
        <w:col w:w="11340"/>
      </w:cols>
      <w:pgMar w:left="240" w:top="3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3"/>
    </w:lvl>
  </w:abstractNum>
  <w:abstractNum w:abstractNumId="2">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0"/>
    </w:lvl>
  </w:abstractNum>
  <w:abstractNum w:abstractNumId="3">
    <w:nsid w:val="3D1B58BA"/>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2019-12-16T12:23:58Z</dcterms:created>
  <dcterms:modified xsi:type="dcterms:W3CDTF">2019-12-16T12:23:58Z</dcterms:modified>
</cp:coreProperties>
</file>