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132715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161290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147955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5300" w:type="dxa"/>
            <w:vAlign w:val="bottom"/>
          </w:tcPr>
          <w:p>
            <w:pPr>
              <w:jc w:val="center"/>
              <w:ind w:right="2319"/>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40" w:type="dxa"/>
            <w:vAlign w:val="bottom"/>
          </w:tcPr>
          <w:p>
            <w:pPr>
              <w:spacing w:after="0"/>
              <w:rPr>
                <w:sz w:val="16"/>
                <w:szCs w:val="16"/>
                <w:color w:val="auto"/>
              </w:rPr>
            </w:pPr>
          </w:p>
        </w:tc>
        <w:tc>
          <w:tcPr>
            <w:tcW w:w="5300" w:type="dxa"/>
            <w:vAlign w:val="bottom"/>
          </w:tcPr>
          <w:p>
            <w:pPr>
              <w:jc w:val="center"/>
              <w:ind w:right="2339"/>
              <w:spacing w:after="0"/>
              <w:rPr>
                <w:sz w:val="20"/>
                <w:szCs w:val="20"/>
                <w:color w:val="auto"/>
              </w:rPr>
            </w:pPr>
            <w:r>
              <w:rPr>
                <w:rFonts w:ascii="Arial" w:cs="Arial" w:eastAsia="Arial" w:hAnsi="Arial"/>
                <w:sz w:val="14"/>
                <w:szCs w:val="14"/>
                <w:b w:val="1"/>
                <w:bCs w:val="1"/>
                <w:color w:val="auto"/>
                <w:w w:val="93"/>
              </w:rPr>
              <w:t>(State or other jurisdiction of incorporation)</w:t>
            </w:r>
          </w:p>
        </w:tc>
      </w:tr>
      <w:tr>
        <w:trPr>
          <w:trHeight w:val="286"/>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5300" w:type="dxa"/>
            <w:vAlign w:val="bottom"/>
          </w:tcPr>
          <w:p>
            <w:pPr>
              <w:jc w:val="center"/>
              <w:ind w:left="3139"/>
              <w:spacing w:after="0"/>
              <w:rPr>
                <w:sz w:val="20"/>
                <w:szCs w:val="20"/>
                <w:color w:val="auto"/>
              </w:rPr>
            </w:pPr>
            <w:r>
              <w:rPr>
                <w:rFonts w:ascii="Arial" w:cs="Arial" w:eastAsia="Arial" w:hAnsi="Arial"/>
                <w:sz w:val="18"/>
                <w:szCs w:val="18"/>
                <w:b w:val="1"/>
                <w:bCs w:val="1"/>
                <w:color w:val="auto"/>
                <w:w w:val="91"/>
              </w:rPr>
              <w:t>27-0000798</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5300" w:type="dxa"/>
            <w:vAlign w:val="bottom"/>
          </w:tcPr>
          <w:p>
            <w:pPr>
              <w:jc w:val="center"/>
              <w:ind w:left="31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91"/>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9"/>
              </w:rPr>
              <w:t>One Comcast Center</w:t>
            </w:r>
          </w:p>
        </w:tc>
        <w:tc>
          <w:tcPr>
            <w:tcW w:w="5300" w:type="dxa"/>
            <w:vAlign w:val="bottom"/>
          </w:tcPr>
          <w:p>
            <w:pPr>
              <w:spacing w:after="0"/>
              <w:rPr>
                <w:sz w:val="24"/>
                <w:szCs w:val="24"/>
                <w:color w:val="auto"/>
              </w:rPr>
            </w:pPr>
          </w:p>
        </w:tc>
      </w:tr>
      <w:tr>
        <w:trPr>
          <w:trHeight w:val="212"/>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Philadelphia, PA</w:t>
            </w:r>
          </w:p>
        </w:tc>
        <w:tc>
          <w:tcPr>
            <w:tcW w:w="5300" w:type="dxa"/>
            <w:vAlign w:val="bottom"/>
          </w:tcPr>
          <w:p>
            <w:pPr>
              <w:jc w:val="center"/>
              <w:ind w:left="3139"/>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00" w:type="dxa"/>
            <w:vAlign w:val="bottom"/>
          </w:tcPr>
          <w:p>
            <w:pPr>
              <w:jc w:val="center"/>
              <w:ind w:left="3139"/>
              <w:spacing w:after="0"/>
              <w:rPr>
                <w:sz w:val="20"/>
                <w:szCs w:val="20"/>
                <w:color w:val="auto"/>
              </w:rPr>
            </w:pPr>
            <w:r>
              <w:rPr>
                <w:rFonts w:ascii="Arial" w:cs="Arial" w:eastAsia="Arial" w:hAnsi="Arial"/>
                <w:sz w:val="14"/>
                <w:szCs w:val="14"/>
                <w:b w:val="1"/>
                <w:bCs w:val="1"/>
                <w:color w:val="auto"/>
                <w:w w:val="98"/>
              </w:rPr>
              <w:t>(Zip Code)</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133350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ind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w:t>
      </w:r>
    </w:p>
    <w:p>
      <w:pPr>
        <w:spacing w:after="0" w:line="76"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860" w:hanging="432"/>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$0.01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CMCSA</w:t>
            </w:r>
          </w:p>
        </w:tc>
        <w:tc>
          <w:tcPr>
            <w:tcW w:w="100" w:type="dxa"/>
            <w:vAlign w:val="bottom"/>
          </w:tcPr>
          <w:p>
            <w:pPr>
              <w:spacing w:after="0"/>
              <w:rPr>
                <w:sz w:val="16"/>
                <w:szCs w:val="16"/>
                <w:color w:val="auto"/>
              </w:rPr>
            </w:pPr>
          </w:p>
        </w:tc>
        <w:tc>
          <w:tcPr>
            <w:tcW w:w="3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0.250% Notes due 2027</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CMCS27</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1.500%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0.750% Notes due 2032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CMCS32</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1.875% Notes due 2036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CMCS36</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1.250% Notes due 2040</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CMCS40</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6"/>
              </w:rPr>
              <w:t>NASDAQ Global Market</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1"/>
              </w:rPr>
              <w:t>9.455% Guaranteed Notes due 2022</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CMCSA/22</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5.50% Notes due 2029</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6"/>
              </w:rPr>
              <w:t>CCGBP29</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9"/>
              </w:rPr>
              <w:t>2.0% Exchangeable Subordinated Debentures</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CCZ</w:t>
            </w:r>
          </w:p>
        </w:tc>
        <w:tc>
          <w:tcPr>
            <w:tcW w:w="100" w:type="dxa"/>
            <w:vAlign w:val="bottom"/>
          </w:tcPr>
          <w:p>
            <w:pPr>
              <w:spacing w:after="0"/>
              <w:rPr>
                <w:sz w:val="18"/>
                <w:szCs w:val="18"/>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8"/>
              </w:rPr>
              <w:t>due 2029</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On May 20, 2020, Comcast Corporation notified The Bank of New York Mellon, as trustee, that it will redeem its $700 million aggregate principal amount of 1.625% Notes due January 15, 2022 (the “1.625% Notes”) in full at the redemption price calculated in accordance with the indenture governing such 1.625% Notes, plus accrued and unpaid interest. The redemption date for the 1.625% Notes will be June 19, 2020.</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Current Report on Form 8-K is not a notice of redemption for the 1.625% Notes.</w:t>
      </w:r>
    </w:p>
    <w:p>
      <w:pPr>
        <w:sectPr>
          <w:pgSz w:w="11900" w:h="16838" w:orient="portrait"/>
          <w:cols w:equalWidth="0" w:num="1">
            <w:col w:w="10340"/>
          </w:cols>
          <w:pgMar w:left="440" w:top="297" w:right="11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20, 2020</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Dordelman</w:t>
            </w:r>
          </w:p>
        </w:tc>
      </w:tr>
      <w:tr>
        <w:trPr>
          <w:trHeight w:val="209"/>
        </w:trPr>
        <w:tc>
          <w:tcPr>
            <w:tcW w:w="350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William E. Dordelman</w:t>
            </w:r>
          </w:p>
        </w:tc>
      </w:tr>
      <w:tr>
        <w:trPr>
          <w:trHeight w:val="230"/>
        </w:trPr>
        <w:tc>
          <w:tcPr>
            <w:tcW w:w="350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Treasurer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2020-05-20T16:23:47Z</dcterms:created>
  <dcterms:modified xsi:type="dcterms:W3CDTF">2020-05-20T16:23:47Z</dcterms:modified>
</cp:coreProperties>
</file>