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As filed with the Securities and Exchange Commission on August 1, 2019</w:t>
      </w:r>
    </w:p>
    <w:p>
      <w:pPr>
        <w:spacing w:after="0" w:line="1" w:lineRule="exact"/>
        <w:rPr>
          <w:sz w:val="24"/>
          <w:szCs w:val="24"/>
          <w:color w:val="auto"/>
        </w:rPr>
      </w:pPr>
    </w:p>
    <w:p>
      <w:pPr>
        <w:ind w:left="9620"/>
        <w:spacing w:after="0"/>
        <w:tabs>
          <w:tab w:leader="none" w:pos="10980" w:val="left"/>
        </w:tabs>
        <w:rPr>
          <w:sz w:val="20"/>
          <w:szCs w:val="20"/>
          <w:color w:val="auto"/>
        </w:rPr>
      </w:pPr>
      <w:r>
        <w:rPr>
          <w:rFonts w:ascii="Arial" w:cs="Arial" w:eastAsia="Arial" w:hAnsi="Arial"/>
          <w:sz w:val="14"/>
          <w:szCs w:val="14"/>
          <w:b w:val="1"/>
          <w:bCs w:val="1"/>
          <w:color w:val="auto"/>
        </w:rPr>
        <w:t>Registration No. 333-</w:t>
      </w:r>
      <w:r>
        <w:rPr>
          <w:sz w:val="20"/>
          <w:szCs w:val="20"/>
          <w:color w:val="auto"/>
        </w:rPr>
        <w:tab/>
      </w:r>
      <w:r>
        <w:rPr>
          <w:rFonts w:ascii="Arial" w:cs="Arial" w:eastAsia="Arial" w:hAnsi="Arial"/>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26035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52070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74" w:lineRule="exact"/>
        <w:rPr>
          <w:sz w:val="24"/>
          <w:szCs w:val="24"/>
          <w:color w:val="auto"/>
        </w:rPr>
      </w:pPr>
    </w:p>
    <w:p>
      <w:pPr>
        <w:jc w:val="center"/>
        <w:ind w:right="-17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7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45720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65"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FORM S-3</w:t>
      </w:r>
    </w:p>
    <w:p>
      <w:pPr>
        <w:spacing w:after="0" w:line="13"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REGISTRATION STATEMENT</w:t>
      </w:r>
    </w:p>
    <w:p>
      <w:pPr>
        <w:jc w:val="center"/>
        <w:ind w:right="-179"/>
        <w:spacing w:after="0"/>
        <w:rPr>
          <w:sz w:val="20"/>
          <w:szCs w:val="20"/>
          <w:color w:val="auto"/>
        </w:rPr>
      </w:pPr>
      <w:r>
        <w:rPr>
          <w:rFonts w:ascii="Arial" w:cs="Arial" w:eastAsia="Arial" w:hAnsi="Arial"/>
          <w:sz w:val="18"/>
          <w:szCs w:val="18"/>
          <w:b w:val="1"/>
          <w:bCs w:val="1"/>
          <w:i w:val="1"/>
          <w:iCs w:val="1"/>
          <w:color w:val="auto"/>
        </w:rPr>
        <w:t>UNDER THE SECURITIES ACT OF 1933</w:t>
      </w:r>
    </w:p>
    <w:p>
      <w:pPr>
        <w:spacing w:after="0" w:line="55"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Comcast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-311785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NBCUniversal Media, LLC</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Comcast Cable Communications, LLC</w:t>
      </w:r>
    </w:p>
    <w:p>
      <w:pPr>
        <w:spacing w:after="0" w:line="9" w:lineRule="exact"/>
        <w:rPr>
          <w:sz w:val="24"/>
          <w:szCs w:val="24"/>
          <w:color w:val="auto"/>
        </w:rPr>
      </w:pPr>
    </w:p>
    <w:tbl>
      <w:tblPr>
        <w:tblLayout w:type="fixed"/>
        <w:tblInd w:w="1160" w:type="dxa"/>
        <w:tblCellMar>
          <w:top w:w="0" w:type="dxa"/>
          <w:left w:w="0" w:type="dxa"/>
          <w:bottom w:w="0" w:type="dxa"/>
          <w:right w:w="0" w:type="dxa"/>
        </w:tblCellMar>
      </w:tblPr>
      <w:tr>
        <w:trPr>
          <w:trHeight w:val="165"/>
        </w:trPr>
        <w:tc>
          <w:tcPr>
            <w:tcW w:w="2360" w:type="dxa"/>
            <w:vAlign w:val="bottom"/>
          </w:tcPr>
          <w:p>
            <w:pPr>
              <w:spacing w:after="0"/>
              <w:rPr>
                <w:sz w:val="14"/>
                <w:szCs w:val="14"/>
                <w:color w:val="auto"/>
              </w:rPr>
            </w:pPr>
          </w:p>
        </w:tc>
        <w:tc>
          <w:tcPr>
            <w:tcW w:w="4340" w:type="dxa"/>
            <w:vAlign w:val="bottom"/>
          </w:tcPr>
          <w:p>
            <w:pPr>
              <w:jc w:val="right"/>
              <w:ind w:right="412"/>
              <w:spacing w:after="0"/>
              <w:rPr>
                <w:sz w:val="20"/>
                <w:szCs w:val="20"/>
                <w:color w:val="auto"/>
              </w:rPr>
            </w:pPr>
            <w:r>
              <w:rPr>
                <w:rFonts w:ascii="Arial" w:cs="Arial" w:eastAsia="Arial" w:hAnsi="Arial"/>
                <w:sz w:val="14"/>
                <w:szCs w:val="14"/>
                <w:b w:val="1"/>
                <w:bCs w:val="1"/>
                <w:color w:val="auto"/>
              </w:rPr>
              <w:t>(Exact Name of Registrants as Specified in Their Charter)</w:t>
            </w:r>
          </w:p>
        </w:tc>
        <w:tc>
          <w:tcPr>
            <w:tcW w:w="2720" w:type="dxa"/>
            <w:vAlign w:val="bottom"/>
          </w:tcPr>
          <w:p>
            <w:pPr>
              <w:spacing w:after="0"/>
              <w:rPr>
                <w:sz w:val="14"/>
                <w:szCs w:val="14"/>
                <w:color w:val="auto"/>
              </w:rPr>
            </w:pPr>
          </w:p>
        </w:tc>
      </w:tr>
      <w:tr>
        <w:trPr>
          <w:trHeight w:val="149"/>
        </w:trPr>
        <w:tc>
          <w:tcPr>
            <w:tcW w:w="2360" w:type="dxa"/>
            <w:vAlign w:val="bottom"/>
          </w:tcPr>
          <w:p>
            <w:pPr>
              <w:jc w:val="center"/>
              <w:ind w:right="47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4340" w:type="dxa"/>
            <w:vAlign w:val="bottom"/>
          </w:tcPr>
          <w:p>
            <w:pPr>
              <w:spacing w:after="0"/>
              <w:rPr>
                <w:sz w:val="12"/>
                <w:szCs w:val="12"/>
                <w:color w:val="auto"/>
              </w:rPr>
            </w:pPr>
          </w:p>
        </w:tc>
        <w:tc>
          <w:tcPr>
            <w:tcW w:w="2720" w:type="dxa"/>
            <w:vAlign w:val="bottom"/>
          </w:tcPr>
          <w:p>
            <w:pPr>
              <w:jc w:val="center"/>
              <w:ind w:left="412"/>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49"/>
        </w:trPr>
        <w:tc>
          <w:tcPr>
            <w:tcW w:w="2360" w:type="dxa"/>
            <w:vAlign w:val="bottom"/>
          </w:tcPr>
          <w:p>
            <w:pPr>
              <w:jc w:val="center"/>
              <w:ind w:right="472"/>
              <w:spacing w:after="0" w:line="149" w:lineRule="exact"/>
              <w:rPr>
                <w:sz w:val="20"/>
                <w:szCs w:val="20"/>
                <w:color w:val="auto"/>
              </w:rPr>
            </w:pPr>
            <w:r>
              <w:rPr>
                <w:rFonts w:ascii="Arial" w:cs="Arial" w:eastAsia="Arial" w:hAnsi="Arial"/>
                <w:sz w:val="14"/>
                <w:szCs w:val="14"/>
                <w:b w:val="1"/>
                <w:bCs w:val="1"/>
                <w:color w:val="auto"/>
                <w:w w:val="89"/>
              </w:rPr>
              <w:t>Incorporation or Organization)</w:t>
            </w:r>
          </w:p>
        </w:tc>
        <w:tc>
          <w:tcPr>
            <w:tcW w:w="4340" w:type="dxa"/>
            <w:vAlign w:val="bottom"/>
          </w:tcPr>
          <w:p>
            <w:pPr>
              <w:spacing w:after="0"/>
              <w:rPr>
                <w:sz w:val="12"/>
                <w:szCs w:val="12"/>
                <w:color w:val="auto"/>
              </w:rPr>
            </w:pPr>
          </w:p>
        </w:tc>
        <w:tc>
          <w:tcPr>
            <w:tcW w:w="2720" w:type="dxa"/>
            <w:vAlign w:val="bottom"/>
          </w:tcPr>
          <w:p>
            <w:pPr>
              <w:jc w:val="center"/>
              <w:ind w:left="432"/>
              <w:spacing w:after="0" w:line="149" w:lineRule="exact"/>
              <w:rPr>
                <w:sz w:val="20"/>
                <w:szCs w:val="20"/>
                <w:color w:val="auto"/>
              </w:rPr>
            </w:pPr>
            <w:r>
              <w:rPr>
                <w:rFonts w:ascii="Arial" w:cs="Arial" w:eastAsia="Arial" w:hAnsi="Arial"/>
                <w:sz w:val="14"/>
                <w:szCs w:val="14"/>
                <w:b w:val="1"/>
                <w:bCs w:val="1"/>
                <w:color w:val="auto"/>
                <w:w w:val="90"/>
              </w:rPr>
              <w:t>Identification Number)</w:t>
            </w:r>
          </w:p>
        </w:tc>
      </w:tr>
      <w:tr>
        <w:trPr>
          <w:trHeight w:val="149"/>
        </w:trPr>
        <w:tc>
          <w:tcPr>
            <w:tcW w:w="2360" w:type="dxa"/>
            <w:vAlign w:val="bottom"/>
          </w:tcPr>
          <w:p>
            <w:pPr>
              <w:jc w:val="center"/>
              <w:ind w:right="452"/>
              <w:spacing w:after="0" w:line="149" w:lineRule="exact"/>
              <w:rPr>
                <w:sz w:val="20"/>
                <w:szCs w:val="20"/>
                <w:color w:val="auto"/>
              </w:rPr>
            </w:pPr>
            <w:r>
              <w:rPr>
                <w:rFonts w:ascii="Arial" w:cs="Arial" w:eastAsia="Arial" w:hAnsi="Arial"/>
                <w:sz w:val="14"/>
                <w:szCs w:val="14"/>
                <w:b w:val="1"/>
                <w:bCs w:val="1"/>
                <w:color w:val="auto"/>
                <w:w w:val="84"/>
              </w:rPr>
              <w:t>Pennsylvania</w:t>
            </w:r>
          </w:p>
        </w:tc>
        <w:tc>
          <w:tcPr>
            <w:tcW w:w="4340" w:type="dxa"/>
            <w:vAlign w:val="bottom"/>
          </w:tcPr>
          <w:p>
            <w:pPr>
              <w:jc w:val="right"/>
              <w:ind w:right="1632"/>
              <w:spacing w:after="0" w:line="149" w:lineRule="exact"/>
              <w:rPr>
                <w:sz w:val="20"/>
                <w:szCs w:val="20"/>
                <w:color w:val="auto"/>
              </w:rPr>
            </w:pPr>
            <w:r>
              <w:rPr>
                <w:rFonts w:ascii="Arial" w:cs="Arial" w:eastAsia="Arial" w:hAnsi="Arial"/>
                <w:sz w:val="14"/>
                <w:szCs w:val="14"/>
                <w:b w:val="1"/>
                <w:bCs w:val="1"/>
                <w:color w:val="auto"/>
              </w:rPr>
              <w:t>27-0000798</w:t>
            </w:r>
          </w:p>
        </w:tc>
        <w:tc>
          <w:tcPr>
            <w:tcW w:w="2720" w:type="dxa"/>
            <w:vAlign w:val="bottom"/>
          </w:tcPr>
          <w:p>
            <w:pPr>
              <w:jc w:val="center"/>
              <w:ind w:left="412"/>
              <w:spacing w:after="0" w:line="149" w:lineRule="exact"/>
              <w:rPr>
                <w:sz w:val="20"/>
                <w:szCs w:val="20"/>
                <w:color w:val="auto"/>
              </w:rPr>
            </w:pPr>
            <w:r>
              <w:rPr>
                <w:rFonts w:ascii="Arial" w:cs="Arial" w:eastAsia="Arial" w:hAnsi="Arial"/>
                <w:sz w:val="14"/>
                <w:szCs w:val="14"/>
                <w:b w:val="1"/>
                <w:bCs w:val="1"/>
                <w:color w:val="auto"/>
                <w:w w:val="86"/>
              </w:rPr>
              <w:t>One Comcast Center</w:t>
            </w:r>
          </w:p>
        </w:tc>
      </w:tr>
      <w:tr>
        <w:trPr>
          <w:trHeight w:val="149"/>
        </w:trPr>
        <w:tc>
          <w:tcPr>
            <w:tcW w:w="236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2720" w:type="dxa"/>
            <w:vAlign w:val="bottom"/>
          </w:tcPr>
          <w:p>
            <w:pPr>
              <w:jc w:val="center"/>
              <w:ind w:left="412"/>
              <w:spacing w:after="0" w:line="149" w:lineRule="exact"/>
              <w:rPr>
                <w:sz w:val="20"/>
                <w:szCs w:val="20"/>
                <w:color w:val="auto"/>
              </w:rPr>
            </w:pPr>
            <w:r>
              <w:rPr>
                <w:rFonts w:ascii="Arial" w:cs="Arial" w:eastAsia="Arial" w:hAnsi="Arial"/>
                <w:sz w:val="14"/>
                <w:szCs w:val="14"/>
                <w:b w:val="1"/>
                <w:bCs w:val="1"/>
                <w:color w:val="auto"/>
                <w:w w:val="86"/>
              </w:rPr>
              <w:t>Philadelphia, Pennsylvania 19103-2838</w:t>
            </w:r>
          </w:p>
        </w:tc>
      </w:tr>
      <w:tr>
        <w:trPr>
          <w:trHeight w:val="162"/>
        </w:trPr>
        <w:tc>
          <w:tcPr>
            <w:tcW w:w="236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720" w:type="dxa"/>
            <w:vAlign w:val="bottom"/>
          </w:tcPr>
          <w:p>
            <w:pPr>
              <w:jc w:val="center"/>
              <w:ind w:left="412"/>
              <w:spacing w:after="0"/>
              <w:rPr>
                <w:sz w:val="20"/>
                <w:szCs w:val="20"/>
                <w:color w:val="auto"/>
              </w:rPr>
            </w:pPr>
            <w:r>
              <w:rPr>
                <w:rFonts w:ascii="Arial" w:cs="Arial" w:eastAsia="Arial" w:hAnsi="Arial"/>
                <w:sz w:val="14"/>
                <w:szCs w:val="14"/>
                <w:b w:val="1"/>
                <w:bCs w:val="1"/>
                <w:color w:val="auto"/>
                <w:w w:val="87"/>
              </w:rPr>
              <w:t>(215) 286-1700</w:t>
            </w:r>
          </w:p>
        </w:tc>
      </w:tr>
      <w:tr>
        <w:trPr>
          <w:trHeight w:val="149"/>
        </w:trPr>
        <w:tc>
          <w:tcPr>
            <w:tcW w:w="2360" w:type="dxa"/>
            <w:vAlign w:val="bottom"/>
          </w:tcPr>
          <w:p>
            <w:pPr>
              <w:jc w:val="center"/>
              <w:ind w:right="472"/>
              <w:spacing w:after="0" w:line="149" w:lineRule="exact"/>
              <w:rPr>
                <w:sz w:val="20"/>
                <w:szCs w:val="20"/>
                <w:color w:val="auto"/>
              </w:rPr>
            </w:pPr>
            <w:r>
              <w:rPr>
                <w:rFonts w:ascii="Arial" w:cs="Arial" w:eastAsia="Arial" w:hAnsi="Arial"/>
                <w:sz w:val="14"/>
                <w:szCs w:val="14"/>
                <w:b w:val="1"/>
                <w:bCs w:val="1"/>
                <w:color w:val="auto"/>
                <w:w w:val="87"/>
              </w:rPr>
              <w:t>Delaware</w:t>
            </w:r>
          </w:p>
        </w:tc>
        <w:tc>
          <w:tcPr>
            <w:tcW w:w="4340" w:type="dxa"/>
            <w:vAlign w:val="bottom"/>
          </w:tcPr>
          <w:p>
            <w:pPr>
              <w:jc w:val="right"/>
              <w:ind w:right="1632"/>
              <w:spacing w:after="0" w:line="149" w:lineRule="exact"/>
              <w:rPr>
                <w:sz w:val="20"/>
                <w:szCs w:val="20"/>
                <w:color w:val="auto"/>
              </w:rPr>
            </w:pPr>
            <w:r>
              <w:rPr>
                <w:rFonts w:ascii="Arial" w:cs="Arial" w:eastAsia="Arial" w:hAnsi="Arial"/>
                <w:sz w:val="14"/>
                <w:szCs w:val="14"/>
                <w:b w:val="1"/>
                <w:bCs w:val="1"/>
                <w:color w:val="auto"/>
              </w:rPr>
              <w:t>14-1682529</w:t>
            </w:r>
          </w:p>
        </w:tc>
        <w:tc>
          <w:tcPr>
            <w:tcW w:w="2720" w:type="dxa"/>
            <w:vAlign w:val="bottom"/>
          </w:tcPr>
          <w:p>
            <w:pPr>
              <w:jc w:val="center"/>
              <w:ind w:left="432"/>
              <w:spacing w:after="0" w:line="149" w:lineRule="exact"/>
              <w:rPr>
                <w:sz w:val="20"/>
                <w:szCs w:val="20"/>
                <w:color w:val="auto"/>
              </w:rPr>
            </w:pPr>
            <w:r>
              <w:rPr>
                <w:rFonts w:ascii="Arial" w:cs="Arial" w:eastAsia="Arial" w:hAnsi="Arial"/>
                <w:sz w:val="14"/>
                <w:szCs w:val="14"/>
                <w:b w:val="1"/>
                <w:bCs w:val="1"/>
                <w:color w:val="auto"/>
                <w:w w:val="87"/>
              </w:rPr>
              <w:t>30 Rockefeller Plaza</w:t>
            </w:r>
          </w:p>
        </w:tc>
      </w:tr>
      <w:tr>
        <w:trPr>
          <w:trHeight w:val="149"/>
        </w:trPr>
        <w:tc>
          <w:tcPr>
            <w:tcW w:w="236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2720" w:type="dxa"/>
            <w:vAlign w:val="bottom"/>
          </w:tcPr>
          <w:p>
            <w:pPr>
              <w:jc w:val="center"/>
              <w:ind w:left="412"/>
              <w:spacing w:after="0" w:line="149" w:lineRule="exact"/>
              <w:rPr>
                <w:sz w:val="20"/>
                <w:szCs w:val="20"/>
                <w:color w:val="auto"/>
              </w:rPr>
            </w:pPr>
            <w:r>
              <w:rPr>
                <w:rFonts w:ascii="Arial" w:cs="Arial" w:eastAsia="Arial" w:hAnsi="Arial"/>
                <w:sz w:val="14"/>
                <w:szCs w:val="14"/>
                <w:b w:val="1"/>
                <w:bCs w:val="1"/>
                <w:color w:val="auto"/>
                <w:w w:val="87"/>
              </w:rPr>
              <w:t>New York, New York 10112-0015</w:t>
            </w:r>
          </w:p>
        </w:tc>
      </w:tr>
      <w:tr>
        <w:trPr>
          <w:trHeight w:val="162"/>
        </w:trPr>
        <w:tc>
          <w:tcPr>
            <w:tcW w:w="236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720" w:type="dxa"/>
            <w:vAlign w:val="bottom"/>
          </w:tcPr>
          <w:p>
            <w:pPr>
              <w:jc w:val="center"/>
              <w:ind w:left="412"/>
              <w:spacing w:after="0"/>
              <w:rPr>
                <w:sz w:val="20"/>
                <w:szCs w:val="20"/>
                <w:color w:val="auto"/>
              </w:rPr>
            </w:pPr>
            <w:r>
              <w:rPr>
                <w:rFonts w:ascii="Arial" w:cs="Arial" w:eastAsia="Arial" w:hAnsi="Arial"/>
                <w:sz w:val="14"/>
                <w:szCs w:val="14"/>
                <w:b w:val="1"/>
                <w:bCs w:val="1"/>
                <w:color w:val="auto"/>
                <w:w w:val="87"/>
              </w:rPr>
              <w:t>(212) 664-4444</w:t>
            </w:r>
          </w:p>
        </w:tc>
      </w:tr>
      <w:tr>
        <w:trPr>
          <w:trHeight w:val="149"/>
        </w:trPr>
        <w:tc>
          <w:tcPr>
            <w:tcW w:w="2360" w:type="dxa"/>
            <w:vAlign w:val="bottom"/>
          </w:tcPr>
          <w:p>
            <w:pPr>
              <w:jc w:val="center"/>
              <w:ind w:right="472"/>
              <w:spacing w:after="0" w:line="149" w:lineRule="exact"/>
              <w:rPr>
                <w:sz w:val="20"/>
                <w:szCs w:val="20"/>
                <w:color w:val="auto"/>
              </w:rPr>
            </w:pPr>
            <w:r>
              <w:rPr>
                <w:rFonts w:ascii="Arial" w:cs="Arial" w:eastAsia="Arial" w:hAnsi="Arial"/>
                <w:sz w:val="14"/>
                <w:szCs w:val="14"/>
                <w:b w:val="1"/>
                <w:bCs w:val="1"/>
                <w:color w:val="auto"/>
                <w:w w:val="87"/>
              </w:rPr>
              <w:t>Delaware</w:t>
            </w:r>
          </w:p>
        </w:tc>
        <w:tc>
          <w:tcPr>
            <w:tcW w:w="4340" w:type="dxa"/>
            <w:vAlign w:val="bottom"/>
          </w:tcPr>
          <w:p>
            <w:pPr>
              <w:jc w:val="right"/>
              <w:ind w:right="1632"/>
              <w:spacing w:after="0" w:line="149" w:lineRule="exact"/>
              <w:rPr>
                <w:sz w:val="20"/>
                <w:szCs w:val="20"/>
                <w:color w:val="auto"/>
              </w:rPr>
            </w:pPr>
            <w:r>
              <w:rPr>
                <w:rFonts w:ascii="Arial" w:cs="Arial" w:eastAsia="Arial" w:hAnsi="Arial"/>
                <w:sz w:val="14"/>
                <w:szCs w:val="14"/>
                <w:b w:val="1"/>
                <w:bCs w:val="1"/>
                <w:color w:val="auto"/>
              </w:rPr>
              <w:t>23-2175755</w:t>
            </w:r>
          </w:p>
        </w:tc>
        <w:tc>
          <w:tcPr>
            <w:tcW w:w="2720" w:type="dxa"/>
            <w:vAlign w:val="bottom"/>
          </w:tcPr>
          <w:p>
            <w:pPr>
              <w:jc w:val="center"/>
              <w:ind w:left="412"/>
              <w:spacing w:after="0" w:line="149" w:lineRule="exact"/>
              <w:rPr>
                <w:sz w:val="20"/>
                <w:szCs w:val="20"/>
                <w:color w:val="auto"/>
              </w:rPr>
            </w:pPr>
            <w:r>
              <w:rPr>
                <w:rFonts w:ascii="Arial" w:cs="Arial" w:eastAsia="Arial" w:hAnsi="Arial"/>
                <w:sz w:val="14"/>
                <w:szCs w:val="14"/>
                <w:b w:val="1"/>
                <w:bCs w:val="1"/>
                <w:color w:val="auto"/>
                <w:w w:val="86"/>
              </w:rPr>
              <w:t>One Comcast Center</w:t>
            </w:r>
          </w:p>
        </w:tc>
      </w:tr>
      <w:tr>
        <w:trPr>
          <w:trHeight w:val="149"/>
        </w:trPr>
        <w:tc>
          <w:tcPr>
            <w:tcW w:w="236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2720" w:type="dxa"/>
            <w:vAlign w:val="bottom"/>
          </w:tcPr>
          <w:p>
            <w:pPr>
              <w:jc w:val="center"/>
              <w:ind w:left="412"/>
              <w:spacing w:after="0" w:line="149" w:lineRule="exact"/>
              <w:rPr>
                <w:sz w:val="20"/>
                <w:szCs w:val="20"/>
                <w:color w:val="auto"/>
              </w:rPr>
            </w:pPr>
            <w:r>
              <w:rPr>
                <w:rFonts w:ascii="Arial" w:cs="Arial" w:eastAsia="Arial" w:hAnsi="Arial"/>
                <w:sz w:val="14"/>
                <w:szCs w:val="14"/>
                <w:b w:val="1"/>
                <w:bCs w:val="1"/>
                <w:color w:val="auto"/>
                <w:w w:val="86"/>
              </w:rPr>
              <w:t>Philadelphia, Pennsylvania 19103-2838</w:t>
            </w:r>
          </w:p>
        </w:tc>
      </w:tr>
      <w:tr>
        <w:trPr>
          <w:trHeight w:val="174"/>
        </w:trPr>
        <w:tc>
          <w:tcPr>
            <w:tcW w:w="236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2720" w:type="dxa"/>
            <w:vAlign w:val="bottom"/>
          </w:tcPr>
          <w:p>
            <w:pPr>
              <w:jc w:val="center"/>
              <w:ind w:left="412"/>
              <w:spacing w:after="0"/>
              <w:rPr>
                <w:sz w:val="20"/>
                <w:szCs w:val="20"/>
                <w:color w:val="auto"/>
              </w:rPr>
            </w:pPr>
            <w:r>
              <w:rPr>
                <w:rFonts w:ascii="Arial" w:cs="Arial" w:eastAsia="Arial" w:hAnsi="Arial"/>
                <w:sz w:val="14"/>
                <w:szCs w:val="14"/>
                <w:b w:val="1"/>
                <w:bCs w:val="1"/>
                <w:color w:val="auto"/>
                <w:w w:val="87"/>
              </w:rPr>
              <w:t>(215) 286-1700</w:t>
            </w:r>
          </w:p>
        </w:tc>
      </w:tr>
    </w:tbl>
    <w:p>
      <w:pPr>
        <w:ind w:left="2240"/>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43815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77" w:lineRule="exact"/>
        <w:rPr>
          <w:sz w:val="24"/>
          <w:szCs w:val="24"/>
          <w:color w:val="auto"/>
        </w:rPr>
      </w:pPr>
    </w:p>
    <w:p>
      <w:pPr>
        <w:ind w:left="5100"/>
        <w:spacing w:after="0"/>
        <w:rPr>
          <w:sz w:val="20"/>
          <w:szCs w:val="20"/>
          <w:color w:val="auto"/>
        </w:rPr>
      </w:pPr>
      <w:r>
        <w:rPr>
          <w:rFonts w:ascii="Arial" w:cs="Arial" w:eastAsia="Arial" w:hAnsi="Arial"/>
          <w:sz w:val="14"/>
          <w:szCs w:val="14"/>
          <w:b w:val="1"/>
          <w:bCs w:val="1"/>
          <w:color w:val="auto"/>
        </w:rPr>
        <w:t>Thomas J. Reid, Esq.</w:t>
      </w:r>
    </w:p>
    <w:p>
      <w:pPr>
        <w:jc w:val="center"/>
        <w:ind w:right="-179"/>
        <w:spacing w:after="0" w:line="223" w:lineRule="auto"/>
        <w:rPr>
          <w:sz w:val="20"/>
          <w:szCs w:val="20"/>
          <w:color w:val="auto"/>
        </w:rPr>
      </w:pPr>
      <w:r>
        <w:rPr>
          <w:rFonts w:ascii="Arial" w:cs="Arial" w:eastAsia="Arial" w:hAnsi="Arial"/>
          <w:sz w:val="14"/>
          <w:szCs w:val="14"/>
          <w:b w:val="1"/>
          <w:bCs w:val="1"/>
          <w:color w:val="auto"/>
        </w:rPr>
        <w:t>Senior Executive Vice President,</w:t>
      </w:r>
    </w:p>
    <w:p>
      <w:pPr>
        <w:jc w:val="center"/>
        <w:ind w:right="-179"/>
        <w:spacing w:after="0" w:line="222" w:lineRule="auto"/>
        <w:rPr>
          <w:sz w:val="20"/>
          <w:szCs w:val="20"/>
          <w:color w:val="auto"/>
        </w:rPr>
      </w:pPr>
      <w:r>
        <w:rPr>
          <w:rFonts w:ascii="Arial" w:cs="Arial" w:eastAsia="Arial" w:hAnsi="Arial"/>
          <w:sz w:val="14"/>
          <w:szCs w:val="14"/>
          <w:b w:val="1"/>
          <w:bCs w:val="1"/>
          <w:color w:val="auto"/>
        </w:rPr>
        <w:t>General Counsel and Secretary</w:t>
      </w:r>
    </w:p>
    <w:p>
      <w:pPr>
        <w:jc w:val="center"/>
        <w:ind w:right="-179"/>
        <w:spacing w:after="0" w:line="221" w:lineRule="auto"/>
        <w:rPr>
          <w:sz w:val="20"/>
          <w:szCs w:val="20"/>
          <w:color w:val="auto"/>
        </w:rPr>
      </w:pPr>
      <w:r>
        <w:rPr>
          <w:rFonts w:ascii="Arial" w:cs="Arial" w:eastAsia="Arial" w:hAnsi="Arial"/>
          <w:sz w:val="14"/>
          <w:szCs w:val="14"/>
          <w:b w:val="1"/>
          <w:bCs w:val="1"/>
          <w:color w:val="auto"/>
        </w:rPr>
        <w:t>Comcast Corporation</w:t>
      </w:r>
    </w:p>
    <w:p>
      <w:pPr>
        <w:jc w:val="center"/>
        <w:ind w:right="-179"/>
        <w:spacing w:after="0" w:line="222" w:lineRule="auto"/>
        <w:rPr>
          <w:sz w:val="20"/>
          <w:szCs w:val="20"/>
          <w:color w:val="auto"/>
        </w:rPr>
      </w:pPr>
      <w:r>
        <w:rPr>
          <w:rFonts w:ascii="Arial" w:cs="Arial" w:eastAsia="Arial" w:hAnsi="Arial"/>
          <w:sz w:val="14"/>
          <w:szCs w:val="14"/>
          <w:b w:val="1"/>
          <w:bCs w:val="1"/>
          <w:color w:val="auto"/>
        </w:rPr>
        <w:t>One Comcast Center</w:t>
      </w:r>
    </w:p>
    <w:p>
      <w:pPr>
        <w:jc w:val="center"/>
        <w:ind w:right="-179"/>
        <w:spacing w:after="0" w:line="221" w:lineRule="auto"/>
        <w:rPr>
          <w:sz w:val="20"/>
          <w:szCs w:val="20"/>
          <w:color w:val="auto"/>
        </w:rPr>
      </w:pPr>
      <w:r>
        <w:rPr>
          <w:rFonts w:ascii="Arial" w:cs="Arial" w:eastAsia="Arial" w:hAnsi="Arial"/>
          <w:sz w:val="14"/>
          <w:szCs w:val="14"/>
          <w:b w:val="1"/>
          <w:bCs w:val="1"/>
          <w:color w:val="auto"/>
        </w:rPr>
        <w:t>Philadelphia, Pennsylvania 19103-2838</w:t>
      </w:r>
    </w:p>
    <w:p>
      <w:pPr>
        <w:jc w:val="center"/>
        <w:ind w:right="-179"/>
        <w:spacing w:after="0" w:line="222" w:lineRule="auto"/>
        <w:rPr>
          <w:sz w:val="20"/>
          <w:szCs w:val="20"/>
          <w:color w:val="auto"/>
        </w:rPr>
      </w:pPr>
      <w:r>
        <w:rPr>
          <w:rFonts w:ascii="Arial" w:cs="Arial" w:eastAsia="Arial" w:hAnsi="Arial"/>
          <w:sz w:val="14"/>
          <w:szCs w:val="14"/>
          <w:b w:val="1"/>
          <w:bCs w:val="1"/>
          <w:color w:val="auto"/>
        </w:rPr>
        <w:t>(215) 286-1700</w:t>
      </w:r>
    </w:p>
    <w:p>
      <w:pPr>
        <w:jc w:val="center"/>
        <w:ind w:right="-17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51435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90"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i w:val="1"/>
          <w:iCs w:val="1"/>
          <w:color w:val="auto"/>
        </w:rPr>
        <w:t>Copy to:</w:t>
      </w:r>
    </w:p>
    <w:p>
      <w:pPr>
        <w:jc w:val="center"/>
        <w:ind w:right="-179"/>
        <w:spacing w:after="0" w:line="221" w:lineRule="auto"/>
        <w:rPr>
          <w:sz w:val="20"/>
          <w:szCs w:val="20"/>
          <w:color w:val="auto"/>
        </w:rPr>
      </w:pPr>
      <w:r>
        <w:rPr>
          <w:rFonts w:ascii="Arial" w:cs="Arial" w:eastAsia="Arial" w:hAnsi="Arial"/>
          <w:sz w:val="14"/>
          <w:szCs w:val="14"/>
          <w:b w:val="1"/>
          <w:bCs w:val="1"/>
          <w:color w:val="auto"/>
        </w:rPr>
        <w:t>Bruce K. Dallas, Esq.</w:t>
      </w:r>
    </w:p>
    <w:p>
      <w:pPr>
        <w:jc w:val="center"/>
        <w:ind w:right="-179"/>
        <w:spacing w:after="0" w:line="221" w:lineRule="auto"/>
        <w:rPr>
          <w:sz w:val="20"/>
          <w:szCs w:val="20"/>
          <w:color w:val="auto"/>
        </w:rPr>
      </w:pPr>
      <w:r>
        <w:rPr>
          <w:rFonts w:ascii="Arial" w:cs="Arial" w:eastAsia="Arial" w:hAnsi="Arial"/>
          <w:sz w:val="14"/>
          <w:szCs w:val="14"/>
          <w:b w:val="1"/>
          <w:bCs w:val="1"/>
          <w:color w:val="auto"/>
        </w:rPr>
        <w:t>John B. Meade, Esq.</w:t>
      </w:r>
    </w:p>
    <w:p>
      <w:pPr>
        <w:jc w:val="center"/>
        <w:ind w:right="-179"/>
        <w:spacing w:after="0" w:line="222" w:lineRule="auto"/>
        <w:rPr>
          <w:sz w:val="20"/>
          <w:szCs w:val="20"/>
          <w:color w:val="auto"/>
        </w:rPr>
      </w:pPr>
      <w:r>
        <w:rPr>
          <w:rFonts w:ascii="Arial" w:cs="Arial" w:eastAsia="Arial" w:hAnsi="Arial"/>
          <w:sz w:val="14"/>
          <w:szCs w:val="14"/>
          <w:b w:val="1"/>
          <w:bCs w:val="1"/>
          <w:color w:val="auto"/>
        </w:rPr>
        <w:t>Davis Polk &amp; Wardwell LLP</w:t>
      </w:r>
    </w:p>
    <w:p>
      <w:pPr>
        <w:jc w:val="center"/>
        <w:ind w:right="-179"/>
        <w:spacing w:after="0" w:line="221" w:lineRule="auto"/>
        <w:rPr>
          <w:sz w:val="20"/>
          <w:szCs w:val="20"/>
          <w:color w:val="auto"/>
        </w:rPr>
      </w:pPr>
      <w:r>
        <w:rPr>
          <w:rFonts w:ascii="Arial" w:cs="Arial" w:eastAsia="Arial" w:hAnsi="Arial"/>
          <w:sz w:val="14"/>
          <w:szCs w:val="14"/>
          <w:b w:val="1"/>
          <w:bCs w:val="1"/>
          <w:color w:val="auto"/>
        </w:rPr>
        <w:t>450 Lexington Avenue</w:t>
      </w:r>
    </w:p>
    <w:p>
      <w:pPr>
        <w:jc w:val="center"/>
        <w:ind w:right="-179"/>
        <w:spacing w:after="0" w:line="222" w:lineRule="auto"/>
        <w:rPr>
          <w:sz w:val="20"/>
          <w:szCs w:val="20"/>
          <w:color w:val="auto"/>
        </w:rPr>
      </w:pPr>
      <w:r>
        <w:rPr>
          <w:rFonts w:ascii="Arial" w:cs="Arial" w:eastAsia="Arial" w:hAnsi="Arial"/>
          <w:sz w:val="14"/>
          <w:szCs w:val="14"/>
          <w:b w:val="1"/>
          <w:bCs w:val="1"/>
          <w:color w:val="auto"/>
        </w:rPr>
        <w:t>New York, NY 10017</w:t>
      </w:r>
    </w:p>
    <w:p>
      <w:pPr>
        <w:jc w:val="center"/>
        <w:ind w:right="-179"/>
        <w:spacing w:after="0"/>
        <w:rPr>
          <w:sz w:val="20"/>
          <w:szCs w:val="20"/>
          <w:color w:val="auto"/>
        </w:rPr>
      </w:pPr>
      <w:r>
        <w:rPr>
          <w:rFonts w:ascii="Arial" w:cs="Arial" w:eastAsia="Arial" w:hAnsi="Arial"/>
          <w:sz w:val="14"/>
          <w:szCs w:val="14"/>
          <w:b w:val="1"/>
          <w:bCs w:val="1"/>
          <w:color w:val="auto"/>
        </w:rPr>
        <w:t>(212) 450-4000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43180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75" w:lineRule="exact"/>
        <w:rPr>
          <w:sz w:val="24"/>
          <w:szCs w:val="24"/>
          <w:color w:val="auto"/>
        </w:rPr>
      </w:pPr>
    </w:p>
    <w:p>
      <w:pPr>
        <w:ind w:left="640"/>
        <w:spacing w:after="0"/>
        <w:rPr>
          <w:sz w:val="20"/>
          <w:szCs w:val="20"/>
          <w:color w:val="auto"/>
        </w:rPr>
      </w:pPr>
      <w:r>
        <w:rPr>
          <w:rFonts w:ascii="Arial" w:cs="Arial" w:eastAsia="Arial" w:hAnsi="Arial"/>
          <w:sz w:val="14"/>
          <w:szCs w:val="14"/>
          <w:b w:val="1"/>
          <w:bCs w:val="1"/>
          <w:color w:val="auto"/>
        </w:rPr>
        <w:t>Approximate date of commencement of proposed sale to the public</w:t>
      </w:r>
      <w:r>
        <w:rPr>
          <w:rFonts w:ascii="Arial" w:cs="Arial" w:eastAsia="Arial" w:hAnsi="Arial"/>
          <w:sz w:val="14"/>
          <w:szCs w:val="14"/>
          <w:color w:val="auto"/>
        </w:rPr>
        <w:t>: From time to time after this Registration Statement becomes effective.</w:t>
      </w:r>
    </w:p>
    <w:p>
      <w:pPr>
        <w:spacing w:after="0" w:line="13" w:lineRule="exact"/>
        <w:rPr>
          <w:sz w:val="24"/>
          <w:szCs w:val="24"/>
          <w:color w:val="auto"/>
        </w:rPr>
      </w:pPr>
    </w:p>
    <w:p>
      <w:pPr>
        <w:ind w:left="640"/>
        <w:spacing w:after="0" w:line="161" w:lineRule="exact"/>
        <w:rPr>
          <w:sz w:val="20"/>
          <w:szCs w:val="20"/>
          <w:color w:val="auto"/>
        </w:rPr>
      </w:pPr>
      <w:r>
        <w:rPr>
          <w:rFonts w:ascii="Arial" w:cs="Arial" w:eastAsia="Arial" w:hAnsi="Arial"/>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29" w:lineRule="exact"/>
        <w:rPr>
          <w:sz w:val="24"/>
          <w:szCs w:val="24"/>
          <w:color w:val="auto"/>
        </w:rPr>
      </w:pPr>
    </w:p>
    <w:p>
      <w:pPr>
        <w:ind w:left="200" w:right="120" w:firstLine="441"/>
        <w:spacing w:after="0" w:line="162"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left="200" w:right="560" w:firstLine="441"/>
        <w:spacing w:after="0" w:line="162"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200" w:right="200" w:firstLine="441"/>
        <w:spacing w:after="0" w:line="162"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200" w:right="260" w:firstLine="441"/>
        <w:spacing w:after="0" w:line="162" w:lineRule="exact"/>
        <w:rPr>
          <w:sz w:val="20"/>
          <w:szCs w:val="20"/>
          <w:color w:val="auto"/>
        </w:rPr>
      </w:pPr>
      <w:r>
        <w:rPr>
          <w:rFonts w:ascii="Arial" w:cs="Arial" w:eastAsia="Arial" w:hAnsi="Arial"/>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left="200" w:right="180" w:firstLine="441"/>
        <w:spacing w:after="0" w:line="162" w:lineRule="exact"/>
        <w:rPr>
          <w:sz w:val="20"/>
          <w:szCs w:val="20"/>
          <w:color w:val="auto"/>
        </w:rPr>
      </w:pPr>
      <w:r>
        <w:rPr>
          <w:rFonts w:ascii="Arial" w:cs="Arial" w:eastAsia="Arial" w:hAnsi="Arial"/>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left="200" w:right="20" w:firstLine="441"/>
        <w:spacing w:after="0" w:line="23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5" w:lineRule="exact"/>
        <w:rPr>
          <w:sz w:val="24"/>
          <w:szCs w:val="24"/>
          <w:color w:val="auto"/>
        </w:rPr>
      </w:pPr>
    </w:p>
    <w:tbl>
      <w:tblPr>
        <w:tblLayout w:type="fixed"/>
        <w:tblInd w:w="200" w:type="dxa"/>
        <w:tblCellMar>
          <w:top w:w="0" w:type="dxa"/>
          <w:left w:w="0" w:type="dxa"/>
          <w:bottom w:w="0" w:type="dxa"/>
          <w:right w:w="0" w:type="dxa"/>
        </w:tblCellMar>
      </w:tblPr>
      <w:tr>
        <w:trPr>
          <w:trHeight w:val="211"/>
        </w:trPr>
        <w:tc>
          <w:tcPr>
            <w:tcW w:w="14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8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5240" w:type="dxa"/>
            <w:vAlign w:val="bottom"/>
          </w:tcPr>
          <w:p>
            <w:pPr>
              <w:ind w:left="3520"/>
              <w:spacing w:after="0"/>
              <w:rPr>
                <w:sz w:val="20"/>
                <w:szCs w:val="20"/>
                <w:color w:val="auto"/>
              </w:rPr>
            </w:pPr>
            <w:r>
              <w:rPr>
                <w:rFonts w:ascii="Arial" w:cs="Arial" w:eastAsia="Arial" w:hAnsi="Arial"/>
                <w:sz w:val="14"/>
                <w:szCs w:val="14"/>
                <w:color w:val="auto"/>
              </w:rPr>
              <w:t>Accelerated filer</w:t>
            </w:r>
          </w:p>
        </w:tc>
        <w:tc>
          <w:tcPr>
            <w:tcW w:w="36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78"/>
        </w:trPr>
        <w:tc>
          <w:tcPr>
            <w:tcW w:w="1440" w:type="dxa"/>
            <w:vAlign w:val="bottom"/>
          </w:tcPr>
          <w:p>
            <w:pPr>
              <w:spacing w:after="0"/>
              <w:rPr>
                <w:sz w:val="20"/>
                <w:szCs w:val="20"/>
                <w:color w:val="auto"/>
              </w:rPr>
            </w:pPr>
            <w:r>
              <w:rPr>
                <w:rFonts w:ascii="Arial" w:cs="Arial" w:eastAsia="Arial" w:hAnsi="Arial"/>
                <w:sz w:val="14"/>
                <w:szCs w:val="14"/>
                <w:color w:val="auto"/>
              </w:rPr>
              <w:t>Non-accelerated filer</w:t>
            </w:r>
          </w:p>
        </w:tc>
        <w:tc>
          <w:tcPr>
            <w:tcW w:w="38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5240" w:type="dxa"/>
            <w:vAlign w:val="bottom"/>
          </w:tcPr>
          <w:p>
            <w:pPr>
              <w:ind w:left="3520"/>
              <w:spacing w:after="0"/>
              <w:rPr>
                <w:sz w:val="20"/>
                <w:szCs w:val="20"/>
                <w:color w:val="auto"/>
              </w:rPr>
            </w:pPr>
            <w:r>
              <w:rPr>
                <w:rFonts w:ascii="Arial" w:cs="Arial" w:eastAsia="Arial" w:hAnsi="Arial"/>
                <w:sz w:val="14"/>
                <w:szCs w:val="14"/>
                <w:color w:val="auto"/>
              </w:rPr>
              <w:t>Smaller reporting company</w:t>
            </w:r>
          </w:p>
        </w:tc>
        <w:tc>
          <w:tcPr>
            <w:tcW w:w="36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78"/>
        </w:trPr>
        <w:tc>
          <w:tcPr>
            <w:tcW w:w="14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5240" w:type="dxa"/>
            <w:vAlign w:val="bottom"/>
          </w:tcPr>
          <w:p>
            <w:pPr>
              <w:ind w:left="3520"/>
              <w:spacing w:after="0"/>
              <w:rPr>
                <w:sz w:val="20"/>
                <w:szCs w:val="20"/>
                <w:color w:val="auto"/>
              </w:rPr>
            </w:pPr>
            <w:r>
              <w:rPr>
                <w:rFonts w:ascii="Arial" w:cs="Arial" w:eastAsia="Arial" w:hAnsi="Arial"/>
                <w:sz w:val="14"/>
                <w:szCs w:val="14"/>
                <w:color w:val="auto"/>
              </w:rPr>
              <w:t>Emerging growth company</w:t>
            </w:r>
          </w:p>
        </w:tc>
        <w:tc>
          <w:tcPr>
            <w:tcW w:w="36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71"/>
              </w:rPr>
              <w:t>☐</w:t>
            </w:r>
          </w:p>
        </w:tc>
      </w:tr>
    </w:tbl>
    <w:p>
      <w:pPr>
        <w:ind w:left="200" w:right="40" w:firstLine="441"/>
        <w:spacing w:after="0" w:line="16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34925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63"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CALCULATION OF REGISTRATION FEE</w:t>
      </w:r>
    </w:p>
    <w:p>
      <w:pPr>
        <w:spacing w:after="0" w:line="48" w:lineRule="exact"/>
        <w:rPr>
          <w:sz w:val="24"/>
          <w:szCs w:val="24"/>
          <w:color w:val="auto"/>
        </w:rPr>
      </w:pPr>
    </w:p>
    <w:tbl>
      <w:tblPr>
        <w:tblLayout w:type="fixed"/>
        <w:tblInd w:w="20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774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7740" w:type="dxa"/>
            <w:vAlign w:val="bottom"/>
            <w:tcBorders>
              <w:right w:val="single" w:sz="8" w:color="auto"/>
            </w:tcBorders>
          </w:tcPr>
          <w:p>
            <w:pPr>
              <w:spacing w:after="0"/>
              <w:rPr>
                <w:sz w:val="10"/>
                <w:szCs w:val="10"/>
                <w:color w:val="auto"/>
              </w:rPr>
            </w:pPr>
          </w:p>
        </w:tc>
        <w:tc>
          <w:tcPr>
            <w:tcW w:w="164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2"/>
                <w:szCs w:val="12"/>
                <w:b w:val="1"/>
                <w:bCs w:val="1"/>
                <w:color w:val="auto"/>
                <w:w w:val="97"/>
              </w:rPr>
              <w:t>Proposed</w:t>
            </w:r>
          </w:p>
        </w:tc>
        <w:tc>
          <w:tcPr>
            <w:tcW w:w="164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7740" w:type="dxa"/>
            <w:vAlign w:val="bottom"/>
            <w:tcBorders>
              <w:right w:val="single" w:sz="8" w:color="auto"/>
            </w:tcBorders>
          </w:tcPr>
          <w:p>
            <w:pPr>
              <w:spacing w:after="0"/>
              <w:rPr>
                <w:sz w:val="12"/>
                <w:szCs w:val="12"/>
                <w:color w:val="auto"/>
              </w:rPr>
            </w:pPr>
          </w:p>
        </w:tc>
        <w:tc>
          <w:tcPr>
            <w:tcW w:w="1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c>
          <w:tcPr>
            <w:tcW w:w="16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7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Title of Each Class of</w:t>
            </w:r>
          </w:p>
        </w:tc>
        <w:tc>
          <w:tcPr>
            <w:tcW w:w="1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3"/>
              </w:rPr>
              <w:t>Aggregate</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75"/>
        </w:trPr>
        <w:tc>
          <w:tcPr>
            <w:tcW w:w="20" w:type="dxa"/>
            <w:vAlign w:val="bottom"/>
          </w:tcPr>
          <w:p>
            <w:pPr>
              <w:spacing w:after="0"/>
              <w:rPr>
                <w:sz w:val="15"/>
                <w:szCs w:val="15"/>
                <w:color w:val="auto"/>
              </w:rPr>
            </w:pPr>
          </w:p>
        </w:tc>
        <w:tc>
          <w:tcPr>
            <w:tcW w:w="7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Securities to be Registered</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Offering Price(1)</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Registration Fee</w:t>
            </w:r>
          </w:p>
        </w:tc>
      </w:tr>
      <w:tr>
        <w:trPr>
          <w:trHeight w:val="166"/>
        </w:trPr>
        <w:tc>
          <w:tcPr>
            <w:tcW w:w="20" w:type="dxa"/>
            <w:vAlign w:val="bottom"/>
          </w:tcPr>
          <w:p>
            <w:pPr>
              <w:spacing w:after="0"/>
              <w:rPr>
                <w:sz w:val="14"/>
                <w:szCs w:val="14"/>
                <w:color w:val="auto"/>
              </w:rPr>
            </w:pPr>
          </w:p>
        </w:tc>
        <w:tc>
          <w:tcPr>
            <w:tcW w:w="77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Senior debt securities (“Senior Debt Securities”)</w:t>
            </w:r>
          </w:p>
        </w:tc>
        <w:tc>
          <w:tcPr>
            <w:tcW w:w="1640" w:type="dxa"/>
            <w:vAlign w:val="bottom"/>
            <w:tcBorders>
              <w:right w:val="single" w:sz="8" w:color="auto"/>
            </w:tcBorders>
          </w:tcPr>
          <w:p>
            <w:pPr>
              <w:spacing w:after="0"/>
              <w:rPr>
                <w:sz w:val="14"/>
                <w:szCs w:val="14"/>
                <w:color w:val="auto"/>
              </w:rPr>
            </w:pPr>
          </w:p>
        </w:tc>
        <w:tc>
          <w:tcPr>
            <w:tcW w:w="1640" w:type="dxa"/>
            <w:vAlign w:val="bottom"/>
          </w:tcPr>
          <w:p>
            <w:pPr>
              <w:spacing w:after="0"/>
              <w:rPr>
                <w:sz w:val="14"/>
                <w:szCs w:val="14"/>
                <w:color w:val="auto"/>
              </w:rPr>
            </w:pPr>
          </w:p>
        </w:tc>
      </w:tr>
      <w:tr>
        <w:trPr>
          <w:trHeight w:val="71"/>
        </w:trPr>
        <w:tc>
          <w:tcPr>
            <w:tcW w:w="7760" w:type="dxa"/>
            <w:vAlign w:val="bottom"/>
            <w:tcBorders>
              <w:bottom w:val="single" w:sz="8" w:color="auto"/>
              <w:right w:val="single" w:sz="8" w:color="auto"/>
            </w:tcBorders>
            <w:gridSpan w:val="2"/>
          </w:tcPr>
          <w:p>
            <w:pPr>
              <w:spacing w:after="0"/>
              <w:rPr>
                <w:sz w:val="6"/>
                <w:szCs w:val="6"/>
                <w:color w:val="auto"/>
              </w:rPr>
            </w:pPr>
          </w:p>
        </w:tc>
        <w:tc>
          <w:tcPr>
            <w:tcW w:w="1640" w:type="dxa"/>
            <w:vAlign w:val="bottom"/>
            <w:tcBorders>
              <w:bottom w:val="single" w:sz="8" w:color="auto"/>
              <w:right w:val="single" w:sz="8" w:color="auto"/>
            </w:tcBorders>
          </w:tcPr>
          <w:p>
            <w:pPr>
              <w:spacing w:after="0"/>
              <w:rPr>
                <w:sz w:val="6"/>
                <w:szCs w:val="6"/>
                <w:color w:val="auto"/>
              </w:rPr>
            </w:pPr>
          </w:p>
        </w:tc>
        <w:tc>
          <w:tcPr>
            <w:tcW w:w="1640" w:type="dxa"/>
            <w:vAlign w:val="bottom"/>
            <w:tcBorders>
              <w:bottom w:val="single" w:sz="8" w:color="auto"/>
            </w:tcBorders>
          </w:tcPr>
          <w:p>
            <w:pPr>
              <w:spacing w:after="0"/>
              <w:rPr>
                <w:sz w:val="6"/>
                <w:szCs w:val="6"/>
                <w:color w:val="auto"/>
              </w:rPr>
            </w:pPr>
          </w:p>
        </w:tc>
      </w:tr>
      <w:tr>
        <w:trPr>
          <w:trHeight w:val="142"/>
        </w:trPr>
        <w:tc>
          <w:tcPr>
            <w:tcW w:w="7760" w:type="dxa"/>
            <w:vAlign w:val="bottom"/>
            <w:tcBorders>
              <w:bottom w:val="single" w:sz="8" w:color="auto"/>
              <w:right w:val="single" w:sz="8" w:color="auto"/>
            </w:tcBorders>
            <w:gridSpan w:val="2"/>
          </w:tcPr>
          <w:p>
            <w:pPr>
              <w:spacing w:after="0" w:line="142" w:lineRule="exact"/>
              <w:rPr>
                <w:sz w:val="20"/>
                <w:szCs w:val="20"/>
                <w:color w:val="auto"/>
              </w:rPr>
            </w:pPr>
            <w:r>
              <w:rPr>
                <w:rFonts w:ascii="Arial" w:cs="Arial" w:eastAsia="Arial" w:hAnsi="Arial"/>
                <w:sz w:val="14"/>
                <w:szCs w:val="14"/>
                <w:color w:val="auto"/>
              </w:rPr>
              <w:t>Preferred stock, without par value</w:t>
            </w:r>
          </w:p>
        </w:tc>
        <w:tc>
          <w:tcPr>
            <w:tcW w:w="164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r>
      <w:tr>
        <w:trPr>
          <w:trHeight w:val="142"/>
        </w:trPr>
        <w:tc>
          <w:tcPr>
            <w:tcW w:w="7760" w:type="dxa"/>
            <w:vAlign w:val="bottom"/>
            <w:tcBorders>
              <w:bottom w:val="single" w:sz="8" w:color="auto"/>
              <w:right w:val="single" w:sz="8" w:color="auto"/>
            </w:tcBorders>
            <w:gridSpan w:val="2"/>
          </w:tcPr>
          <w:p>
            <w:pPr>
              <w:spacing w:after="0" w:line="142" w:lineRule="exact"/>
              <w:rPr>
                <w:sz w:val="20"/>
                <w:szCs w:val="20"/>
                <w:color w:val="auto"/>
              </w:rPr>
            </w:pPr>
            <w:r>
              <w:rPr>
                <w:rFonts w:ascii="Arial" w:cs="Arial" w:eastAsia="Arial" w:hAnsi="Arial"/>
                <w:sz w:val="14"/>
                <w:szCs w:val="14"/>
                <w:color w:val="auto"/>
              </w:rPr>
              <w:t>Depositary shares representing preferred stock</w:t>
            </w:r>
          </w:p>
        </w:tc>
        <w:tc>
          <w:tcPr>
            <w:tcW w:w="164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r>
      <w:tr>
        <w:trPr>
          <w:trHeight w:val="142"/>
        </w:trPr>
        <w:tc>
          <w:tcPr>
            <w:tcW w:w="7760" w:type="dxa"/>
            <w:vAlign w:val="bottom"/>
            <w:tcBorders>
              <w:bottom w:val="single" w:sz="8" w:color="auto"/>
              <w:right w:val="single" w:sz="8" w:color="auto"/>
            </w:tcBorders>
            <w:gridSpan w:val="2"/>
          </w:tcPr>
          <w:p>
            <w:pPr>
              <w:spacing w:after="0" w:line="142" w:lineRule="exact"/>
              <w:rPr>
                <w:sz w:val="20"/>
                <w:szCs w:val="20"/>
                <w:color w:val="auto"/>
              </w:rPr>
            </w:pPr>
            <w:r>
              <w:rPr>
                <w:rFonts w:ascii="Arial" w:cs="Arial" w:eastAsia="Arial" w:hAnsi="Arial"/>
                <w:sz w:val="14"/>
                <w:szCs w:val="14"/>
                <w:color w:val="auto"/>
              </w:rPr>
              <w:t>Class A common stock, $0.01 par value</w:t>
            </w:r>
          </w:p>
        </w:tc>
        <w:tc>
          <w:tcPr>
            <w:tcW w:w="164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r>
      <w:tr>
        <w:trPr>
          <w:trHeight w:val="142"/>
        </w:trPr>
        <w:tc>
          <w:tcPr>
            <w:tcW w:w="7760" w:type="dxa"/>
            <w:vAlign w:val="bottom"/>
            <w:tcBorders>
              <w:bottom w:val="single" w:sz="8" w:color="auto"/>
              <w:right w:val="single" w:sz="8" w:color="auto"/>
            </w:tcBorders>
            <w:gridSpan w:val="2"/>
          </w:tcPr>
          <w:p>
            <w:pPr>
              <w:spacing w:after="0" w:line="142" w:lineRule="exact"/>
              <w:rPr>
                <w:sz w:val="20"/>
                <w:szCs w:val="20"/>
                <w:color w:val="auto"/>
              </w:rPr>
            </w:pPr>
            <w:r>
              <w:rPr>
                <w:rFonts w:ascii="Arial" w:cs="Arial" w:eastAsia="Arial" w:hAnsi="Arial"/>
                <w:sz w:val="14"/>
                <w:szCs w:val="14"/>
                <w:color w:val="auto"/>
              </w:rPr>
              <w:t>Warrants</w:t>
            </w:r>
          </w:p>
        </w:tc>
        <w:tc>
          <w:tcPr>
            <w:tcW w:w="164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r>
      <w:tr>
        <w:trPr>
          <w:trHeight w:val="142"/>
        </w:trPr>
        <w:tc>
          <w:tcPr>
            <w:tcW w:w="7760" w:type="dxa"/>
            <w:vAlign w:val="bottom"/>
            <w:tcBorders>
              <w:bottom w:val="single" w:sz="8" w:color="auto"/>
              <w:right w:val="single" w:sz="8" w:color="auto"/>
            </w:tcBorders>
            <w:gridSpan w:val="2"/>
          </w:tcPr>
          <w:p>
            <w:pPr>
              <w:spacing w:after="0" w:line="142" w:lineRule="exact"/>
              <w:rPr>
                <w:sz w:val="20"/>
                <w:szCs w:val="20"/>
                <w:color w:val="auto"/>
              </w:rPr>
            </w:pPr>
            <w:r>
              <w:rPr>
                <w:rFonts w:ascii="Arial" w:cs="Arial" w:eastAsia="Arial" w:hAnsi="Arial"/>
                <w:sz w:val="14"/>
                <w:szCs w:val="14"/>
                <w:color w:val="auto"/>
              </w:rPr>
              <w:t>Purchase Contracts</w:t>
            </w:r>
          </w:p>
        </w:tc>
        <w:tc>
          <w:tcPr>
            <w:tcW w:w="164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r>
      <w:tr>
        <w:trPr>
          <w:trHeight w:val="142"/>
        </w:trPr>
        <w:tc>
          <w:tcPr>
            <w:tcW w:w="7760" w:type="dxa"/>
            <w:vAlign w:val="bottom"/>
            <w:tcBorders>
              <w:bottom w:val="single" w:sz="8" w:color="auto"/>
              <w:right w:val="single" w:sz="8" w:color="auto"/>
            </w:tcBorders>
            <w:gridSpan w:val="2"/>
          </w:tcPr>
          <w:p>
            <w:pPr>
              <w:spacing w:after="0" w:line="142" w:lineRule="exact"/>
              <w:rPr>
                <w:sz w:val="20"/>
                <w:szCs w:val="20"/>
                <w:color w:val="auto"/>
              </w:rPr>
            </w:pPr>
            <w:r>
              <w:rPr>
                <w:rFonts w:ascii="Arial" w:cs="Arial" w:eastAsia="Arial" w:hAnsi="Arial"/>
                <w:sz w:val="14"/>
                <w:szCs w:val="14"/>
                <w:color w:val="auto"/>
              </w:rPr>
              <w:t>Units</w:t>
            </w:r>
          </w:p>
        </w:tc>
        <w:tc>
          <w:tcPr>
            <w:tcW w:w="164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r>
      <w:tr>
        <w:trPr>
          <w:trHeight w:val="142"/>
        </w:trPr>
        <w:tc>
          <w:tcPr>
            <w:tcW w:w="7760" w:type="dxa"/>
            <w:vAlign w:val="bottom"/>
            <w:tcBorders>
              <w:bottom w:val="single" w:sz="8" w:color="auto"/>
              <w:right w:val="single" w:sz="8" w:color="auto"/>
            </w:tcBorders>
            <w:gridSpan w:val="2"/>
          </w:tcPr>
          <w:p>
            <w:pPr>
              <w:spacing w:after="0" w:line="142" w:lineRule="exact"/>
              <w:rPr>
                <w:sz w:val="20"/>
                <w:szCs w:val="20"/>
                <w:color w:val="auto"/>
              </w:rPr>
            </w:pPr>
            <w:r>
              <w:rPr>
                <w:rFonts w:ascii="Arial" w:cs="Arial" w:eastAsia="Arial" w:hAnsi="Arial"/>
                <w:sz w:val="14"/>
                <w:szCs w:val="14"/>
                <w:color w:val="auto"/>
              </w:rPr>
              <w:t>Guarantees of Debt Securities, Warrants, Purchase Contracts and Units</w:t>
            </w:r>
          </w:p>
        </w:tc>
        <w:tc>
          <w:tcPr>
            <w:tcW w:w="164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30" w:lineRule="exact"/>
        <w:rPr>
          <w:sz w:val="24"/>
          <w:szCs w:val="24"/>
          <w:color w:val="auto"/>
        </w:rPr>
      </w:pPr>
    </w:p>
    <w:p>
      <w:pPr>
        <w:ind w:left="640" w:right="120" w:hanging="436"/>
        <w:spacing w:after="0" w:line="233" w:lineRule="auto"/>
        <w:tabs>
          <w:tab w:leader="none" w:pos="640" w:val="left"/>
        </w:tabs>
        <w:numPr>
          <w:ilvl w:val="0"/>
          <w:numId w:val="1"/>
        </w:numPr>
        <w:rPr>
          <w:rFonts w:ascii="Arial" w:cs="Arial" w:eastAsia="Arial" w:hAnsi="Arial"/>
          <w:sz w:val="14"/>
          <w:szCs w:val="14"/>
          <w:color w:val="auto"/>
        </w:rPr>
      </w:pPr>
      <w:r>
        <w:rPr>
          <w:rFonts w:ascii="Arial" w:cs="Arial" w:eastAsia="Arial" w:hAnsi="Arial"/>
          <w:sz w:val="14"/>
          <w:szCs w:val="14"/>
          <w:color w:val="auto"/>
        </w:rPr>
        <w:t>An indeterminate amount of securities to be offered at indeterminate prices is being registered pursuant to this registration statement. The Registrants are deferring payment of the registration fee pursuant to Rule 456(b) and are omitting this information in reliance on Rule 456(b) and Rule 457(r). These securities may also be sold separately, together or as units with other securities registered hereunder.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26670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60960</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230" w:right="4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194945</wp:posOffset>
            </wp:positionV>
            <wp:extent cx="1397635" cy="4889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0" w:right="80" w:firstLine="441"/>
        <w:spacing w:after="0" w:line="268" w:lineRule="auto"/>
        <w:rPr>
          <w:sz w:val="20"/>
          <w:szCs w:val="20"/>
          <w:color w:val="auto"/>
        </w:rPr>
      </w:pPr>
      <w:r>
        <w:rPr>
          <w:rFonts w:ascii="Arial" w:cs="Arial" w:eastAsia="Arial" w:hAnsi="Arial"/>
          <w:sz w:val="18"/>
          <w:szCs w:val="18"/>
          <w:color w:val="auto"/>
        </w:rPr>
        <w:t>The following are types of securities that may be offered and sold from time to time by Comcast Corporation or by selling security holders under this prospectus:</w:t>
      </w:r>
    </w:p>
    <w:p>
      <w:pPr>
        <w:spacing w:after="0" w:line="172"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40"/>
              <w:spacing w:after="0"/>
              <w:rPr>
                <w:sz w:val="20"/>
                <w:szCs w:val="20"/>
                <w:color w:val="auto"/>
              </w:rPr>
            </w:pPr>
            <w:r>
              <w:rPr>
                <w:rFonts w:ascii="Arial" w:cs="Arial" w:eastAsia="Arial" w:hAnsi="Arial"/>
                <w:sz w:val="18"/>
                <w:szCs w:val="18"/>
                <w:color w:val="auto"/>
              </w:rPr>
              <w:t>Unsecured senior debt securities</w:t>
            </w:r>
          </w:p>
        </w:tc>
        <w:tc>
          <w:tcPr>
            <w:tcW w:w="1640" w:type="dxa"/>
            <w:vAlign w:val="bottom"/>
          </w:tcPr>
          <w:p>
            <w:pPr>
              <w:ind w:left="1520"/>
              <w:spacing w:after="0"/>
              <w:rPr>
                <w:sz w:val="20"/>
                <w:szCs w:val="20"/>
                <w:color w:val="auto"/>
              </w:rPr>
            </w:pPr>
            <w:r>
              <w:rPr>
                <w:rFonts w:ascii="Arial" w:cs="Arial" w:eastAsia="Arial" w:hAnsi="Arial"/>
                <w:sz w:val="18"/>
                <w:szCs w:val="18"/>
                <w:color w:val="auto"/>
              </w:rPr>
              <w:t>•</w:t>
            </w:r>
          </w:p>
        </w:tc>
        <w:tc>
          <w:tcPr>
            <w:tcW w:w="1660" w:type="dxa"/>
            <w:vAlign w:val="bottom"/>
          </w:tcPr>
          <w:p>
            <w:pPr>
              <w:ind w:left="40"/>
              <w:spacing w:after="0"/>
              <w:rPr>
                <w:sz w:val="20"/>
                <w:szCs w:val="20"/>
                <w:color w:val="auto"/>
              </w:rPr>
            </w:pPr>
            <w:r>
              <w:rPr>
                <w:rFonts w:ascii="Arial" w:cs="Arial" w:eastAsia="Arial" w:hAnsi="Arial"/>
                <w:sz w:val="18"/>
                <w:szCs w:val="18"/>
                <w:color w:val="auto"/>
              </w:rPr>
              <w:t>Preferred stock</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40"/>
              <w:spacing w:after="0"/>
              <w:rPr>
                <w:sz w:val="20"/>
                <w:szCs w:val="20"/>
                <w:color w:val="auto"/>
              </w:rPr>
            </w:pPr>
            <w:r>
              <w:rPr>
                <w:rFonts w:ascii="Arial" w:cs="Arial" w:eastAsia="Arial" w:hAnsi="Arial"/>
                <w:sz w:val="18"/>
                <w:szCs w:val="18"/>
                <w:color w:val="auto"/>
              </w:rPr>
              <w:t>Warrants</w:t>
            </w:r>
          </w:p>
        </w:tc>
        <w:tc>
          <w:tcPr>
            <w:tcW w:w="1640" w:type="dxa"/>
            <w:vAlign w:val="bottom"/>
          </w:tcPr>
          <w:p>
            <w:pPr>
              <w:ind w:left="1520"/>
              <w:spacing w:after="0"/>
              <w:rPr>
                <w:sz w:val="20"/>
                <w:szCs w:val="20"/>
                <w:color w:val="auto"/>
              </w:rPr>
            </w:pPr>
            <w:r>
              <w:rPr>
                <w:rFonts w:ascii="Arial" w:cs="Arial" w:eastAsia="Arial" w:hAnsi="Arial"/>
                <w:sz w:val="18"/>
                <w:szCs w:val="18"/>
                <w:color w:val="auto"/>
              </w:rPr>
              <w:t>•</w:t>
            </w:r>
          </w:p>
        </w:tc>
        <w:tc>
          <w:tcPr>
            <w:tcW w:w="1660" w:type="dxa"/>
            <w:vAlign w:val="bottom"/>
          </w:tcPr>
          <w:p>
            <w:pPr>
              <w:ind w:left="40"/>
              <w:spacing w:after="0"/>
              <w:rPr>
                <w:sz w:val="20"/>
                <w:szCs w:val="20"/>
                <w:color w:val="auto"/>
              </w:rPr>
            </w:pPr>
            <w:r>
              <w:rPr>
                <w:rFonts w:ascii="Arial" w:cs="Arial" w:eastAsia="Arial" w:hAnsi="Arial"/>
                <w:sz w:val="18"/>
                <w:szCs w:val="18"/>
                <w:color w:val="auto"/>
              </w:rPr>
              <w:t>Depositary shares</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40"/>
              <w:spacing w:after="0"/>
              <w:rPr>
                <w:sz w:val="20"/>
                <w:szCs w:val="20"/>
                <w:color w:val="auto"/>
              </w:rPr>
            </w:pPr>
            <w:r>
              <w:rPr>
                <w:rFonts w:ascii="Arial" w:cs="Arial" w:eastAsia="Arial" w:hAnsi="Arial"/>
                <w:sz w:val="18"/>
                <w:szCs w:val="18"/>
                <w:color w:val="auto"/>
              </w:rPr>
              <w:t>Purchase contracts</w:t>
            </w:r>
          </w:p>
        </w:tc>
        <w:tc>
          <w:tcPr>
            <w:tcW w:w="1640" w:type="dxa"/>
            <w:vAlign w:val="bottom"/>
          </w:tcPr>
          <w:p>
            <w:pPr>
              <w:ind w:left="1520"/>
              <w:spacing w:after="0"/>
              <w:rPr>
                <w:sz w:val="20"/>
                <w:szCs w:val="20"/>
                <w:color w:val="auto"/>
              </w:rPr>
            </w:pPr>
            <w:r>
              <w:rPr>
                <w:rFonts w:ascii="Arial" w:cs="Arial" w:eastAsia="Arial" w:hAnsi="Arial"/>
                <w:sz w:val="18"/>
                <w:szCs w:val="18"/>
                <w:color w:val="auto"/>
              </w:rPr>
              <w:t>•</w:t>
            </w:r>
          </w:p>
        </w:tc>
        <w:tc>
          <w:tcPr>
            <w:tcW w:w="1660" w:type="dxa"/>
            <w:vAlign w:val="bottom"/>
          </w:tcPr>
          <w:p>
            <w:pPr>
              <w:ind w:left="40"/>
              <w:spacing w:after="0"/>
              <w:rPr>
                <w:sz w:val="20"/>
                <w:szCs w:val="20"/>
                <w:color w:val="auto"/>
              </w:rPr>
            </w:pPr>
            <w:r>
              <w:rPr>
                <w:rFonts w:ascii="Arial" w:cs="Arial" w:eastAsia="Arial" w:hAnsi="Arial"/>
                <w:sz w:val="18"/>
                <w:szCs w:val="18"/>
                <w:color w:val="auto"/>
                <w:w w:val="87"/>
              </w:rPr>
              <w:t>Class A common stock</w:t>
            </w:r>
          </w:p>
        </w:tc>
      </w:tr>
      <w:tr>
        <w:trPr>
          <w:trHeight w:val="22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40"/>
              <w:spacing w:after="0"/>
              <w:rPr>
                <w:sz w:val="20"/>
                <w:szCs w:val="20"/>
                <w:color w:val="auto"/>
              </w:rPr>
            </w:pPr>
            <w:r>
              <w:rPr>
                <w:rFonts w:ascii="Arial" w:cs="Arial" w:eastAsia="Arial" w:hAnsi="Arial"/>
                <w:sz w:val="18"/>
                <w:szCs w:val="18"/>
                <w:color w:val="auto"/>
              </w:rPr>
              <w:t>Units</w:t>
            </w:r>
          </w:p>
        </w:tc>
        <w:tc>
          <w:tcPr>
            <w:tcW w:w="1640" w:type="dxa"/>
            <w:vAlign w:val="bottom"/>
          </w:tcPr>
          <w:p>
            <w:pPr>
              <w:spacing w:after="0"/>
              <w:rPr>
                <w:sz w:val="19"/>
                <w:szCs w:val="19"/>
                <w:color w:val="auto"/>
              </w:rPr>
            </w:pPr>
          </w:p>
        </w:tc>
        <w:tc>
          <w:tcPr>
            <w:tcW w:w="1660" w:type="dxa"/>
            <w:vAlign w:val="bottom"/>
          </w:tcPr>
          <w:p>
            <w:pPr>
              <w:spacing w:after="0"/>
              <w:rPr>
                <w:sz w:val="19"/>
                <w:szCs w:val="19"/>
                <w:color w:val="auto"/>
              </w:rPr>
            </w:pPr>
          </w:p>
        </w:tc>
      </w:tr>
    </w:tbl>
    <w:p>
      <w:pPr>
        <w:spacing w:after="0" w:line="156" w:lineRule="exact"/>
        <w:rPr>
          <w:sz w:val="20"/>
          <w:szCs w:val="20"/>
          <w:color w:val="auto"/>
        </w:rPr>
      </w:pPr>
    </w:p>
    <w:p>
      <w:pPr>
        <w:ind w:left="200" w:right="420" w:firstLine="441"/>
        <w:spacing w:after="0" w:line="268" w:lineRule="auto"/>
        <w:rPr>
          <w:sz w:val="20"/>
          <w:szCs w:val="20"/>
          <w:color w:val="auto"/>
        </w:rPr>
      </w:pPr>
      <w:r>
        <w:rPr>
          <w:rFonts w:ascii="Arial" w:cs="Arial" w:eastAsia="Arial" w:hAnsi="Arial"/>
          <w:sz w:val="18"/>
          <w:szCs w:val="18"/>
          <w:color w:val="auto"/>
        </w:rPr>
        <w:t>If indicated in the relevant prospectus supplement, the securities may be fully and unconditionally guaranteed by a number of our wholly owned subsidiaries named in this prospectus.</w:t>
      </w:r>
    </w:p>
    <w:p>
      <w:pPr>
        <w:spacing w:after="0" w:line="132" w:lineRule="exact"/>
        <w:rPr>
          <w:sz w:val="20"/>
          <w:szCs w:val="20"/>
          <w:color w:val="auto"/>
        </w:rPr>
      </w:pPr>
    </w:p>
    <w:p>
      <w:pPr>
        <w:ind w:left="200" w:firstLine="441"/>
        <w:spacing w:after="0" w:line="268" w:lineRule="auto"/>
        <w:rPr>
          <w:sz w:val="20"/>
          <w:szCs w:val="20"/>
          <w:color w:val="auto"/>
        </w:rPr>
      </w:pPr>
      <w:r>
        <w:rPr>
          <w:rFonts w:ascii="Arial" w:cs="Arial" w:eastAsia="Arial" w:hAnsi="Arial"/>
          <w:sz w:val="18"/>
          <w:szCs w:val="18"/>
          <w:color w:val="auto"/>
        </w:rPr>
        <w:t>Our Class A common stock is quoted on the Nasdaq Global Select Market under the ticker symbol “CMCSA.” On July 31, 2019, the reported last sale price on the Nasdaq Global Select Market for our Class A common stock was $43.17.</w:t>
      </w:r>
    </w:p>
    <w:p>
      <w:pPr>
        <w:spacing w:after="0" w:line="132" w:lineRule="exact"/>
        <w:rPr>
          <w:sz w:val="20"/>
          <w:szCs w:val="20"/>
          <w:color w:val="auto"/>
        </w:rPr>
      </w:pPr>
    </w:p>
    <w:p>
      <w:pPr>
        <w:ind w:left="200" w:right="40" w:firstLine="441"/>
        <w:spacing w:after="0" w:line="268"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172"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20" w:type="dxa"/>
            <w:vAlign w:val="bottom"/>
          </w:tcPr>
          <w:p>
            <w:pPr>
              <w:ind w:left="40"/>
              <w:spacing w:after="0"/>
              <w:rPr>
                <w:sz w:val="20"/>
                <w:szCs w:val="20"/>
                <w:color w:val="auto"/>
              </w:rPr>
            </w:pPr>
            <w:r>
              <w:rPr>
                <w:rFonts w:ascii="Arial" w:cs="Arial" w:eastAsia="Arial" w:hAnsi="Arial"/>
                <w:sz w:val="18"/>
                <w:szCs w:val="18"/>
                <w:color w:val="auto"/>
              </w:rPr>
              <w:t>Maturity</w:t>
            </w:r>
          </w:p>
        </w:tc>
        <w:tc>
          <w:tcPr>
            <w:tcW w:w="620" w:type="dxa"/>
            <w:vAlign w:val="bottom"/>
          </w:tcPr>
          <w:p>
            <w:pPr>
              <w:ind w:left="520"/>
              <w:spacing w:after="0"/>
              <w:rPr>
                <w:sz w:val="20"/>
                <w:szCs w:val="20"/>
                <w:color w:val="auto"/>
              </w:rPr>
            </w:pPr>
            <w:r>
              <w:rPr>
                <w:rFonts w:ascii="Arial" w:cs="Arial" w:eastAsia="Arial" w:hAnsi="Arial"/>
                <w:sz w:val="18"/>
                <w:szCs w:val="18"/>
                <w:color w:val="auto"/>
              </w:rPr>
              <w:t>•</w:t>
            </w:r>
          </w:p>
        </w:tc>
        <w:tc>
          <w:tcPr>
            <w:tcW w:w="2960" w:type="dxa"/>
            <w:vAlign w:val="bottom"/>
          </w:tcPr>
          <w:p>
            <w:pPr>
              <w:ind w:left="60"/>
              <w:spacing w:after="0"/>
              <w:rPr>
                <w:sz w:val="20"/>
                <w:szCs w:val="20"/>
                <w:color w:val="auto"/>
              </w:rPr>
            </w:pPr>
            <w:r>
              <w:rPr>
                <w:rFonts w:ascii="Arial" w:cs="Arial" w:eastAsia="Arial" w:hAnsi="Arial"/>
                <w:sz w:val="18"/>
                <w:szCs w:val="18"/>
                <w:color w:val="auto"/>
              </w:rPr>
              <w:t>Dividends</w:t>
            </w:r>
          </w:p>
        </w:tc>
        <w:tc>
          <w:tcPr>
            <w:tcW w:w="2980" w:type="dxa"/>
            <w:vAlign w:val="bottom"/>
            <w:gridSpan w:val="2"/>
          </w:tcPr>
          <w:p>
            <w:pPr>
              <w:ind w:left="680"/>
              <w:spacing w:after="0"/>
              <w:rPr>
                <w:sz w:val="20"/>
                <w:szCs w:val="20"/>
                <w:color w:val="auto"/>
              </w:rPr>
            </w:pPr>
            <w:r>
              <w:rPr>
                <w:rFonts w:ascii="Arial" w:cs="Arial" w:eastAsia="Arial" w:hAnsi="Arial"/>
                <w:sz w:val="18"/>
                <w:szCs w:val="18"/>
                <w:color w:val="auto"/>
                <w:w w:val="89"/>
              </w:rPr>
              <w:t>• Conversion or exchange rights</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20" w:type="dxa"/>
            <w:vAlign w:val="bottom"/>
          </w:tcPr>
          <w:p>
            <w:pPr>
              <w:ind w:left="40"/>
              <w:spacing w:after="0"/>
              <w:rPr>
                <w:sz w:val="20"/>
                <w:szCs w:val="20"/>
                <w:color w:val="auto"/>
              </w:rPr>
            </w:pPr>
            <w:r>
              <w:rPr>
                <w:rFonts w:ascii="Arial" w:cs="Arial" w:eastAsia="Arial" w:hAnsi="Arial"/>
                <w:sz w:val="18"/>
                <w:szCs w:val="18"/>
                <w:color w:val="auto"/>
              </w:rPr>
              <w:t>Interest rate</w:t>
            </w:r>
          </w:p>
        </w:tc>
        <w:tc>
          <w:tcPr>
            <w:tcW w:w="620" w:type="dxa"/>
            <w:vAlign w:val="bottom"/>
          </w:tcPr>
          <w:p>
            <w:pPr>
              <w:ind w:left="520"/>
              <w:spacing w:after="0"/>
              <w:rPr>
                <w:sz w:val="20"/>
                <w:szCs w:val="20"/>
                <w:color w:val="auto"/>
              </w:rPr>
            </w:pPr>
            <w:r>
              <w:rPr>
                <w:rFonts w:ascii="Arial" w:cs="Arial" w:eastAsia="Arial" w:hAnsi="Arial"/>
                <w:sz w:val="18"/>
                <w:szCs w:val="18"/>
                <w:color w:val="auto"/>
              </w:rPr>
              <w:t>•</w:t>
            </w:r>
          </w:p>
        </w:tc>
        <w:tc>
          <w:tcPr>
            <w:tcW w:w="2960" w:type="dxa"/>
            <w:vAlign w:val="bottom"/>
          </w:tcPr>
          <w:p>
            <w:pPr>
              <w:ind w:left="60"/>
              <w:spacing w:after="0"/>
              <w:rPr>
                <w:sz w:val="20"/>
                <w:szCs w:val="20"/>
                <w:color w:val="auto"/>
              </w:rPr>
            </w:pPr>
            <w:r>
              <w:rPr>
                <w:rFonts w:ascii="Arial" w:cs="Arial" w:eastAsia="Arial" w:hAnsi="Arial"/>
                <w:sz w:val="18"/>
                <w:szCs w:val="18"/>
                <w:color w:val="auto"/>
              </w:rPr>
              <w:t>Redemption terms</w:t>
            </w:r>
          </w:p>
        </w:tc>
        <w:tc>
          <w:tcPr>
            <w:tcW w:w="780" w:type="dxa"/>
            <w:vAlign w:val="bottom"/>
          </w:tcPr>
          <w:p>
            <w:pPr>
              <w:ind w:left="680"/>
              <w:spacing w:after="0"/>
              <w:rPr>
                <w:sz w:val="20"/>
                <w:szCs w:val="20"/>
                <w:color w:val="auto"/>
              </w:rPr>
            </w:pPr>
            <w:r>
              <w:rPr>
                <w:rFonts w:ascii="Arial" w:cs="Arial" w:eastAsia="Arial" w:hAnsi="Arial"/>
                <w:sz w:val="18"/>
                <w:szCs w:val="18"/>
                <w:color w:val="auto"/>
              </w:rPr>
              <w:t>•</w:t>
            </w:r>
          </w:p>
        </w:tc>
        <w:tc>
          <w:tcPr>
            <w:tcW w:w="2200" w:type="dxa"/>
            <w:vAlign w:val="bottom"/>
          </w:tcPr>
          <w:p>
            <w:pPr>
              <w:ind w:left="60"/>
              <w:spacing w:after="0"/>
              <w:rPr>
                <w:sz w:val="20"/>
                <w:szCs w:val="20"/>
                <w:color w:val="auto"/>
              </w:rPr>
            </w:pPr>
            <w:r>
              <w:rPr>
                <w:rFonts w:ascii="Arial" w:cs="Arial" w:eastAsia="Arial" w:hAnsi="Arial"/>
                <w:sz w:val="18"/>
                <w:szCs w:val="18"/>
                <w:color w:val="auto"/>
              </w:rPr>
              <w:t>Liquidation amount</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20" w:type="dxa"/>
            <w:vAlign w:val="bottom"/>
          </w:tcPr>
          <w:p>
            <w:pPr>
              <w:ind w:left="40"/>
              <w:spacing w:after="0"/>
              <w:rPr>
                <w:sz w:val="20"/>
                <w:szCs w:val="20"/>
                <w:color w:val="auto"/>
              </w:rPr>
            </w:pPr>
            <w:r>
              <w:rPr>
                <w:rFonts w:ascii="Arial" w:cs="Arial" w:eastAsia="Arial" w:hAnsi="Arial"/>
                <w:sz w:val="18"/>
                <w:szCs w:val="18"/>
                <w:color w:val="auto"/>
              </w:rPr>
              <w:t>Sinking fund terms</w:t>
            </w:r>
          </w:p>
        </w:tc>
        <w:tc>
          <w:tcPr>
            <w:tcW w:w="620" w:type="dxa"/>
            <w:vAlign w:val="bottom"/>
          </w:tcPr>
          <w:p>
            <w:pPr>
              <w:ind w:left="520"/>
              <w:spacing w:after="0"/>
              <w:rPr>
                <w:sz w:val="20"/>
                <w:szCs w:val="20"/>
                <w:color w:val="auto"/>
              </w:rPr>
            </w:pPr>
            <w:r>
              <w:rPr>
                <w:rFonts w:ascii="Arial" w:cs="Arial" w:eastAsia="Arial" w:hAnsi="Arial"/>
                <w:sz w:val="18"/>
                <w:szCs w:val="18"/>
                <w:color w:val="auto"/>
              </w:rPr>
              <w:t>•</w:t>
            </w:r>
          </w:p>
        </w:tc>
        <w:tc>
          <w:tcPr>
            <w:tcW w:w="2960" w:type="dxa"/>
            <w:vAlign w:val="bottom"/>
          </w:tcPr>
          <w:p>
            <w:pPr>
              <w:ind w:left="60"/>
              <w:spacing w:after="0"/>
              <w:rPr>
                <w:sz w:val="20"/>
                <w:szCs w:val="20"/>
                <w:color w:val="auto"/>
              </w:rPr>
            </w:pPr>
            <w:r>
              <w:rPr>
                <w:rFonts w:ascii="Arial" w:cs="Arial" w:eastAsia="Arial" w:hAnsi="Arial"/>
                <w:sz w:val="18"/>
                <w:szCs w:val="18"/>
                <w:color w:val="auto"/>
              </w:rPr>
              <w:t>Listing on a securities exchange</w:t>
            </w:r>
          </w:p>
        </w:tc>
        <w:tc>
          <w:tcPr>
            <w:tcW w:w="780" w:type="dxa"/>
            <w:vAlign w:val="bottom"/>
          </w:tcPr>
          <w:p>
            <w:pPr>
              <w:ind w:left="680"/>
              <w:spacing w:after="0"/>
              <w:rPr>
                <w:sz w:val="20"/>
                <w:szCs w:val="20"/>
                <w:color w:val="auto"/>
              </w:rPr>
            </w:pPr>
            <w:r>
              <w:rPr>
                <w:rFonts w:ascii="Arial" w:cs="Arial" w:eastAsia="Arial" w:hAnsi="Arial"/>
                <w:sz w:val="18"/>
                <w:szCs w:val="18"/>
                <w:color w:val="auto"/>
              </w:rPr>
              <w:t>•</w:t>
            </w:r>
          </w:p>
        </w:tc>
        <w:tc>
          <w:tcPr>
            <w:tcW w:w="2200" w:type="dxa"/>
            <w:vAlign w:val="bottom"/>
          </w:tcPr>
          <w:p>
            <w:pPr>
              <w:ind w:left="60"/>
              <w:spacing w:after="0"/>
              <w:rPr>
                <w:sz w:val="20"/>
                <w:szCs w:val="20"/>
                <w:color w:val="auto"/>
              </w:rPr>
            </w:pPr>
            <w:r>
              <w:rPr>
                <w:rFonts w:ascii="Arial" w:cs="Arial" w:eastAsia="Arial" w:hAnsi="Arial"/>
                <w:sz w:val="18"/>
                <w:szCs w:val="18"/>
                <w:color w:val="auto"/>
              </w:rPr>
              <w:t>Subsidiary guarantees</w:t>
            </w:r>
          </w:p>
        </w:tc>
      </w:tr>
      <w:tr>
        <w:trPr>
          <w:trHeight w:val="22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20" w:type="dxa"/>
            <w:vAlign w:val="bottom"/>
          </w:tcPr>
          <w:p>
            <w:pPr>
              <w:ind w:left="40"/>
              <w:spacing w:after="0"/>
              <w:rPr>
                <w:sz w:val="20"/>
                <w:szCs w:val="20"/>
                <w:color w:val="auto"/>
              </w:rPr>
            </w:pPr>
            <w:r>
              <w:rPr>
                <w:rFonts w:ascii="Arial" w:cs="Arial" w:eastAsia="Arial" w:hAnsi="Arial"/>
                <w:sz w:val="18"/>
                <w:szCs w:val="18"/>
                <w:color w:val="auto"/>
              </w:rPr>
              <w:t>Currency of payments</w:t>
            </w:r>
          </w:p>
        </w:tc>
        <w:tc>
          <w:tcPr>
            <w:tcW w:w="620" w:type="dxa"/>
            <w:vAlign w:val="bottom"/>
          </w:tcPr>
          <w:p>
            <w:pPr>
              <w:ind w:left="520"/>
              <w:spacing w:after="0"/>
              <w:rPr>
                <w:sz w:val="20"/>
                <w:szCs w:val="20"/>
                <w:color w:val="auto"/>
              </w:rPr>
            </w:pPr>
            <w:r>
              <w:rPr>
                <w:rFonts w:ascii="Arial" w:cs="Arial" w:eastAsia="Arial" w:hAnsi="Arial"/>
                <w:sz w:val="18"/>
                <w:szCs w:val="18"/>
                <w:color w:val="auto"/>
              </w:rPr>
              <w:t>•</w:t>
            </w:r>
          </w:p>
        </w:tc>
        <w:tc>
          <w:tcPr>
            <w:tcW w:w="2960" w:type="dxa"/>
            <w:vAlign w:val="bottom"/>
          </w:tcPr>
          <w:p>
            <w:pPr>
              <w:ind w:left="40"/>
              <w:spacing w:after="0"/>
              <w:rPr>
                <w:sz w:val="20"/>
                <w:szCs w:val="20"/>
                <w:color w:val="auto"/>
              </w:rPr>
            </w:pPr>
            <w:r>
              <w:rPr>
                <w:rFonts w:ascii="Arial" w:cs="Arial" w:eastAsia="Arial" w:hAnsi="Arial"/>
                <w:sz w:val="18"/>
                <w:szCs w:val="18"/>
                <w:color w:val="auto"/>
              </w:rPr>
              <w:t>Amount payable at maturity</w:t>
            </w:r>
          </w:p>
        </w:tc>
        <w:tc>
          <w:tcPr>
            <w:tcW w:w="780" w:type="dxa"/>
            <w:vAlign w:val="bottom"/>
          </w:tcPr>
          <w:p>
            <w:pPr>
              <w:spacing w:after="0"/>
              <w:rPr>
                <w:sz w:val="19"/>
                <w:szCs w:val="19"/>
                <w:color w:val="auto"/>
              </w:rPr>
            </w:pPr>
          </w:p>
        </w:tc>
        <w:tc>
          <w:tcPr>
            <w:tcW w:w="22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189865</wp:posOffset>
            </wp:positionV>
            <wp:extent cx="14662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200" w:right="360" w:firstLine="441"/>
        <w:spacing w:after="0" w:line="339" w:lineRule="auto"/>
        <w:rPr>
          <w:sz w:val="20"/>
          <w:szCs w:val="20"/>
          <w:color w:val="auto"/>
        </w:rPr>
      </w:pPr>
      <w:r>
        <w:rPr>
          <w:rFonts w:ascii="Arial" w:cs="Arial" w:eastAsia="Arial" w:hAnsi="Arial"/>
          <w:sz w:val="16"/>
          <w:szCs w:val="16"/>
          <w:b w:val="1"/>
          <w:bCs w:val="1"/>
          <w:color w:val="auto"/>
        </w:rPr>
        <w:t>Investing in these securities involves certain risks. See “Item 1A—Risk Factors” beginning on page 21 of Comcast’s and NBCUniversal’s combined annual report on Form 10-K for the year ended December 31, 2018, which is incorporated by reference herein.</w:t>
      </w:r>
    </w:p>
    <w:p>
      <w:pPr>
        <w:spacing w:after="0" w:line="74" w:lineRule="exact"/>
        <w:rPr>
          <w:sz w:val="20"/>
          <w:szCs w:val="20"/>
          <w:color w:val="auto"/>
        </w:rPr>
      </w:pPr>
    </w:p>
    <w:p>
      <w:pPr>
        <w:ind w:left="200" w:right="20" w:firstLine="441"/>
        <w:spacing w:after="0" w:line="275" w:lineRule="auto"/>
        <w:rPr>
          <w:sz w:val="20"/>
          <w:szCs w:val="20"/>
          <w:color w:val="auto"/>
        </w:rPr>
      </w:pPr>
      <w:r>
        <w:rPr>
          <w:rFonts w:ascii="Arial" w:cs="Arial" w:eastAsia="Arial" w:hAnsi="Arial"/>
          <w:sz w:val="18"/>
          <w:szCs w:val="18"/>
          <w:b w:val="1"/>
          <w:bCs w:val="1"/>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126"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date of this prospectus is August 1, 2019</w:t>
      </w:r>
    </w:p>
    <w:p>
      <w:pPr>
        <w:sectPr>
          <w:pgSz w:w="11900" w:h="16838" w:orient="portrait"/>
          <w:cols w:equalWidth="0" w:num="1">
            <w:col w:w="11200"/>
          </w:cols>
          <w:pgMar w:left="240" w:top="459"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20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920" w:type="dxa"/>
            <w:vAlign w:val="bottom"/>
            <w:gridSpan w:val="2"/>
          </w:tcPr>
          <w:p>
            <w:pPr>
              <w:jc w:val="right"/>
              <w:ind w:right="4438"/>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53"/>
        </w:trPr>
        <w:tc>
          <w:tcPr>
            <w:tcW w:w="1120" w:type="dxa"/>
            <w:vAlign w:val="bottom"/>
            <w:gridSpan w:val="3"/>
            <w:vMerge w:val="restart"/>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The Companies</w:t>
              </w:r>
            </w:hyperlink>
          </w:p>
        </w:tc>
        <w:tc>
          <w:tcPr>
            <w:tcW w:w="2940" w:type="dxa"/>
            <w:vAlign w:val="bottom"/>
            <w:gridSpan w:val="9"/>
            <w:vMerge w:val="restart"/>
          </w:tcPr>
          <w:p>
            <w:pPr>
              <w:spacing w:after="0"/>
              <w:rPr>
                <w:sz w:val="24"/>
                <w:szCs w:val="24"/>
                <w:color w:val="auto"/>
              </w:rPr>
            </w:pPr>
          </w:p>
        </w:tc>
        <w:tc>
          <w:tcPr>
            <w:tcW w:w="6920" w:type="dxa"/>
            <w:vAlign w:val="bottom"/>
            <w:gridSpan w:val="2"/>
          </w:tcPr>
          <w:p>
            <w:pPr>
              <w:jc w:val="right"/>
              <w:spacing w:after="0"/>
              <w:rPr>
                <w:sz w:val="20"/>
                <w:szCs w:val="20"/>
                <w:color w:val="auto"/>
              </w:rPr>
            </w:pPr>
            <w:r>
              <w:rPr>
                <w:rFonts w:ascii="Arial" w:cs="Arial" w:eastAsia="Arial" w:hAnsi="Arial"/>
                <w:sz w:val="14"/>
                <w:szCs w:val="14"/>
                <w:color w:val="auto"/>
              </w:rPr>
              <w:t>P</w:t>
            </w:r>
            <w:r>
              <w:rPr>
                <w:rFonts w:ascii="Arial" w:cs="Arial" w:eastAsia="Arial" w:hAnsi="Arial"/>
                <w:sz w:val="11"/>
                <w:szCs w:val="11"/>
                <w:color w:val="auto"/>
              </w:rPr>
              <w:t>AGE</w:t>
            </w:r>
          </w:p>
        </w:tc>
        <w:tc>
          <w:tcPr>
            <w:tcW w:w="0" w:type="dxa"/>
            <w:vAlign w:val="bottom"/>
          </w:tcPr>
          <w:p>
            <w:pPr>
              <w:spacing w:after="0"/>
              <w:rPr>
                <w:sz w:val="1"/>
                <w:szCs w:val="1"/>
                <w:color w:val="auto"/>
              </w:rPr>
            </w:pPr>
          </w:p>
        </w:tc>
      </w:tr>
      <w:tr>
        <w:trPr>
          <w:trHeight w:val="161"/>
        </w:trPr>
        <w:tc>
          <w:tcPr>
            <w:tcW w:w="1120" w:type="dxa"/>
            <w:vAlign w:val="bottom"/>
            <w:tcBorders>
              <w:bottom w:val="single" w:sz="8" w:color="0000EE"/>
            </w:tcBorders>
            <w:gridSpan w:val="3"/>
            <w:vMerge w:val="continue"/>
          </w:tcPr>
          <w:p>
            <w:pPr>
              <w:spacing w:after="0"/>
              <w:rPr>
                <w:sz w:val="13"/>
                <w:szCs w:val="13"/>
                <w:color w:val="auto"/>
              </w:rPr>
            </w:pPr>
          </w:p>
        </w:tc>
        <w:tc>
          <w:tcPr>
            <w:tcW w:w="2940" w:type="dxa"/>
            <w:vAlign w:val="bottom"/>
            <w:gridSpan w:val="9"/>
            <w:vMerge w:val="continue"/>
          </w:tcPr>
          <w:p>
            <w:pPr>
              <w:spacing w:after="0"/>
              <w:rPr>
                <w:sz w:val="13"/>
                <w:szCs w:val="13"/>
                <w:color w:val="auto"/>
              </w:rPr>
            </w:pPr>
          </w:p>
        </w:tc>
        <w:tc>
          <w:tcPr>
            <w:tcW w:w="6600" w:type="dxa"/>
            <w:vAlign w:val="bottom"/>
          </w:tcPr>
          <w:p>
            <w:pPr>
              <w:spacing w:after="0"/>
              <w:rPr>
                <w:sz w:val="13"/>
                <w:szCs w:val="13"/>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4060" w:type="dxa"/>
            <w:vAlign w:val="bottom"/>
            <w:gridSpan w:val="1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Caution Concerning Forward-Looking Statements</w:t>
              </w:r>
            </w:hyperlink>
          </w:p>
        </w:tc>
        <w:tc>
          <w:tcPr>
            <w:tcW w:w="69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35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Use of Proceeds</w:t>
              </w:r>
            </w:hyperlink>
          </w:p>
        </w:tc>
        <w:tc>
          <w:tcPr>
            <w:tcW w:w="540" w:type="dxa"/>
            <w:vAlign w:val="bottom"/>
          </w:tcPr>
          <w:p>
            <w:pPr>
              <w:spacing w:after="0"/>
              <w:rPr>
                <w:sz w:val="17"/>
                <w:szCs w:val="17"/>
                <w:color w:val="auto"/>
              </w:rPr>
            </w:pPr>
          </w:p>
        </w:tc>
        <w:tc>
          <w:tcPr>
            <w:tcW w:w="69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8">
              <w:r>
                <w:rPr>
                  <w:rFonts w:ascii="Arial" w:cs="Arial" w:eastAsia="Arial" w:hAnsi="Arial"/>
                  <w:sz w:val="18"/>
                  <w:szCs w:val="18"/>
                  <w:color w:val="0000EE"/>
                  <w:w w:val="92"/>
                </w:rPr>
                <w:t>Dividend Policy</w:t>
              </w:r>
            </w:hyperlink>
          </w:p>
        </w:tc>
        <w:tc>
          <w:tcPr>
            <w:tcW w:w="2900" w:type="dxa"/>
            <w:vAlign w:val="bottom"/>
            <w:gridSpan w:val="7"/>
          </w:tcPr>
          <w:p>
            <w:pPr>
              <w:spacing w:after="0"/>
              <w:rPr>
                <w:sz w:val="17"/>
                <w:szCs w:val="17"/>
                <w:color w:val="auto"/>
              </w:rPr>
            </w:pPr>
          </w:p>
        </w:tc>
        <w:tc>
          <w:tcPr>
            <w:tcW w:w="69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060" w:type="dxa"/>
            <w:vAlign w:val="bottom"/>
            <w:gridSpan w:val="12"/>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Description of Debt Securities and Guarantees</w:t>
              </w:r>
            </w:hyperlink>
          </w:p>
        </w:tc>
        <w:tc>
          <w:tcPr>
            <w:tcW w:w="69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2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w:anchor="page22">
              <w:r>
                <w:rPr>
                  <w:rFonts w:ascii="Arial" w:cs="Arial" w:eastAsia="Arial" w:hAnsi="Arial"/>
                  <w:sz w:val="18"/>
                  <w:szCs w:val="18"/>
                  <w:color w:val="0000EE"/>
                  <w:w w:val="88"/>
                </w:rPr>
                <w:t>Global Securities</w:t>
              </w:r>
            </w:hyperlink>
          </w:p>
        </w:tc>
        <w:tc>
          <w:tcPr>
            <w:tcW w:w="2040" w:type="dxa"/>
            <w:vAlign w:val="bottom"/>
            <w:tcBorders>
              <w:top w:val="single" w:sz="8" w:color="0000EE"/>
            </w:tcBorders>
            <w:gridSpan w:val="4"/>
          </w:tcPr>
          <w:p>
            <w:pPr>
              <w:spacing w:after="0"/>
              <w:rPr>
                <w:sz w:val="17"/>
                <w:szCs w:val="17"/>
                <w:color w:val="auto"/>
              </w:rPr>
            </w:pPr>
          </w:p>
        </w:tc>
        <w:tc>
          <w:tcPr>
            <w:tcW w:w="800" w:type="dxa"/>
            <w:vAlign w:val="bottom"/>
            <w:gridSpan w:val="2"/>
          </w:tcPr>
          <w:p>
            <w:pPr>
              <w:spacing w:after="0"/>
              <w:rPr>
                <w:sz w:val="17"/>
                <w:szCs w:val="17"/>
                <w:color w:val="auto"/>
              </w:rPr>
            </w:pPr>
          </w:p>
        </w:tc>
        <w:tc>
          <w:tcPr>
            <w:tcW w:w="69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4060" w:type="dxa"/>
            <w:vAlign w:val="bottom"/>
            <w:gridSpan w:val="12"/>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Description of Capital Stock</w:t>
              </w:r>
            </w:hyperlink>
          </w:p>
        </w:tc>
        <w:tc>
          <w:tcPr>
            <w:tcW w:w="69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Plan of Distribution</w:t>
              </w:r>
            </w:hyperlink>
          </w:p>
        </w:tc>
        <w:tc>
          <w:tcPr>
            <w:tcW w:w="600" w:type="dxa"/>
            <w:vAlign w:val="bottom"/>
            <w:tcBorders>
              <w:top w:val="single" w:sz="8" w:color="0000EE"/>
            </w:tcBorders>
            <w:gridSpan w:val="2"/>
          </w:tcPr>
          <w:p>
            <w:pPr>
              <w:spacing w:after="0"/>
              <w:rPr>
                <w:sz w:val="17"/>
                <w:szCs w:val="17"/>
                <w:color w:val="auto"/>
              </w:rPr>
            </w:pPr>
          </w:p>
        </w:tc>
        <w:tc>
          <w:tcPr>
            <w:tcW w:w="2060" w:type="dxa"/>
            <w:vAlign w:val="bottom"/>
            <w:gridSpan w:val="3"/>
          </w:tcPr>
          <w:p>
            <w:pPr>
              <w:spacing w:after="0"/>
              <w:rPr>
                <w:sz w:val="17"/>
                <w:szCs w:val="17"/>
                <w:color w:val="auto"/>
              </w:rPr>
            </w:pPr>
          </w:p>
        </w:tc>
        <w:tc>
          <w:tcPr>
            <w:tcW w:w="69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4060" w:type="dxa"/>
            <w:vAlign w:val="bottom"/>
            <w:gridSpan w:val="12"/>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Legal Matters</w:t>
              </w:r>
            </w:hyperlink>
          </w:p>
        </w:tc>
        <w:tc>
          <w:tcPr>
            <w:tcW w:w="69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Experts</w:t>
              </w:r>
            </w:hyperlink>
          </w:p>
        </w:tc>
        <w:tc>
          <w:tcPr>
            <w:tcW w:w="3080" w:type="dxa"/>
            <w:vAlign w:val="bottom"/>
            <w:gridSpan w:val="10"/>
          </w:tcPr>
          <w:p>
            <w:pPr>
              <w:spacing w:after="0"/>
              <w:rPr>
                <w:sz w:val="17"/>
                <w:szCs w:val="17"/>
                <w:color w:val="auto"/>
              </w:rPr>
            </w:pPr>
          </w:p>
        </w:tc>
        <w:tc>
          <w:tcPr>
            <w:tcW w:w="69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6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27">
              <w:r>
                <w:rPr>
                  <w:rFonts w:ascii="Arial" w:cs="Arial" w:eastAsia="Arial" w:hAnsi="Arial"/>
                  <w:sz w:val="18"/>
                  <w:szCs w:val="18"/>
                  <w:color w:val="0000EE"/>
                  <w:w w:val="91"/>
                </w:rPr>
                <w:t>Available Information</w:t>
              </w:r>
            </w:hyperlink>
          </w:p>
        </w:tc>
        <w:tc>
          <w:tcPr>
            <w:tcW w:w="2500" w:type="dxa"/>
            <w:vAlign w:val="bottom"/>
            <w:gridSpan w:val="4"/>
          </w:tcPr>
          <w:p>
            <w:pPr>
              <w:spacing w:after="0"/>
              <w:rPr>
                <w:sz w:val="17"/>
                <w:szCs w:val="17"/>
                <w:color w:val="auto"/>
              </w:rPr>
            </w:pPr>
          </w:p>
        </w:tc>
        <w:tc>
          <w:tcPr>
            <w:tcW w:w="69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4060" w:type="dxa"/>
            <w:vAlign w:val="bottom"/>
            <w:gridSpan w:val="12"/>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Incorporation of Certain Documents by Reference</w:t>
              </w:r>
            </w:hyperlink>
          </w:p>
        </w:tc>
        <w:tc>
          <w:tcPr>
            <w:tcW w:w="69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200" w:right="60" w:firstLine="441"/>
        <w:spacing w:after="0" w:line="294" w:lineRule="auto"/>
        <w:rPr>
          <w:sz w:val="20"/>
          <w:szCs w:val="20"/>
          <w:color w:val="auto"/>
        </w:rPr>
      </w:pPr>
      <w:r>
        <w:rPr>
          <w:rFonts w:ascii="Arial" w:cs="Arial" w:eastAsia="Arial" w:hAnsi="Arial"/>
          <w:sz w:val="16"/>
          <w:szCs w:val="16"/>
          <w:color w:val="auto"/>
        </w:rPr>
        <w:t>We have not authorized anyone to provide any information other than that contained or incorporated by reference in this prospectus, any prospectus supplement or any free writing prospectus prepared by or on behalf of us or to which we have referred you.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or incorporated by reference in this prospectus, any prospectus supplement or any such free writing prospectus is accurate as of any date other than their respective dates.</w:t>
      </w:r>
    </w:p>
    <w:p>
      <w:pPr>
        <w:spacing w:after="0" w:line="116" w:lineRule="exact"/>
        <w:rPr>
          <w:sz w:val="20"/>
          <w:szCs w:val="20"/>
          <w:color w:val="auto"/>
        </w:rPr>
      </w:pPr>
    </w:p>
    <w:p>
      <w:pPr>
        <w:ind w:left="200" w:firstLine="441"/>
        <w:spacing w:after="0" w:line="256" w:lineRule="auto"/>
        <w:rPr>
          <w:sz w:val="20"/>
          <w:szCs w:val="20"/>
          <w:color w:val="auto"/>
        </w:rPr>
      </w:pPr>
      <w:r>
        <w:rPr>
          <w:rFonts w:ascii="Arial" w:cs="Arial" w:eastAsia="Arial" w:hAnsi="Arial"/>
          <w:sz w:val="18"/>
          <w:szCs w:val="18"/>
          <w:color w:val="auto"/>
        </w:rPr>
        <w:t>We refer to Comcast Corporation in this prospectus as “Comcast,” and Comcast and its consolidated subsidiaries as “we,” “us,” “our” or comparable terms; Comcast Holdings Corporation as “Comcast Holdings” and Sky Limited (formerly Sky plc) and its consolidated subsidiaries as “Sky.” We refer to NBCUniversal Media, LLC and its consolidated subsidiaries as “NBCUniversal,” Comcast Cable Communications, LLC and its consolidated subsidiaries as “Comcast Cable,” and both of them collectively as the “Guarantors.”</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left="200" w:right="40" w:firstLine="441"/>
        <w:spacing w:after="0" w:line="294" w:lineRule="auto"/>
        <w:rPr>
          <w:sz w:val="20"/>
          <w:szCs w:val="20"/>
          <w:color w:val="auto"/>
        </w:rPr>
      </w:pPr>
      <w:r>
        <w:rPr>
          <w:rFonts w:ascii="Arial" w:cs="Arial" w:eastAsia="Arial" w:hAnsi="Arial"/>
          <w:sz w:val="16"/>
          <w:szCs w:val="16"/>
          <w:color w:val="auto"/>
        </w:rPr>
        <w:t>This prospectus is part of a registration statement that we filed with the SEC utilizing a “shelf” registration process. Under this shelf process, we may sell any combination of the securities described in this prospectus in one or more offerings. This prospectus provides you with a general description of the securities we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“Available Information.”</w:t>
      </w:r>
    </w:p>
    <w:p>
      <w:pPr>
        <w:sectPr>
          <w:pgSz w:w="11900" w:h="16838" w:orient="portrait"/>
          <w:cols w:equalWidth="0" w:num="1">
            <w:col w:w="11220"/>
          </w:cols>
          <w:pgMar w:left="24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COMPANIES</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Comcast Corporation</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We are a global media and technology company with three primary businesses, Comcast Cable, NBCUniversal and Sky. We present our operations for</w:t>
      </w:r>
    </w:p>
    <w:p>
      <w:pPr>
        <w:spacing w:after="0" w:line="50" w:lineRule="exact"/>
        <w:rPr>
          <w:sz w:val="20"/>
          <w:szCs w:val="20"/>
          <w:color w:val="auto"/>
        </w:rPr>
      </w:pPr>
    </w:p>
    <w:p>
      <w:pPr>
        <w:ind w:left="200" w:right="80" w:firstLine="4"/>
        <w:spacing w:after="0" w:line="255" w:lineRule="auto"/>
        <w:tabs>
          <w:tab w:leader="none" w:pos="449"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Comcast Cable in one reportable business segment, referred to as Cable Communications; (2) NBCUniversal in four reportable business segments: Cable Networks, Broadcast Television, Filmed Entertainment and Theme Parks (collectively, the “NBCUniversal segments”); and (3) Sky in one reportable business segment.</w:t>
      </w:r>
    </w:p>
    <w:p>
      <w:pPr>
        <w:spacing w:after="0" w:line="57" w:lineRule="exact"/>
        <w:rPr>
          <w:rFonts w:ascii="Arial" w:cs="Arial" w:eastAsia="Arial" w:hAnsi="Arial"/>
          <w:sz w:val="18"/>
          <w:szCs w:val="18"/>
          <w:color w:val="auto"/>
        </w:rPr>
      </w:pPr>
    </w:p>
    <w:p>
      <w:pPr>
        <w:ind w:left="1180" w:right="200" w:hanging="436"/>
        <w:spacing w:after="0" w:line="262" w:lineRule="auto"/>
        <w:tabs>
          <w:tab w:leader="none" w:pos="1180" w:val="left"/>
        </w:tabs>
        <w:numPr>
          <w:ilvl w:val="1"/>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Cable Communications: </w:t>
      </w:r>
      <w:r>
        <w:rPr>
          <w:rFonts w:ascii="Arial" w:cs="Arial" w:eastAsia="Arial" w:hAnsi="Arial"/>
          <w:sz w:val="18"/>
          <w:szCs w:val="18"/>
          <w:color w:val="auto"/>
        </w:rPr>
        <w:t>Consists of the operations of Comcast Cable, which is one of the nation’s largest providers of high-speed internet,</w:t>
      </w:r>
      <w:r>
        <w:rPr>
          <w:rFonts w:ascii="Arial" w:cs="Arial" w:eastAsia="Arial" w:hAnsi="Arial"/>
          <w:sz w:val="18"/>
          <w:szCs w:val="18"/>
          <w:b w:val="1"/>
          <w:bCs w:val="1"/>
          <w:color w:val="auto"/>
        </w:rPr>
        <w:t xml:space="preserve"> </w:t>
      </w:r>
      <w:r>
        <w:rPr>
          <w:rFonts w:ascii="Arial" w:cs="Arial" w:eastAsia="Arial" w:hAnsi="Arial"/>
          <w:sz w:val="18"/>
          <w:szCs w:val="18"/>
          <w:color w:val="auto"/>
        </w:rPr>
        <w:t>video, voice, wireless, and security and automation services (“cable services”) to residential customers under the XFINITY brand; we also provide these and other services to business customers and sell advertising.</w:t>
      </w:r>
    </w:p>
    <w:p>
      <w:pPr>
        <w:spacing w:after="0" w:line="51" w:lineRule="exact"/>
        <w:rPr>
          <w:rFonts w:ascii="Arial" w:cs="Arial" w:eastAsia="Arial" w:hAnsi="Arial"/>
          <w:sz w:val="18"/>
          <w:szCs w:val="18"/>
          <w:color w:val="auto"/>
        </w:rPr>
      </w:pPr>
    </w:p>
    <w:p>
      <w:pPr>
        <w:ind w:left="1180" w:right="100" w:hanging="436"/>
        <w:spacing w:after="0" w:line="262" w:lineRule="auto"/>
        <w:tabs>
          <w:tab w:leader="none" w:pos="1180" w:val="left"/>
        </w:tabs>
        <w:numPr>
          <w:ilvl w:val="1"/>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Consists primarily of our national cable networks that provide a variety of entertainment, news and information, and sports</w:t>
      </w:r>
      <w:r>
        <w:rPr>
          <w:rFonts w:ascii="Arial" w:cs="Arial" w:eastAsia="Arial" w:hAnsi="Arial"/>
          <w:sz w:val="18"/>
          <w:szCs w:val="18"/>
          <w:b w:val="1"/>
          <w:bCs w:val="1"/>
          <w:color w:val="auto"/>
        </w:rPr>
        <w:t xml:space="preserve"> </w:t>
      </w:r>
      <w:r>
        <w:rPr>
          <w:rFonts w:ascii="Arial" w:cs="Arial" w:eastAsia="Arial" w:hAnsi="Arial"/>
          <w:sz w:val="18"/>
          <w:szCs w:val="18"/>
          <w:color w:val="auto"/>
        </w:rPr>
        <w:t>content, our regional sports and news networks, our international cable networks, our cable television studio production operations, and various digital properties.</w:t>
      </w:r>
    </w:p>
    <w:p>
      <w:pPr>
        <w:spacing w:after="0" w:line="51" w:lineRule="exact"/>
        <w:rPr>
          <w:rFonts w:ascii="Arial" w:cs="Arial" w:eastAsia="Arial" w:hAnsi="Arial"/>
          <w:sz w:val="18"/>
          <w:szCs w:val="18"/>
          <w:color w:val="auto"/>
        </w:rPr>
      </w:pPr>
    </w:p>
    <w:p>
      <w:pPr>
        <w:ind w:left="1180" w:right="260" w:hanging="436"/>
        <w:spacing w:after="0" w:line="262" w:lineRule="auto"/>
        <w:tabs>
          <w:tab w:leader="none" w:pos="1180" w:val="left"/>
        </w:tabs>
        <w:numPr>
          <w:ilvl w:val="1"/>
          <w:numId w:val="2"/>
        </w:numPr>
        <w:rPr>
          <w:rFonts w:ascii="Arial" w:cs="Arial" w:eastAsia="Arial" w:hAnsi="Arial"/>
          <w:sz w:val="18"/>
          <w:szCs w:val="18"/>
          <w:color w:val="auto"/>
        </w:rPr>
      </w:pPr>
      <w:r>
        <w:rPr>
          <w:rFonts w:ascii="Arial" w:cs="Arial" w:eastAsia="Arial" w:hAnsi="Arial"/>
          <w:sz w:val="18"/>
          <w:szCs w:val="18"/>
          <w:b w:val="1"/>
          <w:bCs w:val="1"/>
          <w:color w:val="auto"/>
        </w:rPr>
        <w:t>Broadcast Television</w:t>
      </w:r>
      <w:r>
        <w:rPr>
          <w:rFonts w:ascii="Arial" w:cs="Arial" w:eastAsia="Arial" w:hAnsi="Arial"/>
          <w:sz w:val="18"/>
          <w:szCs w:val="18"/>
          <w:color w:val="auto"/>
        </w:rPr>
        <w:t>: Consists primarily of the NBC and Telemundo broadcast networks, our NBC and Telemundo owned local broadcast</w:t>
      </w:r>
      <w:r>
        <w:rPr>
          <w:rFonts w:ascii="Arial" w:cs="Arial" w:eastAsia="Arial" w:hAnsi="Arial"/>
          <w:sz w:val="18"/>
          <w:szCs w:val="18"/>
          <w:b w:val="1"/>
          <w:bCs w:val="1"/>
          <w:color w:val="auto"/>
        </w:rPr>
        <w:t xml:space="preserve"> </w:t>
      </w:r>
      <w:r>
        <w:rPr>
          <w:rFonts w:ascii="Arial" w:cs="Arial" w:eastAsia="Arial" w:hAnsi="Arial"/>
          <w:sz w:val="18"/>
          <w:szCs w:val="18"/>
          <w:color w:val="auto"/>
        </w:rPr>
        <w:t>television stations, the NBC Universo national cable network, our broadcast television studio production operations, and various digital properties.</w:t>
      </w:r>
    </w:p>
    <w:p>
      <w:pPr>
        <w:spacing w:after="0" w:line="51" w:lineRule="exact"/>
        <w:rPr>
          <w:rFonts w:ascii="Arial" w:cs="Arial" w:eastAsia="Arial" w:hAnsi="Arial"/>
          <w:sz w:val="18"/>
          <w:szCs w:val="18"/>
          <w:color w:val="auto"/>
        </w:rPr>
      </w:pPr>
    </w:p>
    <w:p>
      <w:pPr>
        <w:ind w:left="1180" w:right="140" w:hanging="436"/>
        <w:spacing w:after="0" w:line="334" w:lineRule="auto"/>
        <w:tabs>
          <w:tab w:leader="none" w:pos="1180" w:val="left"/>
        </w:tabs>
        <w:numPr>
          <w:ilvl w:val="1"/>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Filmed Entertainment: </w:t>
      </w:r>
      <w:r>
        <w:rPr>
          <w:rFonts w:ascii="Arial" w:cs="Arial" w:eastAsia="Arial" w:hAnsi="Arial"/>
          <w:sz w:val="16"/>
          <w:szCs w:val="16"/>
          <w:color w:val="auto"/>
        </w:rPr>
        <w:t>Consists primarily of the operations of Universal Pictures, which produces, acquires, markets and distributes filmed</w:t>
      </w:r>
      <w:r>
        <w:rPr>
          <w:rFonts w:ascii="Arial" w:cs="Arial" w:eastAsia="Arial" w:hAnsi="Arial"/>
          <w:sz w:val="16"/>
          <w:szCs w:val="16"/>
          <w:b w:val="1"/>
          <w:bCs w:val="1"/>
          <w:color w:val="auto"/>
        </w:rPr>
        <w:t xml:space="preserve"> </w:t>
      </w:r>
      <w:r>
        <w:rPr>
          <w:rFonts w:ascii="Arial" w:cs="Arial" w:eastAsia="Arial" w:hAnsi="Arial"/>
          <w:sz w:val="16"/>
          <w:szCs w:val="16"/>
          <w:color w:val="auto"/>
        </w:rPr>
        <w:t>entertainment worldwide; our films are also produced under the Illumination, DreamWorks Animation and Focus Features names.</w:t>
      </w:r>
    </w:p>
    <w:p>
      <w:pPr>
        <w:spacing w:after="0" w:line="1" w:lineRule="exact"/>
        <w:rPr>
          <w:rFonts w:ascii="Arial" w:cs="Arial" w:eastAsia="Arial" w:hAnsi="Arial"/>
          <w:sz w:val="16"/>
          <w:szCs w:val="16"/>
          <w:color w:val="auto"/>
        </w:rPr>
      </w:pPr>
    </w:p>
    <w:p>
      <w:pPr>
        <w:ind w:left="1180" w:right="260" w:hanging="436"/>
        <w:spacing w:after="0" w:line="334" w:lineRule="auto"/>
        <w:tabs>
          <w:tab w:leader="none" w:pos="1180" w:val="left"/>
        </w:tabs>
        <w:numPr>
          <w:ilvl w:val="1"/>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Theme Parks: </w:t>
      </w:r>
      <w:r>
        <w:rPr>
          <w:rFonts w:ascii="Arial" w:cs="Arial" w:eastAsia="Arial" w:hAnsi="Arial"/>
          <w:sz w:val="16"/>
          <w:szCs w:val="16"/>
          <w:color w:val="auto"/>
        </w:rPr>
        <w:t>Consists primarily of our Universal theme parks in Orlando, Florida; Hollywood, California; and Osaka, Japan. In addition,</w:t>
      </w:r>
      <w:r>
        <w:rPr>
          <w:rFonts w:ascii="Arial" w:cs="Arial" w:eastAsia="Arial" w:hAnsi="Arial"/>
          <w:sz w:val="16"/>
          <w:szCs w:val="16"/>
          <w:b w:val="1"/>
          <w:bCs w:val="1"/>
          <w:color w:val="auto"/>
        </w:rPr>
        <w:t xml:space="preserve"> </w:t>
      </w:r>
      <w:r>
        <w:rPr>
          <w:rFonts w:ascii="Arial" w:cs="Arial" w:eastAsia="Arial" w:hAnsi="Arial"/>
          <w:sz w:val="16"/>
          <w:szCs w:val="16"/>
          <w:color w:val="auto"/>
        </w:rPr>
        <w:t>along with a consortium of Chinese state-owned companies, we are developing a Universal theme park and resort in Beijing, China.</w:t>
      </w:r>
    </w:p>
    <w:p>
      <w:pPr>
        <w:spacing w:after="0" w:line="1" w:lineRule="exact"/>
        <w:rPr>
          <w:rFonts w:ascii="Arial" w:cs="Arial" w:eastAsia="Arial" w:hAnsi="Arial"/>
          <w:sz w:val="16"/>
          <w:szCs w:val="16"/>
          <w:color w:val="auto"/>
        </w:rPr>
      </w:pPr>
    </w:p>
    <w:p>
      <w:pPr>
        <w:ind w:left="1180" w:right="180" w:hanging="436"/>
        <w:spacing w:after="0" w:line="262" w:lineRule="auto"/>
        <w:tabs>
          <w:tab w:leader="none" w:pos="1180" w:val="left"/>
        </w:tabs>
        <w:numPr>
          <w:ilvl w:val="1"/>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Sky: </w:t>
      </w:r>
      <w:r>
        <w:rPr>
          <w:rFonts w:ascii="Arial" w:cs="Arial" w:eastAsia="Arial" w:hAnsi="Arial"/>
          <w:sz w:val="18"/>
          <w:szCs w:val="18"/>
          <w:color w:val="auto"/>
        </w:rPr>
        <w:t>Consists of the operations of Sky, one of Europe’s leading entertainment companies, which primarily includes a direct-to-consumer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providing video, high-speed internet, voice and wireless phone services, and a content business, operating entertainment networks, the Sky News broadcast network and Sky Sports networks.</w:t>
      </w:r>
    </w:p>
    <w:p>
      <w:pPr>
        <w:spacing w:after="0" w:line="138" w:lineRule="exact"/>
        <w:rPr>
          <w:sz w:val="20"/>
          <w:szCs w:val="20"/>
          <w:color w:val="auto"/>
        </w:rPr>
      </w:pPr>
    </w:p>
    <w:p>
      <w:pPr>
        <w:ind w:left="200" w:right="40" w:firstLine="441"/>
        <w:spacing w:after="0" w:line="268" w:lineRule="auto"/>
        <w:rPr>
          <w:sz w:val="20"/>
          <w:szCs w:val="20"/>
          <w:color w:val="auto"/>
        </w:rPr>
      </w:pPr>
      <w:r>
        <w:rPr>
          <w:rFonts w:ascii="Arial" w:cs="Arial" w:eastAsia="Arial" w:hAnsi="Arial"/>
          <w:sz w:val="18"/>
          <w:szCs w:val="18"/>
          <w:color w:val="auto"/>
        </w:rPr>
        <w:t>Our other business interests consist primarily of the operations of Comcast Spectacor, which owns the Philadelphia Flyers and the Wells Fargo Center arena in Philadelphia, Pennsylvania.</w:t>
      </w:r>
    </w:p>
    <w:p>
      <w:pPr>
        <w:spacing w:after="0" w:line="132" w:lineRule="exact"/>
        <w:rPr>
          <w:sz w:val="20"/>
          <w:szCs w:val="20"/>
          <w:color w:val="auto"/>
        </w:rPr>
      </w:pPr>
    </w:p>
    <w:p>
      <w:pPr>
        <w:ind w:left="200" w:right="40" w:firstLine="441"/>
        <w:spacing w:after="0" w:line="306" w:lineRule="auto"/>
        <w:rPr>
          <w:sz w:val="20"/>
          <w:szCs w:val="20"/>
          <w:color w:val="auto"/>
        </w:rPr>
      </w:pPr>
      <w:r>
        <w:rPr>
          <w:rFonts w:ascii="Arial" w:cs="Arial" w:eastAsia="Arial" w:hAnsi="Arial"/>
          <w:sz w:val="16"/>
          <w:szCs w:val="16"/>
          <w:color w:val="auto"/>
        </w:rPr>
        <w:t>For a description of our business, financial condition, results of operations and other important information regarding us, see our filings with the Securities and Exchange Commission (the “SEC” or the “Commission”) incorporated by reference in this prospectus. For instructions on how to find copies of these and our other filings incorporated by reference in this prospectus, see “Available Information” in this prospectus.</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Guarantors</w:t>
      </w:r>
    </w:p>
    <w:p>
      <w:pPr>
        <w:spacing w:after="0" w:line="96"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Our obligations, including the payment of principal, premium, if any, and interest on the debt securities issued pursuant to this prospectus will be fully and unconditionally guaranteed by each of the Guarantors. In this prospectus, we refer to these guarantees as the “Guarantees.” We have numerous other subsidiaries, including Comcast Holdings, and its and the Guarantors’ respective subsidiaries, that will not be guarantors on the debt securities. If indicated in the relevant prospectus supplement, our obligations under the other securities we are offering and selling may be fully and unconditionally guaranteed by specified Guarantors.</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90" w:lineRule="exact"/>
        <w:rPr>
          <w:sz w:val="20"/>
          <w:szCs w:val="20"/>
          <w:color w:val="auto"/>
        </w:rPr>
      </w:pPr>
    </w:p>
    <w:p>
      <w:pPr>
        <w:ind w:left="1180" w:hanging="436"/>
        <w:spacing w:after="0" w:line="268"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50"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Guarantor.</w:t>
      </w:r>
    </w:p>
    <w:p>
      <w:pPr>
        <w:spacing w:after="0" w:line="27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NBCUniversal Media, LLC</w:t>
      </w:r>
    </w:p>
    <w:p>
      <w:pPr>
        <w:spacing w:after="0" w:line="90" w:lineRule="exact"/>
        <w:rPr>
          <w:sz w:val="20"/>
          <w:szCs w:val="20"/>
          <w:color w:val="auto"/>
        </w:rPr>
      </w:pPr>
    </w:p>
    <w:p>
      <w:pPr>
        <w:ind w:left="200" w:right="320" w:firstLine="441"/>
        <w:spacing w:after="0" w:line="268" w:lineRule="auto"/>
        <w:rPr>
          <w:sz w:val="20"/>
          <w:szCs w:val="20"/>
          <w:color w:val="auto"/>
        </w:rPr>
      </w:pPr>
      <w:r>
        <w:rPr>
          <w:rFonts w:ascii="Arial" w:cs="Arial" w:eastAsia="Arial" w:hAnsi="Arial"/>
          <w:sz w:val="18"/>
          <w:szCs w:val="18"/>
          <w:color w:val="auto"/>
        </w:rPr>
        <w:t>NBCUniversal is one of the world’s leading media and entertainment companies that develops, produces and distributes entertainment, news and information, sports, and other content for global audiences, and owns and operates theme parks worldwide.</w:t>
      </w:r>
    </w:p>
    <w:p>
      <w:pPr>
        <w:spacing w:after="0" w:line="21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Comcast Cable Communications, LLC</w:t>
      </w:r>
    </w:p>
    <w:p>
      <w:pPr>
        <w:spacing w:after="0" w:line="90" w:lineRule="exact"/>
        <w:rPr>
          <w:sz w:val="20"/>
          <w:szCs w:val="20"/>
          <w:color w:val="auto"/>
        </w:rPr>
      </w:pPr>
    </w:p>
    <w:p>
      <w:pPr>
        <w:ind w:left="200" w:right="100" w:firstLine="441"/>
        <w:spacing w:after="0" w:line="268" w:lineRule="auto"/>
        <w:rPr>
          <w:sz w:val="20"/>
          <w:szCs w:val="20"/>
          <w:color w:val="auto"/>
        </w:rPr>
      </w:pPr>
      <w:r>
        <w:rPr>
          <w:rFonts w:ascii="Arial" w:cs="Arial" w:eastAsia="Arial" w:hAnsi="Arial"/>
          <w:sz w:val="18"/>
          <w:szCs w:val="18"/>
          <w:color w:val="auto"/>
        </w:rPr>
        <w:t>Comcast Cable, which was incorporated in 1981 as a Delaware corporation, became a Delaware limited liability company in 2003 and is an indirect wholly owned subsidiary of 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97790</wp:posOffset>
            </wp:positionV>
            <wp:extent cx="14662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20" w:lineRule="exact"/>
        <w:rPr>
          <w:sz w:val="20"/>
          <w:szCs w:val="20"/>
          <w:color w:val="auto"/>
        </w:rPr>
      </w:pPr>
    </w:p>
    <w:p>
      <w:pPr>
        <w:ind w:left="200" w:right="80" w:firstLine="441"/>
        <w:spacing w:after="0" w:line="268" w:lineRule="auto"/>
        <w:rPr>
          <w:sz w:val="20"/>
          <w:szCs w:val="20"/>
          <w:color w:val="auto"/>
        </w:rPr>
      </w:pPr>
      <w:r>
        <w:rPr>
          <w:rFonts w:ascii="Arial" w:cs="Arial" w:eastAsia="Arial" w:hAnsi="Arial"/>
          <w:sz w:val="18"/>
          <w:szCs w:val="18"/>
          <w:color w:val="auto"/>
        </w:rPr>
        <w:t>The principal executive offices of Comcast and Comcast Cable are located at One Comcast Center, Philadelphia, Pennsylvania 19103-2838, and our telephone number is (215) 286-1700.</w:t>
      </w:r>
    </w:p>
    <w:p>
      <w:pPr>
        <w:spacing w:after="0" w:line="132" w:lineRule="exact"/>
        <w:rPr>
          <w:sz w:val="20"/>
          <w:szCs w:val="20"/>
          <w:color w:val="auto"/>
        </w:rPr>
      </w:pPr>
    </w:p>
    <w:p>
      <w:pPr>
        <w:ind w:left="200" w:right="40" w:firstLine="441"/>
        <w:spacing w:after="0" w:line="268" w:lineRule="auto"/>
        <w:rPr>
          <w:sz w:val="20"/>
          <w:szCs w:val="20"/>
          <w:color w:val="auto"/>
        </w:rPr>
      </w:pPr>
      <w:r>
        <w:rPr>
          <w:rFonts w:ascii="Arial" w:cs="Arial" w:eastAsia="Arial" w:hAnsi="Arial"/>
          <w:sz w:val="18"/>
          <w:szCs w:val="18"/>
          <w:color w:val="auto"/>
        </w:rPr>
        <w:t>The principal executive offices of NBCUniversal are located at 30 Rockefeller Plaza, New York, New York 10112-0015, and its telephone number is (212) 664-4444.</w:t>
      </w:r>
    </w:p>
    <w:p>
      <w:pPr>
        <w:spacing w:after="0" w:line="132"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8"/>
          <w:szCs w:val="18"/>
          <w:color w:val="auto"/>
        </w:rPr>
        <w:t>We maintain a website at http://www.comcastcorporation.com where general information about us is available. We are not incorporating the contents of the website into this prospectus.</w:t>
      </w:r>
    </w:p>
    <w:p>
      <w:pPr>
        <w:spacing w:after="0" w:line="11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0"/>
          </w:cols>
          <w:pgMar w:left="240" w:top="459" w:right="5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177"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In this prospectus and in the documents we incorporate by reference, we state our beliefs of future events and of our future financial performance. In some cases, you can identify these so-called “forward-looking statements” by words such as “may,” “will,” “should,” “expects,” “believes,” “estimates,” “potential,” or “continue,” or the negative of these words, and other comparable words. You should be aware that those statements are only our predictions. In evaluating those statements, you should specifically consider various factors, including the risks and uncertainties listed in “Item 1A—Risk Factors” in our Annual Report on Form 10-K for the year ended December 31, 2018 incorporated herein by reference. Actual events or our actual results may differ materially from any of our forward-looking statements. We undertake no obligation to update any forward-looking statements.</w:t>
      </w:r>
    </w:p>
    <w:p>
      <w:pPr>
        <w:spacing w:after="0" w:line="12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businesses may be affected by, among other things, the following:</w:t>
      </w:r>
    </w:p>
    <w:p>
      <w:pPr>
        <w:spacing w:after="0" w:line="90" w:lineRule="exact"/>
        <w:rPr>
          <w:sz w:val="20"/>
          <w:szCs w:val="20"/>
          <w:color w:val="auto"/>
        </w:rPr>
      </w:pPr>
    </w:p>
    <w:p>
      <w:pPr>
        <w:ind w:left="1180" w:right="220" w:hanging="436"/>
        <w:spacing w:after="0" w:line="268"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businesses currently face a wide range of competition, and our businesses and results of operations could be adversely affected if we do not compete effectively;</w:t>
      </w:r>
    </w:p>
    <w:p>
      <w:pPr>
        <w:spacing w:after="0" w:line="50" w:lineRule="exact"/>
        <w:rPr>
          <w:rFonts w:ascii="Arial" w:cs="Arial" w:eastAsia="Arial" w:hAnsi="Arial"/>
          <w:sz w:val="18"/>
          <w:szCs w:val="18"/>
          <w:color w:val="auto"/>
        </w:rPr>
      </w:pPr>
    </w:p>
    <w:p>
      <w:pPr>
        <w:ind w:left="1180" w:right="320" w:hanging="436"/>
        <w:spacing w:after="0" w:line="268"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consumer behavior driven by online video distribution platforms for viewing content could adversely affect our businesses and challenge existing business models;</w:t>
      </w:r>
    </w:p>
    <w:p>
      <w:pPr>
        <w:spacing w:after="0" w:line="50" w:lineRule="exact"/>
        <w:rPr>
          <w:rFonts w:ascii="Arial" w:cs="Arial" w:eastAsia="Arial" w:hAnsi="Arial"/>
          <w:sz w:val="18"/>
          <w:szCs w:val="18"/>
          <w:color w:val="auto"/>
        </w:rPr>
      </w:pPr>
    </w:p>
    <w:p>
      <w:pPr>
        <w:ind w:left="1180" w:hanging="436"/>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decline in advertisers’ expenditures or changes in advertising markets could negatively impact our businesses;</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businesses depend on keeping pace with technological developments;</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are subject to regulation by federal, state, local and foreign authorities, which impose additional costs and restrictions on our businesses;</w:t>
      </w:r>
    </w:p>
    <w:p>
      <w:pPr>
        <w:spacing w:after="0" w:line="113" w:lineRule="exact"/>
        <w:rPr>
          <w:rFonts w:ascii="Arial" w:cs="Arial" w:eastAsia="Arial" w:hAnsi="Arial"/>
          <w:sz w:val="16"/>
          <w:szCs w:val="16"/>
          <w:color w:val="auto"/>
        </w:rPr>
      </w:pPr>
    </w:p>
    <w:p>
      <w:pPr>
        <w:ind w:left="1180" w:right="500" w:hanging="436"/>
        <w:spacing w:after="0" w:line="268"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programming expenses for our video services are increasing, which could adversely affect our Cable Communications’ and Sky’s video businesses;</w:t>
      </w:r>
    </w:p>
    <w:p>
      <w:pPr>
        <w:spacing w:after="0" w:line="50" w:lineRule="exact"/>
        <w:rPr>
          <w:rFonts w:ascii="Arial" w:cs="Arial" w:eastAsia="Arial" w:hAnsi="Arial"/>
          <w:sz w:val="18"/>
          <w:szCs w:val="18"/>
          <w:color w:val="auto"/>
        </w:rPr>
      </w:pPr>
    </w:p>
    <w:p>
      <w:pPr>
        <w:ind w:left="1180" w:right="180" w:hanging="436"/>
        <w:spacing w:after="0" w:line="332" w:lineRule="auto"/>
        <w:tabs>
          <w:tab w:leader="none" w:pos="1180" w:val="left"/>
        </w:tabs>
        <w:numPr>
          <w:ilvl w:val="0"/>
          <w:numId w:val="4"/>
        </w:numPr>
        <w:rPr>
          <w:rFonts w:ascii="Arial" w:cs="Arial" w:eastAsia="Arial" w:hAnsi="Arial"/>
          <w:sz w:val="16"/>
          <w:szCs w:val="16"/>
          <w:color w:val="auto"/>
        </w:rPr>
      </w:pPr>
      <w:r>
        <w:rPr>
          <w:rFonts w:ascii="Arial" w:cs="Arial" w:eastAsia="Arial" w:hAnsi="Arial"/>
          <w:sz w:val="16"/>
          <w:szCs w:val="16"/>
          <w:color w:val="auto"/>
        </w:rPr>
        <w:t>NBCUniversal’s and Sky’s success depends on consumer acceptance of their content, and their businesses may be adversely affected if their content fails to achieve sufficient consumer acceptance or the costs to create or acquire content increase;</w:t>
      </w:r>
    </w:p>
    <w:p>
      <w:pPr>
        <w:spacing w:after="0" w:line="4" w:lineRule="exact"/>
        <w:rPr>
          <w:rFonts w:ascii="Arial" w:cs="Arial" w:eastAsia="Arial" w:hAnsi="Arial"/>
          <w:sz w:val="16"/>
          <w:szCs w:val="16"/>
          <w:color w:val="auto"/>
        </w:rPr>
      </w:pPr>
    </w:p>
    <w:p>
      <w:pPr>
        <w:ind w:left="1180" w:hanging="436"/>
        <w:spacing w:after="0" w:line="268"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loss of NBCUniversal’s programming distribution agreements, or the renewal of these agreements on less favorable terms, could adversely affect its businesses;</w:t>
      </w:r>
    </w:p>
    <w:p>
      <w:pPr>
        <w:spacing w:after="0" w:line="50" w:lineRule="exact"/>
        <w:rPr>
          <w:rFonts w:ascii="Arial" w:cs="Arial" w:eastAsia="Arial" w:hAnsi="Arial"/>
          <w:sz w:val="18"/>
          <w:szCs w:val="18"/>
          <w:color w:val="auto"/>
        </w:rPr>
      </w:pPr>
    </w:p>
    <w:p>
      <w:pPr>
        <w:ind w:left="1180" w:right="340" w:hanging="436"/>
        <w:spacing w:after="0" w:line="268"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less favorable regulation, the loss of Sky’s transmission agreements with satellite or telecommunications providers or the renewal of these agreements on less favorable terms, could adversely affect Sky’s businesses;</w:t>
      </w:r>
    </w:p>
    <w:p>
      <w:pPr>
        <w:spacing w:after="0" w:line="50" w:lineRule="exact"/>
        <w:rPr>
          <w:rFonts w:ascii="Arial" w:cs="Arial" w:eastAsia="Arial" w:hAnsi="Arial"/>
          <w:sz w:val="18"/>
          <w:szCs w:val="18"/>
          <w:color w:val="auto"/>
        </w:rPr>
      </w:pPr>
    </w:p>
    <w:p>
      <w:pPr>
        <w:ind w:left="1180" w:hanging="436"/>
        <w:spacing w:after="0"/>
        <w:tabs>
          <w:tab w:leader="none" w:pos="11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loss of Sky’s wholesale distribution agreements with traditional multichannel video providers could adversely affect Sky’s businesses;</w:t>
      </w:r>
    </w:p>
    <w:p>
      <w:pPr>
        <w:spacing w:after="0" w:line="113" w:lineRule="exact"/>
        <w:rPr>
          <w:rFonts w:ascii="Arial" w:cs="Arial" w:eastAsia="Arial" w:hAnsi="Arial"/>
          <w:sz w:val="16"/>
          <w:szCs w:val="16"/>
          <w:color w:val="auto"/>
        </w:rPr>
      </w:pPr>
    </w:p>
    <w:p>
      <w:pPr>
        <w:ind w:left="1180" w:right="540" w:hanging="436"/>
        <w:spacing w:after="0" w:line="268"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on network and information systems and other technologies, as well as key properties, and a disruption, cyber attack, failure or destruction of such networks, systems, technologies or properties may disrupt our businesses;</w:t>
      </w:r>
    </w:p>
    <w:p>
      <w:pPr>
        <w:spacing w:after="0" w:line="50" w:lineRule="exact"/>
        <w:rPr>
          <w:rFonts w:ascii="Arial" w:cs="Arial" w:eastAsia="Arial" w:hAnsi="Arial"/>
          <w:sz w:val="18"/>
          <w:szCs w:val="18"/>
          <w:color w:val="auto"/>
        </w:rPr>
      </w:pPr>
    </w:p>
    <w:p>
      <w:pPr>
        <w:ind w:left="1180" w:right="440" w:hanging="436"/>
        <w:spacing w:after="0" w:line="268"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businesses depend on using and protecting certain intellectual property rights and on not infringing the intellectual property rights of others;</w:t>
      </w:r>
    </w:p>
    <w:p>
      <w:pPr>
        <w:spacing w:after="0" w:line="50" w:lineRule="exact"/>
        <w:rPr>
          <w:rFonts w:ascii="Arial" w:cs="Arial" w:eastAsia="Arial" w:hAnsi="Arial"/>
          <w:sz w:val="18"/>
          <w:szCs w:val="18"/>
          <w:color w:val="auto"/>
        </w:rPr>
      </w:pPr>
    </w:p>
    <w:p>
      <w:pPr>
        <w:ind w:left="1180" w:hanging="436"/>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obtain necessary hardware, software and operational support;</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weak economic conditions may have a negative impact on our businesses;</w:t>
      </w:r>
    </w:p>
    <w:p>
      <w:pPr>
        <w:spacing w:after="0" w:line="90" w:lineRule="exact"/>
        <w:rPr>
          <w:rFonts w:ascii="Arial" w:cs="Arial" w:eastAsia="Arial" w:hAnsi="Arial"/>
          <w:sz w:val="18"/>
          <w:szCs w:val="18"/>
          <w:color w:val="auto"/>
        </w:rPr>
      </w:pPr>
    </w:p>
    <w:p>
      <w:pPr>
        <w:ind w:left="1180" w:right="360" w:hanging="436"/>
        <w:spacing w:after="0" w:line="268"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acquisitions, including our acquisitions of Sky, and other strategic initiatives present many risks, and we may not realize the financial and strategic goals that we had contemplated;</w:t>
      </w:r>
    </w:p>
    <w:p>
      <w:pPr>
        <w:spacing w:after="0" w:line="50" w:lineRule="exact"/>
        <w:rPr>
          <w:rFonts w:ascii="Arial" w:cs="Arial" w:eastAsia="Arial" w:hAnsi="Arial"/>
          <w:sz w:val="18"/>
          <w:szCs w:val="18"/>
          <w:color w:val="auto"/>
        </w:rPr>
      </w:pPr>
    </w:p>
    <w:p>
      <w:pPr>
        <w:ind w:left="1180" w:right="760" w:hanging="436"/>
        <w:spacing w:after="0" w:line="268"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unfavorable litigation or governmental investigation results could require us to pay significant amounts or lead to onerous operating procedures;</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24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80" w:hanging="436"/>
        <w:spacing w:after="0"/>
        <w:tabs>
          <w:tab w:leader="none" w:pos="1180" w:val="left"/>
        </w:tabs>
        <w:numPr>
          <w:ilvl w:val="0"/>
          <w:numId w:val="5"/>
        </w:numPr>
        <w:rPr>
          <w:rFonts w:ascii="Arial" w:cs="Arial" w:eastAsia="Arial" w:hAnsi="Arial"/>
          <w:sz w:val="16"/>
          <w:szCs w:val="16"/>
          <w:color w:val="auto"/>
        </w:rPr>
      </w:pPr>
      <w:r>
        <w:rPr>
          <w:rFonts w:ascii="Arial" w:cs="Arial" w:eastAsia="Arial" w:hAnsi="Arial"/>
          <w:sz w:val="16"/>
          <w:szCs w:val="16"/>
          <w:color w:val="auto"/>
        </w:rPr>
        <w:t>labor disputes, whether involving employees or sports organizations, may disrupt our operations and adversely affect our businesses;</w:t>
      </w:r>
    </w:p>
    <w:p>
      <w:pPr>
        <w:spacing w:after="0" w:line="113" w:lineRule="exact"/>
        <w:rPr>
          <w:rFonts w:ascii="Arial" w:cs="Arial" w:eastAsia="Arial" w:hAnsi="Arial"/>
          <w:sz w:val="16"/>
          <w:szCs w:val="16"/>
          <w:color w:val="auto"/>
        </w:rPr>
      </w:pPr>
    </w:p>
    <w:p>
      <w:pPr>
        <w:ind w:left="1180" w:hanging="436"/>
        <w:spacing w:after="0"/>
        <w:tabs>
          <w:tab w:leader="none" w:pos="11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loss of key management personnel or popular on-air and creative talent could have an adverse effect on our businesses;</w:t>
      </w:r>
    </w:p>
    <w:p>
      <w:pPr>
        <w:spacing w:after="0" w:line="113" w:lineRule="exact"/>
        <w:rPr>
          <w:rFonts w:ascii="Arial" w:cs="Arial" w:eastAsia="Arial" w:hAnsi="Arial"/>
          <w:sz w:val="16"/>
          <w:szCs w:val="16"/>
          <w:color w:val="auto"/>
        </w:rPr>
      </w:pPr>
    </w:p>
    <w:p>
      <w:pPr>
        <w:ind w:left="1180" w:hanging="436"/>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face risks relating to doing business internationally that could adversely affect our businesses; and</w:t>
      </w:r>
    </w:p>
    <w:p>
      <w:pPr>
        <w:spacing w:after="0" w:line="90" w:lineRule="exact"/>
        <w:rPr>
          <w:rFonts w:ascii="Arial" w:cs="Arial" w:eastAsia="Arial" w:hAnsi="Arial"/>
          <w:sz w:val="18"/>
          <w:szCs w:val="18"/>
          <w:color w:val="auto"/>
        </w:rPr>
      </w:pPr>
    </w:p>
    <w:p>
      <w:pPr>
        <w:ind w:left="1180" w:hanging="436"/>
        <w:spacing w:after="0" w:line="332" w:lineRule="auto"/>
        <w:tabs>
          <w:tab w:leader="none" w:pos="118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pacing w:after="0" w:line="72"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0"/>
          </w:cols>
          <w:pgMar w:left="240" w:top="459" w:right="7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intend to use the net proceeds from the sale of the securities for working capital and general corporate purposes. We may also invest the proceeds in certificates of deposit, U.S. government securities or certain other interest-bearing securities. If we decide to use the net proceeds from a particular offering of securities for a specific purpose, we will describe that in the related prospectus supplement.</w:t>
      </w:r>
    </w:p>
    <w:p>
      <w:pPr>
        <w:spacing w:after="0" w:line="21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DIVIDEND POLICY</w:t>
      </w:r>
    </w:p>
    <w:p>
      <w:pPr>
        <w:spacing w:after="0" w:line="177" w:lineRule="exact"/>
        <w:rPr>
          <w:sz w:val="20"/>
          <w:szCs w:val="20"/>
          <w:color w:val="auto"/>
        </w:rPr>
      </w:pPr>
    </w:p>
    <w:p>
      <w:pPr>
        <w:ind w:left="200" w:firstLine="441"/>
        <w:spacing w:after="0" w:line="268" w:lineRule="auto"/>
        <w:rPr>
          <w:sz w:val="20"/>
          <w:szCs w:val="20"/>
          <w:color w:val="auto"/>
        </w:rPr>
      </w:pPr>
      <w:r>
        <w:rPr>
          <w:rFonts w:ascii="Arial" w:cs="Arial" w:eastAsia="Arial" w:hAnsi="Arial"/>
          <w:sz w:val="18"/>
          <w:szCs w:val="18"/>
          <w:color w:val="auto"/>
        </w:rPr>
        <w:t>We intend to pay quarterly dividends at an annualized rate currently of $0.84 per share, although each dividend is subject to approval by our Board of Directors. Our Board of Directors retains the right to change our dividend policy at any time.</w:t>
      </w:r>
    </w:p>
    <w:p>
      <w:pPr>
        <w:spacing w:after="0" w:line="11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240" w:top="459" w:right="5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DEBT SECURITIES AND GUARANTEES</w:t>
      </w:r>
    </w:p>
    <w:p>
      <w:pPr>
        <w:spacing w:after="0" w:line="177" w:lineRule="exact"/>
        <w:rPr>
          <w:sz w:val="20"/>
          <w:szCs w:val="20"/>
          <w:color w:val="auto"/>
        </w:rPr>
      </w:pPr>
    </w:p>
    <w:p>
      <w:pPr>
        <w:ind w:left="200" w:right="20" w:firstLine="441"/>
        <w:spacing w:after="0" w:line="256" w:lineRule="auto"/>
        <w:rPr>
          <w:sz w:val="20"/>
          <w:szCs w:val="20"/>
          <w:color w:val="auto"/>
        </w:rPr>
      </w:pPr>
      <w:r>
        <w:rPr>
          <w:rFonts w:ascii="Arial" w:cs="Arial" w:eastAsia="Arial" w:hAnsi="Arial"/>
          <w:sz w:val="18"/>
          <w:szCs w:val="18"/>
          <w:color w:val="auto"/>
        </w:rPr>
        <w:t>Our debt securities, consisting of notes, debentures or other evidences of indebtedness, may be issued from time to time in one or more series under a senior indenture dated September 18, 2013, entered into among us, the guarantors named therein and The Bank of New York Mellon, as trustee, as amended by the first supplemental indenture dated as of November 17, 2015, entered into among us, the guarantors named therein and The Bank of New York Mellon, as trustee.</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senior indenture is incorporated by reference as an exhibit to the registration statement of which this prospectus is a part.</w:t>
      </w:r>
    </w:p>
    <w:p>
      <w:pPr>
        <w:spacing w:after="0" w:line="171" w:lineRule="exact"/>
        <w:rPr>
          <w:sz w:val="20"/>
          <w:szCs w:val="20"/>
          <w:color w:val="auto"/>
        </w:rPr>
      </w:pPr>
    </w:p>
    <w:p>
      <w:pPr>
        <w:ind w:left="200" w:firstLine="441"/>
        <w:spacing w:after="0" w:line="256" w:lineRule="auto"/>
        <w:rPr>
          <w:sz w:val="20"/>
          <w:szCs w:val="20"/>
          <w:color w:val="auto"/>
        </w:rPr>
      </w:pPr>
      <w:r>
        <w:rPr>
          <w:rFonts w:ascii="Arial" w:cs="Arial" w:eastAsia="Arial" w:hAnsi="Arial"/>
          <w:sz w:val="18"/>
          <w:szCs w:val="18"/>
          <w:color w:val="auto"/>
        </w:rPr>
        <w:t>Because the following is only a summary of the indenture and the debt securities, it does not contain all information that you may find useful. For further information about the indenture and the debt securities, you should read the indenture. As used in this section of the prospectus and under the caption “Description of Capital Stock,” the terms “we,” “us” and “our” refer solely to Comcast Corporation and such references do not include any subsidiaries of Comcast Corporation, including the Guarantors.</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left="200" w:right="340" w:firstLine="441"/>
        <w:spacing w:after="0" w:line="259" w:lineRule="auto"/>
        <w:rPr>
          <w:sz w:val="20"/>
          <w:szCs w:val="20"/>
          <w:color w:val="auto"/>
        </w:rPr>
      </w:pPr>
      <w:r>
        <w:rPr>
          <w:rFonts w:ascii="Arial" w:cs="Arial" w:eastAsia="Arial" w:hAnsi="Arial"/>
          <w:sz w:val="18"/>
          <w:szCs w:val="18"/>
          <w:color w:val="auto"/>
        </w:rPr>
        <w:t>The senior debt securities will constitute our unsecured and unsubordinated obligations. The debt securities will be fully and unconditionally guaranteed by the Guarantors, as described below. The debt securities will not be guaranteed by any of our other subsidiaries, including the Guarantors’ respective subsidiaries.</w:t>
      </w:r>
    </w:p>
    <w:p>
      <w:pPr>
        <w:spacing w:after="0" w:line="140" w:lineRule="exact"/>
        <w:rPr>
          <w:sz w:val="20"/>
          <w:szCs w:val="20"/>
          <w:color w:val="auto"/>
        </w:rPr>
      </w:pPr>
    </w:p>
    <w:p>
      <w:pPr>
        <w:ind w:left="200" w:right="60" w:firstLine="441"/>
        <w:spacing w:after="0" w:line="253" w:lineRule="auto"/>
        <w:rPr>
          <w:sz w:val="20"/>
          <w:szCs w:val="20"/>
          <w:color w:val="auto"/>
        </w:rPr>
      </w:pPr>
      <w:r>
        <w:rPr>
          <w:rFonts w:ascii="Arial" w:cs="Arial" w:eastAsia="Arial" w:hAnsi="Arial"/>
          <w:sz w:val="18"/>
          <w:szCs w:val="18"/>
          <w:color w:val="auto"/>
        </w:rPr>
        <w:t>We are a holding company and conduct all of our operations through subsidiaries. Consequently, our ability to pay our obligations, including our obligation to pay interest on the debt securities, to repay the principal amount of the debt securities at maturity or upon redemption or to buy back the debt securities will depend upon our subsidiaries’ earnings and their distribution of those earnings to us and upon our subsidiaries repaying investments and advances we have made to them. Our subsidiaries are separate and distinct legal entities and, except for the Guarantors with respect to the Guarantees,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Our indentures will not limit our subsidiaries’ ability to enter into other agreements that prohibit or restrict dividends or other payments or advances to us.</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You should look in the applicable prospectus supplement for the following terms of the debt securities being offered:</w:t>
      </w:r>
    </w:p>
    <w:p>
      <w:pPr>
        <w:spacing w:after="0" w:line="90" w:lineRule="exact"/>
        <w:rPr>
          <w:sz w:val="20"/>
          <w:szCs w:val="20"/>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designation of the debt securities;</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percentage of their principal amount (i.e., price) at which the debt securities will be issued;</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rate or rates, if any, per year, at which the debt securities will bear interest, or the method of determining such rate or rates;</w:t>
      </w:r>
    </w:p>
    <w:p>
      <w:pPr>
        <w:spacing w:after="0" w:line="113" w:lineRule="exact"/>
        <w:rPr>
          <w:rFonts w:ascii="Arial" w:cs="Arial" w:eastAsia="Arial" w:hAnsi="Arial"/>
          <w:sz w:val="16"/>
          <w:szCs w:val="16"/>
          <w:color w:val="auto"/>
        </w:rPr>
      </w:pPr>
    </w:p>
    <w:p>
      <w:pPr>
        <w:ind w:left="1180" w:right="100" w:hanging="436"/>
        <w:spacing w:after="0" w:line="259" w:lineRule="auto"/>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dates;</w:t>
      </w:r>
    </w:p>
    <w:p>
      <w:pPr>
        <w:spacing w:after="0" w:line="59"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24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80" w:right="300" w:hanging="436"/>
        <w:spacing w:after="0" w:line="268"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50" w:lineRule="exact"/>
        <w:rPr>
          <w:rFonts w:ascii="Arial" w:cs="Arial" w:eastAsia="Arial" w:hAnsi="Arial"/>
          <w:sz w:val="18"/>
          <w:szCs w:val="18"/>
          <w:color w:val="auto"/>
        </w:rPr>
      </w:pPr>
    </w:p>
    <w:p>
      <w:pPr>
        <w:ind w:left="1180" w:hanging="436"/>
        <w:spacing w:after="0"/>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90" w:lineRule="exact"/>
        <w:rPr>
          <w:rFonts w:ascii="Arial" w:cs="Arial" w:eastAsia="Arial" w:hAnsi="Arial"/>
          <w:sz w:val="18"/>
          <w:szCs w:val="18"/>
          <w:color w:val="auto"/>
        </w:rPr>
      </w:pPr>
    </w:p>
    <w:p>
      <w:pPr>
        <w:ind w:left="1180" w:right="180" w:hanging="436"/>
        <w:spacing w:after="0" w:line="268"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of which, and the terms and conditions upon which the debt securities may be redeemed, in whole or in part, at our option or at your option;</w:t>
      </w:r>
    </w:p>
    <w:p>
      <w:pPr>
        <w:spacing w:after="0" w:line="50" w:lineRule="exact"/>
        <w:rPr>
          <w:rFonts w:ascii="Arial" w:cs="Arial" w:eastAsia="Arial" w:hAnsi="Arial"/>
          <w:sz w:val="18"/>
          <w:szCs w:val="18"/>
          <w:color w:val="auto"/>
        </w:rPr>
      </w:pPr>
    </w:p>
    <w:p>
      <w:pPr>
        <w:ind w:left="1180" w:hanging="436"/>
        <w:spacing w:after="0"/>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90" w:lineRule="exact"/>
        <w:rPr>
          <w:rFonts w:ascii="Arial" w:cs="Arial" w:eastAsia="Arial" w:hAnsi="Arial"/>
          <w:sz w:val="18"/>
          <w:szCs w:val="18"/>
          <w:color w:val="auto"/>
        </w:rPr>
      </w:pPr>
    </w:p>
    <w:p>
      <w:pPr>
        <w:ind w:left="1180" w:right="380" w:hanging="436"/>
        <w:spacing w:after="0" w:line="268"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50" w:lineRule="exact"/>
        <w:rPr>
          <w:rFonts w:ascii="Arial" w:cs="Arial" w:eastAsia="Arial" w:hAnsi="Arial"/>
          <w:sz w:val="18"/>
          <w:szCs w:val="18"/>
          <w:color w:val="auto"/>
        </w:rPr>
      </w:pPr>
    </w:p>
    <w:p>
      <w:pPr>
        <w:ind w:left="1180" w:right="500" w:hanging="436"/>
        <w:spacing w:after="0" w:line="268"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 and the price or prices in the currency or currency unit in which the debt securities are payable;</w:t>
      </w:r>
    </w:p>
    <w:p>
      <w:pPr>
        <w:spacing w:after="0" w:line="50" w:lineRule="exact"/>
        <w:rPr>
          <w:rFonts w:ascii="Arial" w:cs="Arial" w:eastAsia="Arial" w:hAnsi="Arial"/>
          <w:sz w:val="18"/>
          <w:szCs w:val="18"/>
          <w:color w:val="auto"/>
        </w:rPr>
      </w:pPr>
    </w:p>
    <w:p>
      <w:pPr>
        <w:ind w:left="1180" w:right="260" w:hanging="436"/>
        <w:spacing w:after="0" w:line="268"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converted or exchanged for the cash value of other securities issued by us or by a third party;</w:t>
      </w:r>
    </w:p>
    <w:p>
      <w:pPr>
        <w:spacing w:after="0" w:line="50" w:lineRule="exact"/>
        <w:rPr>
          <w:rFonts w:ascii="Arial" w:cs="Arial" w:eastAsia="Arial" w:hAnsi="Arial"/>
          <w:sz w:val="18"/>
          <w:szCs w:val="18"/>
          <w:color w:val="auto"/>
        </w:rPr>
      </w:pPr>
    </w:p>
    <w:p>
      <w:pPr>
        <w:ind w:left="1180" w:hanging="436"/>
        <w:spacing w:after="0"/>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right, if any, to “reopen” a series of the debt securities and issue additional debt securities of such series; and</w:t>
      </w:r>
    </w:p>
    <w:p>
      <w:pPr>
        <w:spacing w:after="0" w:line="90" w:lineRule="exact"/>
        <w:rPr>
          <w:rFonts w:ascii="Arial" w:cs="Arial" w:eastAsia="Arial" w:hAnsi="Arial"/>
          <w:sz w:val="18"/>
          <w:szCs w:val="18"/>
          <w:color w:val="auto"/>
        </w:rPr>
      </w:pPr>
    </w:p>
    <w:p>
      <w:pPr>
        <w:ind w:left="1180" w:right="100" w:hanging="436"/>
        <w:spacing w:after="0" w:line="268"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additional events of default or covenants provided for with respect to the debt securities, and any terms which may be required by or advisable under applicable laws or regulations.</w:t>
      </w:r>
    </w:p>
    <w:p>
      <w:pPr>
        <w:spacing w:after="0" w:line="132"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You may present debt securities for exchange and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w:t>
      </w:r>
    </w:p>
    <w:p>
      <w:pPr>
        <w:spacing w:after="0" w:line="140" w:lineRule="exact"/>
        <w:rPr>
          <w:sz w:val="20"/>
          <w:szCs w:val="20"/>
          <w:color w:val="auto"/>
        </w:rPr>
      </w:pPr>
    </w:p>
    <w:p>
      <w:pPr>
        <w:ind w:left="200" w:firstLine="441"/>
        <w:spacing w:after="0" w:line="256" w:lineRule="auto"/>
        <w:rPr>
          <w:sz w:val="20"/>
          <w:szCs w:val="20"/>
          <w:color w:val="auto"/>
        </w:rPr>
      </w:pPr>
      <w:r>
        <w:rPr>
          <w:rFonts w:ascii="Arial" w:cs="Arial" w:eastAsia="Arial" w:hAnsi="Arial"/>
          <w:sz w:val="18"/>
          <w:szCs w:val="18"/>
          <w:color w:val="auto"/>
        </w:rPr>
        <w:t>Debt securities will bear interest at a fixed rate or a floating rate. Debt securities bearing no interest or interest at a rate that at the time of issuance is below the prevailing market rate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relevant prospectus supplement.</w:t>
      </w:r>
    </w:p>
    <w:p>
      <w:pPr>
        <w:spacing w:after="0" w:line="143"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Definitions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used in this section, the following terms have the meanings set forth below.</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“Aggregate Debt” means, with respect to an Obligor, the sum of the following as of the date of determination:</w:t>
      </w:r>
    </w:p>
    <w:p>
      <w:pPr>
        <w:spacing w:after="0" w:line="90" w:lineRule="exact"/>
        <w:rPr>
          <w:sz w:val="20"/>
          <w:szCs w:val="20"/>
          <w:color w:val="auto"/>
        </w:rPr>
      </w:pPr>
    </w:p>
    <w:p>
      <w:pPr>
        <w:ind w:left="200" w:right="140" w:firstLine="444"/>
        <w:spacing w:after="0" w:line="268" w:lineRule="auto"/>
        <w:tabs>
          <w:tab w:leader="none" w:pos="879"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aggregate principal amount of such Obligor’s Indebtedness incurred after the date of initial issuance of the senior debt securities and secured by Liens not permitted by the first sentence under “—Limitation on Liens Securing Indebtedness”; and</w:t>
      </w:r>
    </w:p>
    <w:p>
      <w:pPr>
        <w:spacing w:after="0" w:line="11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60"/>
          </w:cols>
          <w:pgMar w:left="240" w:top="459" w:right="4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100" w:firstLine="444"/>
        <w:spacing w:after="0" w:line="268" w:lineRule="auto"/>
        <w:tabs>
          <w:tab w:leader="none" w:pos="889"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such Obligor’s Attributable Liens in respect of sale and lease-back transactions entered into after the date of the initial issuance of the senior debt securities pursuant to the second paragraph of “—Limitation on Sale and Lease-Back Transactions.”</w:t>
      </w:r>
    </w:p>
    <w:p>
      <w:pPr>
        <w:spacing w:after="0" w:line="13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“Attributable Liens” means in connection with a sale and lease-back transaction of an Obligor the lesser of:</w:t>
      </w:r>
    </w:p>
    <w:p>
      <w:pPr>
        <w:spacing w:after="0" w:line="90" w:lineRule="exact"/>
        <w:rPr>
          <w:sz w:val="20"/>
          <w:szCs w:val="20"/>
          <w:color w:val="auto"/>
        </w:rPr>
      </w:pPr>
    </w:p>
    <w:p>
      <w:pPr>
        <w:ind w:left="200" w:right="100" w:firstLine="444"/>
        <w:spacing w:after="0" w:line="268" w:lineRule="auto"/>
        <w:tabs>
          <w:tab w:leader="none" w:pos="87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fair market value of the assets subject to such transaction (as determined in good faith by our board of directors (in our case) or the equivalent governing body of any Guarantor); and</w:t>
      </w:r>
    </w:p>
    <w:p>
      <w:pPr>
        <w:spacing w:after="0" w:line="131" w:lineRule="exact"/>
        <w:rPr>
          <w:rFonts w:ascii="Arial" w:cs="Arial" w:eastAsia="Arial" w:hAnsi="Arial"/>
          <w:sz w:val="18"/>
          <w:szCs w:val="18"/>
          <w:color w:val="auto"/>
        </w:rPr>
      </w:pPr>
    </w:p>
    <w:p>
      <w:pPr>
        <w:ind w:left="200" w:right="400" w:firstLine="444"/>
        <w:spacing w:after="0" w:line="306" w:lineRule="auto"/>
        <w:tabs>
          <w:tab w:leader="none" w:pos="889"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present value (discounted at a rate per annum equal to the average interest borne by all outstanding debt securities issued under the senior indenture (which may include debt securities in addition to the senior debt security) determined on a weighted average basis and compounded semi-annually) of the obligations of the lessee for rental payments during the term of the related lease.</w:t>
      </w:r>
    </w:p>
    <w:p>
      <w:pPr>
        <w:spacing w:after="0" w:line="107" w:lineRule="exact"/>
        <w:rPr>
          <w:sz w:val="20"/>
          <w:szCs w:val="20"/>
          <w:color w:val="auto"/>
        </w:rPr>
      </w:pPr>
    </w:p>
    <w:p>
      <w:pPr>
        <w:jc w:val="both"/>
        <w:ind w:left="200" w:right="20" w:firstLine="441"/>
        <w:spacing w:after="0" w:line="306" w:lineRule="auto"/>
        <w:rPr>
          <w:sz w:val="20"/>
          <w:szCs w:val="20"/>
          <w:color w:val="auto"/>
        </w:rPr>
      </w:pPr>
      <w:r>
        <w:rPr>
          <w:rFonts w:ascii="Arial" w:cs="Arial" w:eastAsia="Arial" w:hAnsi="Arial"/>
          <w:sz w:val="16"/>
          <w:szCs w:val="16"/>
          <w:color w:val="auto"/>
        </w:rPr>
        <w:t>“Capital Lease” means any Indebtedness represented by a lease obligation of a Person incurred with respect to real property or equipment acquired by such Person or leased and used in its business that would be required to be recorded as a capital lease in accordance with GAAP as in effect as of the date of the senior indenture, whether entered into before or after the date of the senior indenture.</w:t>
      </w:r>
    </w:p>
    <w:p>
      <w:pPr>
        <w:spacing w:after="0" w:line="107" w:lineRule="exact"/>
        <w:rPr>
          <w:sz w:val="20"/>
          <w:szCs w:val="20"/>
          <w:color w:val="auto"/>
        </w:rPr>
      </w:pPr>
    </w:p>
    <w:p>
      <w:pPr>
        <w:ind w:left="200" w:right="40" w:firstLine="441"/>
        <w:spacing w:after="0" w:line="268" w:lineRule="auto"/>
        <w:rPr>
          <w:sz w:val="20"/>
          <w:szCs w:val="20"/>
          <w:color w:val="auto"/>
        </w:rPr>
      </w:pPr>
      <w:r>
        <w:rPr>
          <w:rFonts w:ascii="Arial" w:cs="Arial" w:eastAsia="Arial" w:hAnsi="Arial"/>
          <w:sz w:val="18"/>
          <w:szCs w:val="18"/>
          <w:color w:val="auto"/>
        </w:rPr>
        <w:t>“Consolidated Net Worth” of any Person means, as of any date of determination, stockholders’ equity or members’ capital of such Person as reflected on the most recent consolidated balance sheet of such Person and prepared in accordance with GAAP.</w:t>
      </w:r>
    </w:p>
    <w:p>
      <w:pPr>
        <w:spacing w:after="0" w:line="132" w:lineRule="exact"/>
        <w:rPr>
          <w:sz w:val="20"/>
          <w:szCs w:val="20"/>
          <w:color w:val="auto"/>
        </w:rPr>
      </w:pPr>
    </w:p>
    <w:p>
      <w:pPr>
        <w:ind w:left="200" w:right="200" w:firstLine="441"/>
        <w:spacing w:after="0" w:line="303" w:lineRule="auto"/>
        <w:rPr>
          <w:sz w:val="20"/>
          <w:szCs w:val="20"/>
          <w:color w:val="auto"/>
        </w:rPr>
      </w:pPr>
      <w:r>
        <w:rPr>
          <w:rFonts w:ascii="Arial" w:cs="Arial" w:eastAsia="Arial" w:hAnsi="Arial"/>
          <w:sz w:val="15"/>
          <w:szCs w:val="15"/>
          <w:color w:val="auto"/>
        </w:rPr>
        <w:t>“GAAP”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in the United States as of</w:t>
      </w:r>
    </w:p>
    <w:p>
      <w:pPr>
        <w:spacing w:after="0" w:line="1" w:lineRule="exact"/>
        <w:rPr>
          <w:sz w:val="20"/>
          <w:szCs w:val="20"/>
          <w:color w:val="auto"/>
        </w:rPr>
      </w:pPr>
    </w:p>
    <w:p>
      <w:pPr>
        <w:ind w:left="200" w:firstLine="4"/>
        <w:spacing w:after="0" w:line="261" w:lineRule="auto"/>
        <w:tabs>
          <w:tab w:leader="none" w:pos="41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date of the senior indenture, for purposes of the definition of “Capital Lease” and (ii) the date of determination, for all other purposes under the senior indenture.</w:t>
      </w:r>
    </w:p>
    <w:p>
      <w:pPr>
        <w:spacing w:after="0" w:line="138"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“Governmental Obligations” means securities that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and shall also include a depositary receipt issued by a bank (as defined in Section 3(a)(2) of the Securities Act of 1933, as amended)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20" w:lineRule="exact"/>
        <w:rPr>
          <w:sz w:val="20"/>
          <w:szCs w:val="20"/>
          <w:color w:val="auto"/>
        </w:rPr>
      </w:pPr>
    </w:p>
    <w:p>
      <w:pPr>
        <w:ind w:left="200" w:right="240" w:firstLine="441"/>
        <w:spacing w:after="0" w:line="294" w:lineRule="auto"/>
        <w:rPr>
          <w:sz w:val="20"/>
          <w:szCs w:val="20"/>
          <w:color w:val="auto"/>
        </w:rPr>
      </w:pPr>
      <w:r>
        <w:rPr>
          <w:rFonts w:ascii="Arial" w:cs="Arial" w:eastAsia="Arial" w:hAnsi="Arial"/>
          <w:sz w:val="16"/>
          <w:szCs w:val="16"/>
          <w:color w:val="auto"/>
        </w:rPr>
        <w:t>“Indebtedness” of any specified Person means, without duplication, any indebtedness in respect of borrowed money or that is evidenced by bonds, notes, debentures or similar instruments or letters of credit (or reimbursement agreements with respect thereto) or representing the balance deferred and unpaid of the purchase price of any property (including pursuant to Capital Leases), except any such balance that constitutes an accrued expense, trade payable or other payable in the ordinary course, if and to the extent any of the foregoing indebtedness would appear as a liability upon an unconsolidated balance sheet of such Person (but does not include contingent liabilities which appear only in a footnote to a balance sheet).</w:t>
      </w:r>
    </w:p>
    <w:p>
      <w:pPr>
        <w:spacing w:after="0" w:line="116" w:lineRule="exact"/>
        <w:rPr>
          <w:sz w:val="20"/>
          <w:szCs w:val="20"/>
          <w:color w:val="auto"/>
        </w:rPr>
      </w:pPr>
    </w:p>
    <w:p>
      <w:pPr>
        <w:ind w:left="200" w:right="300" w:firstLine="441"/>
        <w:spacing w:after="0" w:line="268" w:lineRule="auto"/>
        <w:rPr>
          <w:sz w:val="20"/>
          <w:szCs w:val="20"/>
          <w:color w:val="auto"/>
        </w:rPr>
      </w:pPr>
      <w:r>
        <w:rPr>
          <w:rFonts w:ascii="Arial" w:cs="Arial" w:eastAsia="Arial" w:hAnsi="Arial"/>
          <w:sz w:val="18"/>
          <w:szCs w:val="18"/>
          <w:color w:val="auto"/>
        </w:rPr>
        <w:t>“Lien” means any lien, security interest, charge or encumbrance of any kind (including any conditional sale or other title retention agreement, any lease in the nature thereof, and any agreement to give any security interest).</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24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“Obligor” means us and the Guarantors.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“Permitted Liens” means, with respect to an Obligor:</w:t>
      </w:r>
    </w:p>
    <w:p>
      <w:pPr>
        <w:spacing w:after="0" w:line="90" w:lineRule="exact"/>
        <w:rPr>
          <w:sz w:val="20"/>
          <w:szCs w:val="20"/>
          <w:color w:val="auto"/>
        </w:rPr>
      </w:pPr>
    </w:p>
    <w:p>
      <w:pPr>
        <w:jc w:val="both"/>
        <w:ind w:left="200" w:right="180" w:firstLine="444"/>
        <w:spacing w:after="0" w:line="259" w:lineRule="auto"/>
        <w:tabs>
          <w:tab w:leader="none" w:pos="879"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Liens on any of such Obligor’s assets, created solely to secure obligations incurred to finance the refurbishment, improvement or construction of such asset, which obligations are incurred no later than 24 months after completion of such refurbishment, improvement or construction, and all renewals, extensions, refinancings, replacements or refundings of such obligations;</w:t>
      </w:r>
    </w:p>
    <w:p>
      <w:pPr>
        <w:spacing w:after="0" w:line="140" w:lineRule="exact"/>
        <w:rPr>
          <w:rFonts w:ascii="Arial" w:cs="Arial" w:eastAsia="Arial" w:hAnsi="Arial"/>
          <w:sz w:val="18"/>
          <w:szCs w:val="18"/>
          <w:color w:val="auto"/>
        </w:rPr>
      </w:pPr>
    </w:p>
    <w:p>
      <w:pPr>
        <w:ind w:left="200" w:right="60" w:firstLine="444"/>
        <w:spacing w:after="0" w:line="291" w:lineRule="auto"/>
        <w:tabs>
          <w:tab w:leader="none" w:pos="889" w:val="left"/>
        </w:tabs>
        <w:numPr>
          <w:ilvl w:val="0"/>
          <w:numId w:val="12"/>
        </w:numPr>
        <w:rPr>
          <w:rFonts w:ascii="Arial" w:cs="Arial" w:eastAsia="Arial" w:hAnsi="Arial"/>
          <w:sz w:val="16"/>
          <w:szCs w:val="16"/>
          <w:color w:val="auto"/>
        </w:rPr>
      </w:pPr>
      <w:r>
        <w:rPr>
          <w:rFonts w:ascii="Arial" w:cs="Arial" w:eastAsia="Arial" w:hAnsi="Arial"/>
          <w:sz w:val="16"/>
          <w:szCs w:val="16"/>
          <w:color w:val="auto"/>
        </w:rPr>
        <w:t>(i) Liens given to secure the payment of the purchase price incurred in connection with the acquisition (including acquisition through merger or consolidation) of Property (including shares of stock), including Capital Lease transactions in connection with any such acquisition, provided that with respect to this clause (i) the Liens shall be given within 24 months after such acquisition and shall attach solely to the Property acquired or purchased and any improvements then or thereafter placed thereon, (ii) Liens existing on Property at the time of acquisition thereof or at the time of acquisition by such Obligor of any Person then owning such Property whether or not such existing Liens were given to secure the payment of the purchase price of the Property to which they attach, and (iii) all renewals, extensions, refinancings, replacements or refundings of such obligations under this clause (b);</w:t>
      </w:r>
    </w:p>
    <w:p>
      <w:pPr>
        <w:spacing w:after="0" w:line="120" w:lineRule="exact"/>
        <w:rPr>
          <w:rFonts w:ascii="Arial" w:cs="Arial" w:eastAsia="Arial" w:hAnsi="Arial"/>
          <w:sz w:val="16"/>
          <w:szCs w:val="16"/>
          <w:color w:val="auto"/>
        </w:rPr>
      </w:pPr>
    </w:p>
    <w:p>
      <w:pPr>
        <w:ind w:left="200" w:right="840" w:firstLine="444"/>
        <w:spacing w:after="0" w:line="268" w:lineRule="auto"/>
        <w:tabs>
          <w:tab w:leader="none" w:pos="879"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131" w:lineRule="exact"/>
        <w:rPr>
          <w:rFonts w:ascii="Arial" w:cs="Arial" w:eastAsia="Arial" w:hAnsi="Arial"/>
          <w:sz w:val="18"/>
          <w:szCs w:val="18"/>
          <w:color w:val="auto"/>
        </w:rPr>
      </w:pPr>
    </w:p>
    <w:p>
      <w:pPr>
        <w:ind w:left="200" w:right="460" w:firstLine="444"/>
        <w:spacing w:after="0" w:line="268" w:lineRule="auto"/>
        <w:tabs>
          <w:tab w:leader="none" w:pos="889"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Liens for taxes not yet due or that are being contested in good faith by appropriate proceedings, provided that adequate reserves with respect thereto are maintained on such Obligor’s books in conformity with GAAP;</w:t>
      </w:r>
    </w:p>
    <w:p>
      <w:pPr>
        <w:spacing w:after="0" w:line="131" w:lineRule="exact"/>
        <w:rPr>
          <w:rFonts w:ascii="Arial" w:cs="Arial" w:eastAsia="Arial" w:hAnsi="Arial"/>
          <w:sz w:val="18"/>
          <w:szCs w:val="18"/>
          <w:color w:val="auto"/>
        </w:rPr>
      </w:pPr>
    </w:p>
    <w:p>
      <w:pPr>
        <w:ind w:left="200" w:right="220" w:firstLine="444"/>
        <w:spacing w:after="0" w:line="268" w:lineRule="auto"/>
        <w:tabs>
          <w:tab w:leader="none" w:pos="879"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Liens securing reimbursement obligations with respect to letters of credit that encumber documents and other Property relating to such letters of credit and the products and proceeds thereof;</w:t>
      </w:r>
    </w:p>
    <w:p>
      <w:pPr>
        <w:spacing w:after="0" w:line="131" w:lineRule="exact"/>
        <w:rPr>
          <w:rFonts w:ascii="Arial" w:cs="Arial" w:eastAsia="Arial" w:hAnsi="Arial"/>
          <w:sz w:val="18"/>
          <w:szCs w:val="18"/>
          <w:color w:val="auto"/>
        </w:rPr>
      </w:pPr>
    </w:p>
    <w:p>
      <w:pPr>
        <w:ind w:left="200" w:right="400" w:firstLine="444"/>
        <w:spacing w:after="0" w:line="306" w:lineRule="auto"/>
        <w:tabs>
          <w:tab w:leader="none" w:pos="8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Liens encumbering customary initial deposits and margin deposits and other Liens in the ordinary course of business, in each case securing hedging obligations and forward contracts, options, futures contracts, futures options, equity hedges or similar agreements or arrangements designed to protect such Obligor from fluctuations in interest rates, currencies, equities or the price of commodities;</w:t>
      </w:r>
    </w:p>
    <w:p>
      <w:pPr>
        <w:spacing w:after="0" w:line="106" w:lineRule="exact"/>
        <w:rPr>
          <w:rFonts w:ascii="Arial" w:cs="Arial" w:eastAsia="Arial" w:hAnsi="Arial"/>
          <w:sz w:val="16"/>
          <w:szCs w:val="16"/>
          <w:color w:val="auto"/>
        </w:rPr>
      </w:pPr>
    </w:p>
    <w:p>
      <w:pPr>
        <w:ind w:left="900" w:hanging="25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Liens in favor of us or any Guarantor;</w:t>
      </w:r>
    </w:p>
    <w:p>
      <w:pPr>
        <w:spacing w:after="0" w:line="171" w:lineRule="exact"/>
        <w:rPr>
          <w:rFonts w:ascii="Arial" w:cs="Arial" w:eastAsia="Arial" w:hAnsi="Arial"/>
          <w:sz w:val="18"/>
          <w:szCs w:val="18"/>
          <w:color w:val="auto"/>
        </w:rPr>
      </w:pPr>
    </w:p>
    <w:p>
      <w:pPr>
        <w:jc w:val="both"/>
        <w:ind w:left="200" w:right="160" w:firstLine="444"/>
        <w:spacing w:after="0" w:line="259" w:lineRule="auto"/>
        <w:tabs>
          <w:tab w:leader="none" w:pos="889"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inchoate Liens incident to construction or maintenance of real property, or Liens incident to construction or maintenance of real property, now or hereafter filed of record for sums not yet delinquent or being contested in good faith, if reserves or other appropriate provisions, if any, as shall be required by GAAP shall have been made therefor;</w:t>
      </w:r>
    </w:p>
    <w:p>
      <w:pPr>
        <w:spacing w:after="0" w:line="140" w:lineRule="exact"/>
        <w:rPr>
          <w:rFonts w:ascii="Arial" w:cs="Arial" w:eastAsia="Arial" w:hAnsi="Arial"/>
          <w:sz w:val="18"/>
          <w:szCs w:val="18"/>
          <w:color w:val="auto"/>
        </w:rPr>
      </w:pPr>
    </w:p>
    <w:p>
      <w:pPr>
        <w:ind w:left="200" w:right="120" w:firstLine="444"/>
        <w:spacing w:after="0" w:line="268" w:lineRule="auto"/>
        <w:tabs>
          <w:tab w:leader="none" w:pos="85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statutory Liens arising in the ordinary course of business with respect to obligations which are not delinquent or are being contested in good faith, if reserves or other appropriate provisions, if any, as shall be required by GAAP shall have been made therefor;</w:t>
      </w:r>
    </w:p>
    <w:p>
      <w:pPr>
        <w:spacing w:after="0" w:line="131" w:lineRule="exact"/>
        <w:rPr>
          <w:rFonts w:ascii="Arial" w:cs="Arial" w:eastAsia="Arial" w:hAnsi="Arial"/>
          <w:sz w:val="18"/>
          <w:szCs w:val="18"/>
          <w:color w:val="auto"/>
        </w:rPr>
      </w:pPr>
    </w:p>
    <w:p>
      <w:pPr>
        <w:ind w:left="200" w:firstLine="444"/>
        <w:spacing w:after="0" w:line="268" w:lineRule="auto"/>
        <w:tabs>
          <w:tab w:leader="none" w:pos="85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Liens consisting of pledges or deposits to secure obligations under workers’ compensation laws or similar legislation, including Liens of judgments thereunder which are not currently dischargeable;</w:t>
      </w:r>
    </w:p>
    <w:p>
      <w:pPr>
        <w:spacing w:after="0" w:line="131" w:lineRule="exact"/>
        <w:rPr>
          <w:rFonts w:ascii="Arial" w:cs="Arial" w:eastAsia="Arial" w:hAnsi="Arial"/>
          <w:sz w:val="18"/>
          <w:szCs w:val="18"/>
          <w:color w:val="auto"/>
        </w:rPr>
      </w:pPr>
    </w:p>
    <w:p>
      <w:pPr>
        <w:ind w:left="200" w:right="40" w:firstLine="444"/>
        <w:spacing w:after="0" w:line="259" w:lineRule="auto"/>
        <w:tabs>
          <w:tab w:leader="none" w:pos="889"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Liens consisting of pledges or deposits of Property to secure performance in connection with operating leases made in the ordinary course of business to which such Obligor is a party as lessee, provided the aggregate value of all such pledges and deposits in connection with any such lease does not at any time exceed 16 2/3% of the annual fixed rentals payable under such lease;</w:t>
      </w:r>
    </w:p>
    <w:p>
      <w:pPr>
        <w:spacing w:after="0" w:line="140" w:lineRule="exact"/>
        <w:rPr>
          <w:rFonts w:ascii="Arial" w:cs="Arial" w:eastAsia="Arial" w:hAnsi="Arial"/>
          <w:sz w:val="18"/>
          <w:szCs w:val="18"/>
          <w:color w:val="auto"/>
        </w:rPr>
      </w:pPr>
    </w:p>
    <w:p>
      <w:pPr>
        <w:ind w:left="860" w:hanging="216"/>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such Obligor’s statutory obligations in the ordinary course of our business;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firstLine="444"/>
        <w:spacing w:after="0" w:line="268" w:lineRule="auto"/>
        <w:tabs>
          <w:tab w:leader="none" w:pos="938"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(or in lieu of) surety, appeal or customs bonds in proceedings to which such Obligor is a party in the ordinary course of its business, but not in excess of $25,000,000;</w:t>
      </w:r>
    </w:p>
    <w:p>
      <w:pPr>
        <w:spacing w:after="0" w:line="131" w:lineRule="exact"/>
        <w:rPr>
          <w:rFonts w:ascii="Arial" w:cs="Arial" w:eastAsia="Arial" w:hAnsi="Arial"/>
          <w:sz w:val="18"/>
          <w:szCs w:val="18"/>
          <w:color w:val="auto"/>
        </w:rPr>
      </w:pPr>
    </w:p>
    <w:p>
      <w:pPr>
        <w:ind w:left="900" w:hanging="25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Liens on “margin stock” (as defined in Regulation U of the Board of Governors of the Federal Reserve System);</w:t>
      </w:r>
    </w:p>
    <w:p>
      <w:pPr>
        <w:spacing w:after="0" w:line="171" w:lineRule="exact"/>
        <w:rPr>
          <w:rFonts w:ascii="Arial" w:cs="Arial" w:eastAsia="Arial" w:hAnsi="Arial"/>
          <w:sz w:val="18"/>
          <w:szCs w:val="18"/>
          <w:color w:val="auto"/>
        </w:rPr>
      </w:pPr>
    </w:p>
    <w:p>
      <w:pPr>
        <w:ind w:left="200" w:right="140" w:firstLine="444"/>
        <w:spacing w:after="0" w:line="268" w:lineRule="auto"/>
        <w:tabs>
          <w:tab w:leader="none" w:pos="889"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Liens permitted under sale and lease-back transactions, and any renewals or extensions thereof, so long as the Indebtedness secured thereby does not exceed $300,000,000 in the aggregate;</w:t>
      </w:r>
    </w:p>
    <w:p>
      <w:pPr>
        <w:spacing w:after="0" w:line="131" w:lineRule="exact"/>
        <w:rPr>
          <w:rFonts w:ascii="Arial" w:cs="Arial" w:eastAsia="Arial" w:hAnsi="Arial"/>
          <w:sz w:val="18"/>
          <w:szCs w:val="18"/>
          <w:color w:val="auto"/>
        </w:rPr>
      </w:pPr>
    </w:p>
    <w:p>
      <w:pPr>
        <w:ind w:left="200" w:right="240" w:firstLine="444"/>
        <w:spacing w:after="0" w:line="268" w:lineRule="auto"/>
        <w:tabs>
          <w:tab w:leader="none" w:pos="889"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Liens arising in connection with asset securitization transactions, so long as the aggregate outstanding principal amount of the obligations of all Obligors secured thereby does not exceed $300,000,000 at any one time;</w:t>
      </w:r>
    </w:p>
    <w:p>
      <w:pPr>
        <w:spacing w:after="0" w:line="131" w:lineRule="exact"/>
        <w:rPr>
          <w:rFonts w:ascii="Arial" w:cs="Arial" w:eastAsia="Arial" w:hAnsi="Arial"/>
          <w:sz w:val="18"/>
          <w:szCs w:val="18"/>
          <w:color w:val="auto"/>
        </w:rPr>
      </w:pPr>
    </w:p>
    <w:p>
      <w:pPr>
        <w:ind w:left="200" w:right="180" w:firstLine="444"/>
        <w:spacing w:after="0" w:line="370" w:lineRule="auto"/>
        <w:tabs>
          <w:tab w:leader="none" w:pos="889" w:val="left"/>
        </w:tabs>
        <w:numPr>
          <w:ilvl w:val="0"/>
          <w:numId w:val="13"/>
        </w:numPr>
        <w:rPr>
          <w:rFonts w:ascii="Arial" w:cs="Arial" w:eastAsia="Arial" w:hAnsi="Arial"/>
          <w:sz w:val="15"/>
          <w:szCs w:val="15"/>
          <w:color w:val="auto"/>
        </w:rPr>
      </w:pPr>
      <w:r>
        <w:rPr>
          <w:rFonts w:ascii="Arial" w:cs="Arial" w:eastAsia="Arial" w:hAnsi="Arial"/>
          <w:sz w:val="15"/>
          <w:szCs w:val="15"/>
          <w:color w:val="auto"/>
        </w:rPr>
        <w:t>Liens securing any account or trade receivable factoring, securitization, sale or financing facility, the obligations of which are non-recourse (except with respect to customary representations, warranties, covenants and indemnities made in connection with such facility) to the applicable Obligor;</w:t>
      </w:r>
    </w:p>
    <w:p>
      <w:pPr>
        <w:spacing w:after="0" w:line="62" w:lineRule="exact"/>
        <w:rPr>
          <w:rFonts w:ascii="Arial" w:cs="Arial" w:eastAsia="Arial" w:hAnsi="Arial"/>
          <w:sz w:val="15"/>
          <w:szCs w:val="15"/>
          <w:color w:val="auto"/>
        </w:rPr>
      </w:pPr>
    </w:p>
    <w:p>
      <w:pPr>
        <w:ind w:left="200" w:right="200" w:firstLine="444"/>
        <w:spacing w:after="0" w:line="306" w:lineRule="auto"/>
        <w:tabs>
          <w:tab w:leader="none" w:pos="8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Liens (i) of a collection bank on the items in the course of collection, (ii) in favor of a banking or other financial institution arising as a matter of law encumbering deposits or other funds maintained with a financial institution (including the right of set off) and which are customary in the banking industry and (iii) attaching to other prepayments, deposits or earnest money in the ordinary course of business; and</w:t>
      </w:r>
    </w:p>
    <w:p>
      <w:pPr>
        <w:spacing w:after="0" w:line="106" w:lineRule="exact"/>
        <w:rPr>
          <w:rFonts w:ascii="Arial" w:cs="Arial" w:eastAsia="Arial" w:hAnsi="Arial"/>
          <w:sz w:val="16"/>
          <w:szCs w:val="16"/>
          <w:color w:val="auto"/>
        </w:rPr>
      </w:pPr>
    </w:p>
    <w:p>
      <w:pPr>
        <w:ind w:left="880" w:hanging="236"/>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Take-or-pay obligations arising in the ordinary course of business.</w:t>
      </w:r>
    </w:p>
    <w:p>
      <w:pPr>
        <w:spacing w:after="0" w:line="171" w:lineRule="exact"/>
        <w:rPr>
          <w:sz w:val="20"/>
          <w:szCs w:val="20"/>
          <w:color w:val="auto"/>
        </w:rPr>
      </w:pPr>
    </w:p>
    <w:p>
      <w:pPr>
        <w:ind w:left="200" w:right="980" w:firstLine="441"/>
        <w:spacing w:after="0" w:line="332" w:lineRule="auto"/>
        <w:rPr>
          <w:sz w:val="20"/>
          <w:szCs w:val="20"/>
          <w:color w:val="auto"/>
        </w:rPr>
      </w:pPr>
      <w:r>
        <w:rPr>
          <w:rFonts w:ascii="Arial" w:cs="Arial" w:eastAsia="Arial" w:hAnsi="Arial"/>
          <w:sz w:val="16"/>
          <w:szCs w:val="16"/>
          <w:color w:val="auto"/>
        </w:rPr>
        <w:t>“Person” means any individual, corporation, limited liability company, partnership, joint venture, association, joint stock company, trust, unincorporated organization, or any other entity, including any government or any agency or political subdivision thereof.</w:t>
      </w:r>
    </w:p>
    <w:p>
      <w:pPr>
        <w:spacing w:after="0" w:line="85" w:lineRule="exact"/>
        <w:rPr>
          <w:sz w:val="20"/>
          <w:szCs w:val="20"/>
          <w:color w:val="auto"/>
        </w:rPr>
      </w:pPr>
    </w:p>
    <w:p>
      <w:pPr>
        <w:ind w:left="200" w:right="400" w:firstLine="441"/>
        <w:spacing w:after="0" w:line="268" w:lineRule="auto"/>
        <w:rPr>
          <w:sz w:val="20"/>
          <w:szCs w:val="20"/>
          <w:color w:val="auto"/>
        </w:rPr>
      </w:pPr>
      <w:r>
        <w:rPr>
          <w:rFonts w:ascii="Arial" w:cs="Arial" w:eastAsia="Arial" w:hAnsi="Arial"/>
          <w:sz w:val="18"/>
          <w:szCs w:val="18"/>
          <w:color w:val="auto"/>
        </w:rPr>
        <w:t>“Property” means with respect to any Person any property or asset, whether real, personal or mixed, or tangible or intangible, including shares of capital stock.</w:t>
      </w:r>
    </w:p>
    <w:p>
      <w:pPr>
        <w:spacing w:after="0" w:line="132" w:lineRule="exact"/>
        <w:rPr>
          <w:sz w:val="20"/>
          <w:szCs w:val="20"/>
          <w:color w:val="auto"/>
        </w:rPr>
      </w:pPr>
    </w:p>
    <w:p>
      <w:pPr>
        <w:ind w:left="200" w:right="340" w:firstLine="441"/>
        <w:spacing w:after="0" w:line="256" w:lineRule="auto"/>
        <w:rPr>
          <w:sz w:val="20"/>
          <w:szCs w:val="20"/>
          <w:color w:val="auto"/>
        </w:rPr>
      </w:pPr>
      <w:r>
        <w:rPr>
          <w:rFonts w:ascii="Arial" w:cs="Arial" w:eastAsia="Arial" w:hAnsi="Arial"/>
          <w:sz w:val="18"/>
          <w:szCs w:val="18"/>
          <w:color w:val="auto"/>
        </w:rPr>
        <w:t>“Subsidiary” of any specified Person means any corporation, limited liability company, limited partnership,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Terms of the Senior Debt Securities</w:t>
      </w:r>
    </w:p>
    <w:p>
      <w:pPr>
        <w:spacing w:after="0" w:line="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Guarantees</w:t>
      </w:r>
    </w:p>
    <w:p>
      <w:pPr>
        <w:spacing w:after="0" w:line="90" w:lineRule="exact"/>
        <w:rPr>
          <w:sz w:val="20"/>
          <w:szCs w:val="20"/>
          <w:color w:val="auto"/>
        </w:rPr>
      </w:pPr>
    </w:p>
    <w:p>
      <w:pPr>
        <w:ind w:left="200" w:right="100" w:firstLine="441"/>
        <w:spacing w:after="0" w:line="370" w:lineRule="auto"/>
        <w:rPr>
          <w:sz w:val="20"/>
          <w:szCs w:val="20"/>
          <w:color w:val="auto"/>
        </w:rPr>
      </w:pPr>
      <w:r>
        <w:rPr>
          <w:rFonts w:ascii="Arial" w:cs="Arial" w:eastAsia="Arial" w:hAnsi="Arial"/>
          <w:sz w:val="15"/>
          <w:szCs w:val="15"/>
          <w:color w:val="auto"/>
        </w:rPr>
        <w:t>Our obligations under the senior debt securities, including the payment of principal, premium, if any, and interest, will be fully and unconditionally guaranteed by each of the Guarantors. The Guarantees will rank equally with all other general unsecured and unsubordinated obligations of the Guarantors.</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90" w:lineRule="exact"/>
        <w:rPr>
          <w:sz w:val="20"/>
          <w:szCs w:val="20"/>
          <w:color w:val="auto"/>
        </w:rPr>
      </w:pPr>
    </w:p>
    <w:p>
      <w:pPr>
        <w:ind w:left="1180" w:right="80" w:hanging="436"/>
        <w:spacing w:after="0" w:line="268" w:lineRule="auto"/>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50" w:lineRule="exact"/>
        <w:rPr>
          <w:rFonts w:ascii="Arial" w:cs="Arial" w:eastAsia="Arial" w:hAnsi="Arial"/>
          <w:sz w:val="18"/>
          <w:szCs w:val="18"/>
          <w:color w:val="auto"/>
        </w:rPr>
      </w:pPr>
    </w:p>
    <w:p>
      <w:pPr>
        <w:ind w:left="1180" w:hanging="436"/>
        <w:spacing w:after="0"/>
        <w:tabs>
          <w:tab w:leader="none" w:pos="11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Guarantor.</w:t>
      </w:r>
    </w:p>
    <w:p>
      <w:pPr>
        <w:spacing w:after="0" w:line="1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90"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We and the Guarantors have agreed to some restrictions on our activities for the benefit of holders of all series of senior debt securities issued under the senior indenture. The restrictive covenants summarized below will apply, unless the covenants are waived or amended, so long as any of the senior debt securities are outstanding.</w:t>
      </w:r>
    </w:p>
    <w:p>
      <w:pPr>
        <w:spacing w:after="0" w:line="140" w:lineRule="exact"/>
        <w:rPr>
          <w:sz w:val="20"/>
          <w:szCs w:val="20"/>
          <w:color w:val="auto"/>
        </w:rPr>
      </w:pPr>
    </w:p>
    <w:p>
      <w:pPr>
        <w:ind w:left="200" w:right="300" w:firstLine="441"/>
        <w:spacing w:after="0" w:line="259" w:lineRule="auto"/>
        <w:rPr>
          <w:sz w:val="20"/>
          <w:szCs w:val="20"/>
          <w:color w:val="auto"/>
        </w:rPr>
      </w:pPr>
      <w:r>
        <w:rPr>
          <w:rFonts w:ascii="Arial" w:cs="Arial" w:eastAsia="Arial" w:hAnsi="Arial"/>
          <w:sz w:val="18"/>
          <w:szCs w:val="18"/>
          <w:color w:val="auto"/>
        </w:rPr>
        <w:t>The senior indenture does not contain any financial covenants other than those summarized below and does not restrict us or our subsidiaries from paying dividends or incurring additional debt. In addition, the senior indenture will not protect holders of notes issued under it in the event of a highly leveraged transaction or a change in control.</w:t>
      </w:r>
    </w:p>
    <w:p>
      <w:pPr>
        <w:spacing w:after="0" w:line="140" w:lineRule="exact"/>
        <w:rPr>
          <w:sz w:val="20"/>
          <w:szCs w:val="20"/>
          <w:color w:val="auto"/>
        </w:rPr>
      </w:pPr>
    </w:p>
    <w:p>
      <w:pPr>
        <w:ind w:left="200" w:right="100" w:firstLine="441"/>
        <w:spacing w:after="0" w:line="256" w:lineRule="auto"/>
        <w:rPr>
          <w:sz w:val="20"/>
          <w:szCs w:val="20"/>
          <w:color w:val="auto"/>
        </w:rPr>
      </w:pPr>
      <w:r>
        <w:rPr>
          <w:rFonts w:ascii="Arial" w:cs="Arial" w:eastAsia="Arial" w:hAnsi="Arial"/>
          <w:sz w:val="18"/>
          <w:szCs w:val="18"/>
          <w:color w:val="auto"/>
        </w:rPr>
        <w:t>Limitation on Liens Securing Indebtedness. With respect to the senior debt securities of each series, each Obligor will covenant under the senior indenture not to create or incur any Lien on any of its Properties, whether owned at the time the senior indenture is executed or acquired afterward, in order to secure any of its Indebtedness, without effectively providing that the senior debt securities of such series shall be equally and ratably secured until such time as such Indebtedness is no longer secured by such Lien, except:</w:t>
      </w:r>
    </w:p>
    <w:p>
      <w:pPr>
        <w:spacing w:after="0" w:line="62" w:lineRule="exact"/>
        <w:rPr>
          <w:sz w:val="20"/>
          <w:szCs w:val="20"/>
          <w:color w:val="auto"/>
        </w:rPr>
      </w:pPr>
    </w:p>
    <w:p>
      <w:pPr>
        <w:ind w:left="1180" w:hanging="436"/>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Liens existing as of the date of initial issuance of the senior debt securities of such series;</w:t>
      </w:r>
    </w:p>
    <w:p>
      <w:pPr>
        <w:spacing w:after="0" w:line="90" w:lineRule="exact"/>
        <w:rPr>
          <w:rFonts w:ascii="Arial" w:cs="Arial" w:eastAsia="Arial" w:hAnsi="Arial"/>
          <w:sz w:val="18"/>
          <w:szCs w:val="18"/>
          <w:color w:val="auto"/>
        </w:rPr>
      </w:pPr>
    </w:p>
    <w:p>
      <w:pPr>
        <w:ind w:left="1180" w:hanging="436"/>
        <w:spacing w:after="0" w:line="268" w:lineRule="auto"/>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Liens granted after the date of initial issuance of the senior debt securities of such series, created in favor of the registered holders of the senior debt securities of such series;</w:t>
      </w:r>
    </w:p>
    <w:p>
      <w:pPr>
        <w:spacing w:after="0" w:line="50" w:lineRule="exact"/>
        <w:rPr>
          <w:rFonts w:ascii="Arial" w:cs="Arial" w:eastAsia="Arial" w:hAnsi="Arial"/>
          <w:sz w:val="18"/>
          <w:szCs w:val="18"/>
          <w:color w:val="auto"/>
        </w:rPr>
      </w:pPr>
    </w:p>
    <w:p>
      <w:pPr>
        <w:ind w:left="1180" w:right="180" w:hanging="436"/>
        <w:spacing w:after="0" w:line="255" w:lineRule="auto"/>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Liens securing such Obligor’s Indebtedness which are incurred to extend, renew or refinance Indebtedness which is secured by Liens permitted to be incurred under the lien restriction covenant of the senior indenture, so long as such Liens are limited to all or part of substantially the same Property which secured the Liens extended, renewed or replaced and the amount of Indebtedness secured is not increased (other than by the amount equal to any costs and expenses (including any premiums, fees or penalties) incurred in connection with any extension, renewal or refinancing); and</w:t>
      </w:r>
    </w:p>
    <w:p>
      <w:pPr>
        <w:spacing w:after="0" w:line="61" w:lineRule="exact"/>
        <w:rPr>
          <w:rFonts w:ascii="Arial" w:cs="Arial" w:eastAsia="Arial" w:hAnsi="Arial"/>
          <w:sz w:val="18"/>
          <w:szCs w:val="18"/>
          <w:color w:val="auto"/>
        </w:rPr>
      </w:pPr>
    </w:p>
    <w:p>
      <w:pPr>
        <w:ind w:left="1180" w:hanging="436"/>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171"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5"/>
          <w:szCs w:val="15"/>
          <w:color w:val="auto"/>
        </w:rPr>
        <w:t>Notwithstanding the restrictions above, any Obligor may, without securing the senior debt securities of any series, create or incur Liens which would otherwise be subject to the restrictions set forth above, if after giving effect to those Liens, the Obligor’s Aggregate Debt together with the Aggregate Debt of each other Obligor does not exceed the greater of (i) 15% of Comcast’s Consolidated Net Worth calculated as of the date of the creation or incurrence of the Lien and (ii) 15% of Comcast’s Consolidated Net Worth calculated as of the date of initial issuance of the senior debt securities of such series; provided that Liens created or incurred pursuant to the terms described in this paragraph may be extended, renewed or replaced so long as the amount of Indebtedness secured by such Liens is not increased (other than by the amount equal to any costs and expenses (including any premiums, fees or penalties) incurred in connection therewith) and such refinancing Indebtedness, if then outstanding, is included in subsequent calculations of Aggregate Debt of such Obligor.</w:t>
      </w:r>
    </w:p>
    <w:p>
      <w:pPr>
        <w:spacing w:after="0" w:line="105" w:lineRule="exact"/>
        <w:rPr>
          <w:sz w:val="20"/>
          <w:szCs w:val="20"/>
          <w:color w:val="auto"/>
        </w:rPr>
      </w:pPr>
    </w:p>
    <w:p>
      <w:pPr>
        <w:jc w:val="both"/>
        <w:ind w:left="200" w:right="60" w:firstLine="441"/>
        <w:spacing w:after="0" w:line="259" w:lineRule="auto"/>
        <w:rPr>
          <w:sz w:val="20"/>
          <w:szCs w:val="20"/>
          <w:color w:val="auto"/>
        </w:rPr>
      </w:pPr>
      <w:r>
        <w:rPr>
          <w:rFonts w:ascii="Arial" w:cs="Arial" w:eastAsia="Arial" w:hAnsi="Arial"/>
          <w:sz w:val="18"/>
          <w:szCs w:val="18"/>
          <w:color w:val="auto"/>
        </w:rPr>
        <w:t>Limitation on Sale and Lease-Back Transactions. With respect to the senior debt securities of each series, each Obligor will covenant under the senior indenture not to enter into any sale and lease-back transaction for the sale and leasing back of any Property, whether owned at the time the senior indenture is executed or acquired afterward, unless:</w:t>
      </w:r>
    </w:p>
    <w:p>
      <w:pPr>
        <w:spacing w:after="0" w:line="59" w:lineRule="exact"/>
        <w:rPr>
          <w:sz w:val="20"/>
          <w:szCs w:val="20"/>
          <w:color w:val="auto"/>
        </w:rPr>
      </w:pPr>
    </w:p>
    <w:p>
      <w:pPr>
        <w:ind w:left="1180" w:hanging="436"/>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such transaction was entered into prior to the date of the initial issuance of the senior debt securities of such series;</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such transaction was for the sale and leasing back to such Obligor of any Property by one of its Subsidiaries;</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such transaction involves a lease for less than three years;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80" w:right="160" w:hanging="436"/>
        <w:spacing w:after="0" w:line="306" w:lineRule="auto"/>
        <w:tabs>
          <w:tab w:leader="none" w:pos="11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such Obligor would be entitled to incur Indebtedness secured by a mortgage on the Property to be leased in an amount equal to the Attributable Liens with respect to such sale and lease-back transaction without equally and ratably securing the senior debt securities of such series pursuant to the first paragraph of “—Limitation on Liens Securing Indebtedness” above; or</w:t>
      </w:r>
    </w:p>
    <w:p>
      <w:pPr>
        <w:spacing w:after="0" w:line="25" w:lineRule="exact"/>
        <w:rPr>
          <w:rFonts w:ascii="Arial" w:cs="Arial" w:eastAsia="Arial" w:hAnsi="Arial"/>
          <w:sz w:val="16"/>
          <w:szCs w:val="16"/>
          <w:color w:val="auto"/>
        </w:rPr>
      </w:pPr>
    </w:p>
    <w:p>
      <w:pPr>
        <w:ind w:left="1180" w:right="120" w:hanging="436"/>
        <w:spacing w:after="0" w:line="256" w:lineRule="auto"/>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such Obligor applies an amount equal to the fair value of the Property sold to the purchase of Property or to the retirement of its long-term Indebtedness within 365 days of the effective date of any such sale and lease-back transaction. In lieu of applying such amount to such retirement, such Obligor may deliver senior debt securities to the trustee therefor for cancellation, such senior debt securities to be credited at the cost thereof to the Obligor.</w:t>
      </w:r>
    </w:p>
    <w:p>
      <w:pPr>
        <w:spacing w:after="0" w:line="143"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Notwithstanding the previous paragraph (including the bulleted list), any Obligor may enter into any sale and lease-back transaction which would otherwise be subject to the foregoing restrictions with respect to the senior debt securities of any series if after giving effect thereto and at the time of determination, its Aggregate Debt together with the Aggregate Debt of all other Obligors does not exceed the greater of (i) 15% of Comcast’s Consolidated Net Worth calculated as of the closing date of the sale and lease-back transaction and (ii) 15% of Comcast’s Consolidated Net Worth calculated as of the date of initial issuance of the senior debt securities of such series.</w:t>
      </w:r>
    </w:p>
    <w:p>
      <w:pPr>
        <w:spacing w:after="0" w:line="143" w:lineRule="exact"/>
        <w:rPr>
          <w:sz w:val="20"/>
          <w:szCs w:val="20"/>
          <w:color w:val="auto"/>
        </w:rPr>
      </w:pPr>
    </w:p>
    <w:p>
      <w:pPr>
        <w:ind w:left="200" w:right="400" w:firstLine="441"/>
        <w:spacing w:after="0" w:line="306" w:lineRule="auto"/>
        <w:rPr>
          <w:sz w:val="20"/>
          <w:szCs w:val="20"/>
          <w:color w:val="auto"/>
        </w:rPr>
      </w:pPr>
      <w:r>
        <w:rPr>
          <w:rFonts w:ascii="Arial" w:cs="Arial" w:eastAsia="Arial" w:hAnsi="Arial"/>
          <w:sz w:val="16"/>
          <w:szCs w:val="16"/>
          <w:i w:val="1"/>
          <w:iCs w:val="1"/>
          <w:color w:val="auto"/>
        </w:rPr>
        <w:t>Consolidation, Merger and Sale of Assets</w:t>
      </w:r>
      <w:r>
        <w:rPr>
          <w:rFonts w:ascii="Arial" w:cs="Arial" w:eastAsia="Arial" w:hAnsi="Arial"/>
          <w:sz w:val="16"/>
          <w:szCs w:val="16"/>
          <w:color w:val="auto"/>
        </w:rPr>
        <w:t>. We will not consolidate or combine with or merge with or into or, directly or indirectly, sell, assign,</w:t>
      </w:r>
      <w:r>
        <w:rPr>
          <w:rFonts w:ascii="Arial" w:cs="Arial" w:eastAsia="Arial" w:hAnsi="Arial"/>
          <w:sz w:val="16"/>
          <w:szCs w:val="16"/>
          <w:i w:val="1"/>
          <w:iCs w:val="1"/>
          <w:color w:val="auto"/>
        </w:rPr>
        <w:t xml:space="preserve"> </w:t>
      </w:r>
      <w:r>
        <w:rPr>
          <w:rFonts w:ascii="Arial" w:cs="Arial" w:eastAsia="Arial" w:hAnsi="Arial"/>
          <w:sz w:val="16"/>
          <w:szCs w:val="16"/>
          <w:color w:val="auto"/>
        </w:rPr>
        <w:t>convey, lease, transfer or otherwise dispose of all or substantially all of our assets to any Person or Persons (other than a transfer or other disposition of assets to any of our wholly owned Subsidiaries), in a single transaction or through a series of transactions, unless:</w:t>
      </w:r>
    </w:p>
    <w:p>
      <w:pPr>
        <w:spacing w:after="0" w:line="26" w:lineRule="exact"/>
        <w:rPr>
          <w:sz w:val="20"/>
          <w:szCs w:val="20"/>
          <w:color w:val="auto"/>
        </w:rPr>
      </w:pPr>
    </w:p>
    <w:p>
      <w:pPr>
        <w:ind w:left="1180" w:right="100" w:hanging="436"/>
        <w:spacing w:after="0" w:line="259" w:lineRule="auto"/>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shall be the continuing Person or, if we are not the continuing Person, the resulting, surviving or transferee Person (the “surviving entity”) is a company or limited liability company organized (or formed in the case of a limited liability company) and existing under the laws of the United States or any State or territory thereof or the District of Columbia;</w:t>
      </w:r>
    </w:p>
    <w:p>
      <w:pPr>
        <w:spacing w:after="0" w:line="59" w:lineRule="exact"/>
        <w:rPr>
          <w:rFonts w:ascii="Arial" w:cs="Arial" w:eastAsia="Arial" w:hAnsi="Arial"/>
          <w:sz w:val="18"/>
          <w:szCs w:val="18"/>
          <w:color w:val="auto"/>
        </w:rPr>
      </w:pPr>
    </w:p>
    <w:p>
      <w:pPr>
        <w:ind w:left="1180" w:right="780" w:hanging="436"/>
        <w:spacing w:after="0" w:line="268" w:lineRule="auto"/>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surviving entity will expressly assume all of our obligations under the senior debt securities and the indenture and will execute a supplemental indenture, in a form satisfactory to the trustee, which will be delivered to the trustee;</w:t>
      </w:r>
    </w:p>
    <w:p>
      <w:pPr>
        <w:spacing w:after="0" w:line="50" w:lineRule="exact"/>
        <w:rPr>
          <w:rFonts w:ascii="Arial" w:cs="Arial" w:eastAsia="Arial" w:hAnsi="Arial"/>
          <w:sz w:val="18"/>
          <w:szCs w:val="18"/>
          <w:color w:val="auto"/>
        </w:rPr>
      </w:pPr>
    </w:p>
    <w:p>
      <w:pPr>
        <w:ind w:left="1180" w:right="300" w:hanging="436"/>
        <w:spacing w:after="0" w:line="268" w:lineRule="auto"/>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or series of transactions on a pro forma basis, no default has occurred and is continuing; and</w:t>
      </w:r>
    </w:p>
    <w:p>
      <w:pPr>
        <w:spacing w:after="0" w:line="50" w:lineRule="exact"/>
        <w:rPr>
          <w:rFonts w:ascii="Arial" w:cs="Arial" w:eastAsia="Arial" w:hAnsi="Arial"/>
          <w:sz w:val="18"/>
          <w:szCs w:val="18"/>
          <w:color w:val="auto"/>
        </w:rPr>
      </w:pPr>
    </w:p>
    <w:p>
      <w:pPr>
        <w:jc w:val="both"/>
        <w:ind w:left="1180" w:right="140" w:hanging="436"/>
        <w:spacing w:after="0" w:line="259" w:lineRule="auto"/>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or the surviving entity will have delivered to the trustee an officer’s certificate and opinion of counsel stating that the transaction or series of transactions and a supplemental indenture, if any, complies with this covenant and that all conditions precedent in the indenture relating to the transaction or series of transactions have been satisfied.</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restrictions in the third bullet above shall not be applicable to:</w:t>
      </w:r>
    </w:p>
    <w:p>
      <w:pPr>
        <w:spacing w:after="0" w:line="90" w:lineRule="exact"/>
        <w:rPr>
          <w:sz w:val="20"/>
          <w:szCs w:val="20"/>
          <w:color w:val="auto"/>
        </w:rPr>
      </w:pPr>
    </w:p>
    <w:p>
      <w:pPr>
        <w:ind w:left="1180" w:right="360" w:hanging="436"/>
        <w:spacing w:after="0" w:line="268" w:lineRule="auto"/>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merger or consolidation of us with an affiliate if our board of directors, determines in good faith that the purpose of such transaction is principally to change our state of incorporation or convert our form of organization to another form; or</w:t>
      </w:r>
    </w:p>
    <w:p>
      <w:pPr>
        <w:spacing w:after="0" w:line="50" w:lineRule="exact"/>
        <w:rPr>
          <w:rFonts w:ascii="Arial" w:cs="Arial" w:eastAsia="Arial" w:hAnsi="Arial"/>
          <w:sz w:val="18"/>
          <w:szCs w:val="18"/>
          <w:color w:val="auto"/>
        </w:rPr>
      </w:pPr>
    </w:p>
    <w:p>
      <w:pPr>
        <w:ind w:left="1180" w:hanging="436"/>
        <w:spacing w:after="0" w:line="259" w:lineRule="auto"/>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merger of us with or into a single direct or indirect wholly owned subsidiary pursuant to Section 1924(b)(4) (or any successor provision) of the Business Corporation Law of the State of Pennsylvania or Section 251(g) (or any successor provision) of the General Corporation Law of the State of Delaware (or similar provision of our state of incorporation).</w:t>
      </w:r>
    </w:p>
    <w:p>
      <w:pPr>
        <w:spacing w:after="0" w:line="140"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If any consolidation or merger or any sale, assignment, conveyance, lease, transfer or other disposition of all or substantially all of our assets occurs in accordance with the indenture, the successor person will succeed to, and be substituted for, and may exercise every right and power of ours under the indenture with the same effect</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420"/>
        <w:spacing w:after="0" w:line="332" w:lineRule="auto"/>
        <w:rPr>
          <w:sz w:val="20"/>
          <w:szCs w:val="20"/>
          <w:color w:val="auto"/>
        </w:rPr>
      </w:pPr>
      <w:r>
        <w:rPr>
          <w:rFonts w:ascii="Arial" w:cs="Arial" w:eastAsia="Arial" w:hAnsi="Arial"/>
          <w:sz w:val="16"/>
          <w:szCs w:val="16"/>
          <w:color w:val="auto"/>
        </w:rPr>
        <w:t>as if such successor person had been named in our place in the indenture. We will (except in the case of a lease) be discharged from all obligations and covenants under the indenture and any debt securities issued thereunder (including the senior debt securities).</w:t>
      </w:r>
    </w:p>
    <w:p>
      <w:pPr>
        <w:spacing w:after="0" w:line="85" w:lineRule="exact"/>
        <w:rPr>
          <w:sz w:val="20"/>
          <w:szCs w:val="20"/>
          <w:color w:val="auto"/>
        </w:rPr>
      </w:pPr>
    </w:p>
    <w:p>
      <w:pPr>
        <w:ind w:left="200" w:right="100" w:firstLine="441"/>
        <w:spacing w:after="0" w:line="306" w:lineRule="auto"/>
        <w:rPr>
          <w:sz w:val="20"/>
          <w:szCs w:val="20"/>
          <w:color w:val="auto"/>
        </w:rPr>
      </w:pPr>
      <w:r>
        <w:rPr>
          <w:rFonts w:ascii="Arial" w:cs="Arial" w:eastAsia="Arial" w:hAnsi="Arial"/>
          <w:sz w:val="16"/>
          <w:szCs w:val="16"/>
          <w:i w:val="1"/>
          <w:iCs w:val="1"/>
          <w:color w:val="auto"/>
        </w:rPr>
        <w:t>Existence</w:t>
      </w:r>
      <w:r>
        <w:rPr>
          <w:rFonts w:ascii="Arial" w:cs="Arial" w:eastAsia="Arial" w:hAnsi="Arial"/>
          <w:sz w:val="16"/>
          <w:szCs w:val="16"/>
          <w:color w:val="auto"/>
        </w:rPr>
        <w:t>. Except as permitted under “—Consolidation, Merger and Sale of Assets,” the indenture requires us to do or cause to be done all things</w:t>
      </w:r>
      <w:r>
        <w:rPr>
          <w:rFonts w:ascii="Arial" w:cs="Arial" w:eastAsia="Arial" w:hAnsi="Arial"/>
          <w:sz w:val="16"/>
          <w:szCs w:val="16"/>
          <w:i w:val="1"/>
          <w:iCs w:val="1"/>
          <w:color w:val="auto"/>
        </w:rPr>
        <w:t xml:space="preserve"> </w:t>
      </w:r>
      <w:r>
        <w:rPr>
          <w:rFonts w:ascii="Arial" w:cs="Arial" w:eastAsia="Arial" w:hAnsi="Arial"/>
          <w:sz w:val="16"/>
          <w:szCs w:val="16"/>
          <w:color w:val="auto"/>
        </w:rPr>
        <w:t>necessary to preserve and keep in full force and effect our existence, rights and franchises; provided, however, that we shall not be required to preserve any right or franchise if we determine that its preservation is no longer desirable in the conduct of business.</w:t>
      </w:r>
    </w:p>
    <w:p>
      <w:pPr>
        <w:spacing w:after="0" w:line="107"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i w:val="1"/>
          <w:iCs w:val="1"/>
          <w:color w:val="auto"/>
        </w:rPr>
        <w:t>Information</w:t>
      </w:r>
      <w:r>
        <w:rPr>
          <w:rFonts w:ascii="Arial" w:cs="Arial" w:eastAsia="Arial" w:hAnsi="Arial"/>
          <w:sz w:val="16"/>
          <w:szCs w:val="16"/>
          <w:color w:val="auto"/>
        </w:rPr>
        <w:t>. We will furnish to the trustee any document or report we are required to file with the SEC pursuant to Section 13 or Section 15(d) of the</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Act within 15 days after such document or report is filed with the SEC; provided that in each case the delivery of materials to the Trustee by electronic means or filing documents pursuant to the SEC’s “EDGAR” system (or any successor electronic filing system) shall be deemed to constitute “filing” with the trustee for purposes of this covenant. Delivery of the reports, information and documents required by this section to be delivered to the trustee is for informational purposes only and the trustee’s receipt of such shall not constitute constructive notice of any information contained therein or determinable from information contained therein.</w:t>
      </w:r>
    </w:p>
    <w:p>
      <w:pPr>
        <w:spacing w:after="0" w:line="20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of the following will constitute an event of default in the senior indenture with respect to the senior debt securities of any series: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 default in paying interest on the senior debt securities of such series when it becomes due and the default continues for a period of 30 days or</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more;</w:t>
      </w:r>
    </w:p>
    <w:p>
      <w:pPr>
        <w:spacing w:after="0" w:line="165" w:lineRule="exact"/>
        <w:rPr>
          <w:sz w:val="20"/>
          <w:szCs w:val="20"/>
          <w:color w:val="auto"/>
        </w:rPr>
      </w:pPr>
    </w:p>
    <w:p>
      <w:pPr>
        <w:ind w:left="900" w:hanging="25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default in paying principal on the senior debt securities of such series when due;</w:t>
      </w:r>
    </w:p>
    <w:p>
      <w:pPr>
        <w:spacing w:after="0" w:line="171" w:lineRule="exact"/>
        <w:rPr>
          <w:rFonts w:ascii="Arial" w:cs="Arial" w:eastAsia="Arial" w:hAnsi="Arial"/>
          <w:sz w:val="18"/>
          <w:szCs w:val="18"/>
          <w:color w:val="auto"/>
        </w:rPr>
      </w:pPr>
    </w:p>
    <w:p>
      <w:pPr>
        <w:jc w:val="both"/>
        <w:ind w:left="200" w:right="260" w:firstLine="444"/>
        <w:spacing w:after="0" w:line="298" w:lineRule="auto"/>
        <w:tabs>
          <w:tab w:leader="none" w:pos="879" w:val="left"/>
        </w:tabs>
        <w:numPr>
          <w:ilvl w:val="0"/>
          <w:numId w:val="20"/>
        </w:numPr>
        <w:rPr>
          <w:rFonts w:ascii="Arial" w:cs="Arial" w:eastAsia="Arial" w:hAnsi="Arial"/>
          <w:sz w:val="16"/>
          <w:szCs w:val="16"/>
          <w:color w:val="auto"/>
        </w:rPr>
      </w:pPr>
      <w:r>
        <w:rPr>
          <w:rFonts w:ascii="Arial" w:cs="Arial" w:eastAsia="Arial" w:hAnsi="Arial"/>
          <w:sz w:val="16"/>
          <w:szCs w:val="16"/>
          <w:color w:val="auto"/>
        </w:rPr>
        <w:t>default by any Obligor in the performance, or breach, of any covenant in the senior indenture (other than defaults specified in clause (a) or (b) above) and the default or breach continues for a period of 90 days or more after we receive written notice from the trustee or we and the trustee receive notice from the holders of at least 25% in aggregate principal amount of the senior debt securities of all affected series and the debt securities of all other affected series outstanding under the senior indenture (voting together as a single class);</w:t>
      </w:r>
    </w:p>
    <w:p>
      <w:pPr>
        <w:spacing w:after="0" w:line="112" w:lineRule="exact"/>
        <w:rPr>
          <w:rFonts w:ascii="Arial" w:cs="Arial" w:eastAsia="Arial" w:hAnsi="Arial"/>
          <w:sz w:val="16"/>
          <w:szCs w:val="16"/>
          <w:color w:val="auto"/>
        </w:rPr>
      </w:pPr>
    </w:p>
    <w:p>
      <w:pPr>
        <w:ind w:left="900" w:hanging="256"/>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certain events of bankruptcy, insolvency, reorganization, administration or similar proceedings with respect to us or any Obligor have occurred; or</w:t>
      </w:r>
    </w:p>
    <w:p>
      <w:pPr>
        <w:spacing w:after="0" w:line="194" w:lineRule="exact"/>
        <w:rPr>
          <w:rFonts w:ascii="Arial" w:cs="Arial" w:eastAsia="Arial" w:hAnsi="Arial"/>
          <w:sz w:val="16"/>
          <w:szCs w:val="16"/>
          <w:color w:val="auto"/>
        </w:rPr>
      </w:pPr>
    </w:p>
    <w:p>
      <w:pPr>
        <w:ind w:left="880" w:hanging="236"/>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Guarantee shall not be (or shall be claimed by the relevant Guarantor not to be) in full force and effect.</w:t>
      </w:r>
    </w:p>
    <w:p>
      <w:pPr>
        <w:spacing w:after="0" w:line="171" w:lineRule="exact"/>
        <w:rPr>
          <w:sz w:val="20"/>
          <w:szCs w:val="20"/>
          <w:color w:val="auto"/>
        </w:rPr>
      </w:pPr>
    </w:p>
    <w:p>
      <w:pPr>
        <w:ind w:left="200" w:firstLine="441"/>
        <w:spacing w:after="0" w:line="298" w:lineRule="auto"/>
        <w:rPr>
          <w:sz w:val="20"/>
          <w:szCs w:val="20"/>
          <w:color w:val="auto"/>
        </w:rPr>
      </w:pPr>
      <w:r>
        <w:rPr>
          <w:rFonts w:ascii="Arial" w:cs="Arial" w:eastAsia="Arial" w:hAnsi="Arial"/>
          <w:sz w:val="16"/>
          <w:szCs w:val="16"/>
          <w:color w:val="auto"/>
        </w:rPr>
        <w:t>If an event of default (other than an event of default specified in clause (d) above) under the senior indenture occurs and is continuing, then the trustee may and, at the direction of the holders of at least 25% in aggregate principal amount of the senior debt securities of all affected series and the debt securities of all other affected series outstanding under the senior indenture (voting together as a single class), will by written notice, require us to repay immediately the entire principal amount of the outstanding debt securities of each affected series, together with all accrued and unpaid interest.</w:t>
      </w:r>
    </w:p>
    <w:p>
      <w:pPr>
        <w:spacing w:after="0" w:line="113" w:lineRule="exact"/>
        <w:rPr>
          <w:sz w:val="20"/>
          <w:szCs w:val="20"/>
          <w:color w:val="auto"/>
        </w:rPr>
      </w:pPr>
    </w:p>
    <w:p>
      <w:pPr>
        <w:jc w:val="both"/>
        <w:ind w:left="200" w:right="180" w:firstLine="441"/>
        <w:spacing w:after="0" w:line="370" w:lineRule="auto"/>
        <w:rPr>
          <w:sz w:val="20"/>
          <w:szCs w:val="20"/>
          <w:color w:val="auto"/>
        </w:rPr>
      </w:pPr>
      <w:r>
        <w:rPr>
          <w:rFonts w:ascii="Arial" w:cs="Arial" w:eastAsia="Arial" w:hAnsi="Arial"/>
          <w:sz w:val="15"/>
          <w:szCs w:val="15"/>
          <w:color w:val="auto"/>
        </w:rPr>
        <w:t>If an event of default under the senior indenture specified in clause (d) occurs and is continuing, then the entire principal amount of the outstanding senior debt securities will automatically become due immediately and payable without any declaration or other act on the part of the trustee or any holder.</w:t>
      </w:r>
    </w:p>
    <w:p>
      <w:pPr>
        <w:spacing w:after="0" w:line="62" w:lineRule="exact"/>
        <w:rPr>
          <w:sz w:val="20"/>
          <w:szCs w:val="20"/>
          <w:color w:val="auto"/>
        </w:rPr>
      </w:pPr>
    </w:p>
    <w:p>
      <w:pPr>
        <w:ind w:left="200" w:firstLine="441"/>
        <w:spacing w:after="0" w:line="268" w:lineRule="auto"/>
        <w:rPr>
          <w:sz w:val="20"/>
          <w:szCs w:val="20"/>
          <w:color w:val="auto"/>
        </w:rPr>
      </w:pPr>
      <w:r>
        <w:rPr>
          <w:rFonts w:ascii="Arial" w:cs="Arial" w:eastAsia="Arial" w:hAnsi="Arial"/>
          <w:sz w:val="18"/>
          <w:szCs w:val="18"/>
          <w:color w:val="auto"/>
        </w:rPr>
        <w:t>After a declaration of acceleration or any automatic acceleration under clause (d) described above, the holders of a majority in principal amount of the outstanding senior debt securities of any series (each such series</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24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40"/>
        <w:spacing w:after="0" w:line="294" w:lineRule="auto"/>
        <w:rPr>
          <w:sz w:val="20"/>
          <w:szCs w:val="20"/>
          <w:color w:val="auto"/>
        </w:rPr>
      </w:pPr>
      <w:r>
        <w:rPr>
          <w:rFonts w:ascii="Arial" w:cs="Arial" w:eastAsia="Arial" w:hAnsi="Arial"/>
          <w:sz w:val="16"/>
          <w:szCs w:val="16"/>
          <w:color w:val="auto"/>
        </w:rPr>
        <w:t>voting as a separate class) may rescind this accelerated payment requirement with respect to the senior debt securities of such series if all existing events of default with respect to the senior debt securities of such series, except for nonpayment of the principal and interest on the senior debt securities of such series that have become due solely as a result of the accelerated payment requirement, have been cured or waived and if the rescission of acceleration would not conflict with any judgment or decree and if all sums paid or advanced by the trustee under the senior indenture and the reasonable compensation, expenses, disbursements and advances of the trustee and its agents and counsel have been paid.</w:t>
      </w:r>
    </w:p>
    <w:p>
      <w:pPr>
        <w:spacing w:after="0" w:line="116" w:lineRule="exact"/>
        <w:rPr>
          <w:sz w:val="20"/>
          <w:szCs w:val="20"/>
          <w:color w:val="auto"/>
        </w:rPr>
      </w:pPr>
    </w:p>
    <w:p>
      <w:pPr>
        <w:ind w:left="200" w:right="440" w:firstLine="441"/>
        <w:spacing w:after="0" w:line="298" w:lineRule="auto"/>
        <w:rPr>
          <w:sz w:val="20"/>
          <w:szCs w:val="20"/>
          <w:color w:val="auto"/>
        </w:rPr>
      </w:pPr>
      <w:r>
        <w:rPr>
          <w:rFonts w:ascii="Arial" w:cs="Arial" w:eastAsia="Arial" w:hAnsi="Arial"/>
          <w:sz w:val="16"/>
          <w:szCs w:val="16"/>
          <w:color w:val="auto"/>
        </w:rPr>
        <w:t>The holders of a majority in principal amount of the senior debt securities of all affected series and the debt securities of all other affected series outstanding under the senior indenture (voting together as a single class) may, by written notice to us and the trustee, also waive past defaults, except a default in paying principal or interest on any outstanding senior debt security of such series, or in respect of a covenant or a provision that cannot be modified or amended without the consent of all affected holders of the senior debt securities of such series.</w:t>
      </w:r>
    </w:p>
    <w:p>
      <w:pPr>
        <w:spacing w:after="0" w:line="113"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The holders of at least 25% in aggregate principal amount of the senior debt securities of all affected series and the debt securities of all other affected series outstanding under the senior indenture (voting together as a single class) may seek to institute a proceeding only after they have made written request, and offered indemnity reasonably satisfactory to the trustee, to the trustee to institute a proceeding and the trustee has failed to do so within 60 days after it received this request and offer of indemnity. In addition, within this 60-day period the trustee must not have received directions inconsistent with this written request by holders of a majority in principal amount of the senior debt securities of all affected series and the debt securities of all other affected series then outstanding. These limitations do not apply, however, to a suit instituted by a holder of the senior debt securities of any affected series for the enforcement of the payment of principal or interest on or after the due dates for such payment.</w:t>
      </w:r>
    </w:p>
    <w:p>
      <w:pPr>
        <w:spacing w:after="0" w:line="118"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During the existence of an event of default of which a responsible officer of the trustee has actual knowledge or has received written notice from us or any holder of the senior debt securities, the trustee is required to exercise the rights and powers vested in it under the senior indenture, and use the same degree of care and skill in its exercise, as a prudent person would under the circumstances in the conduct of that person’s own affairs. If an event of default has occurred and is continuing, the trustee is not under any obligation to exercise any of its rights or powers at the request or direction of any of the holders unless the holders have offered to the trustee security or indemnity reasonably satisfactory to the trustee. Subject to certain provisions, the holders of a majority in aggregate principal amount of the senior debt securities of all affected series and the debt securities of all other affected series outstanding under the senior indenture (voting together as a single class) have the right to direct the time, method and place of conducting any proceeding for any remedy available to the trustee, or exercising any trust, or power conferred on the trustee.</w:t>
      </w:r>
    </w:p>
    <w:p>
      <w:pPr>
        <w:spacing w:after="0" w:line="118" w:lineRule="exact"/>
        <w:rPr>
          <w:sz w:val="20"/>
          <w:szCs w:val="20"/>
          <w:color w:val="auto"/>
        </w:rPr>
      </w:pPr>
    </w:p>
    <w:p>
      <w:pPr>
        <w:jc w:val="both"/>
        <w:ind w:left="200" w:right="20" w:firstLine="441"/>
        <w:spacing w:after="0" w:line="306" w:lineRule="auto"/>
        <w:rPr>
          <w:sz w:val="20"/>
          <w:szCs w:val="20"/>
          <w:color w:val="auto"/>
        </w:rPr>
      </w:pPr>
      <w:r>
        <w:rPr>
          <w:rFonts w:ascii="Arial" w:cs="Arial" w:eastAsia="Arial" w:hAnsi="Arial"/>
          <w:sz w:val="16"/>
          <w:szCs w:val="16"/>
          <w:color w:val="auto"/>
        </w:rPr>
        <w:t>The trustee will, within 90 days after any default occurs with respect to the senior debt securities of any series, give notice of the default to the holders of the senior debt securities of such series, unless the default was already cured or waived. Unless there is a default in paying principal or interest when due, the trustee can withhold giving notice to the holders if it determines in good faith that the withholding of notice is in the interest of the holders.</w:t>
      </w:r>
    </w:p>
    <w:p>
      <w:pPr>
        <w:spacing w:after="0" w:line="107" w:lineRule="exact"/>
        <w:rPr>
          <w:sz w:val="20"/>
          <w:szCs w:val="20"/>
          <w:color w:val="auto"/>
        </w:rPr>
      </w:pPr>
    </w:p>
    <w:p>
      <w:pPr>
        <w:ind w:left="200" w:right="40" w:firstLine="441"/>
        <w:spacing w:after="0" w:line="268" w:lineRule="auto"/>
        <w:rPr>
          <w:sz w:val="20"/>
          <w:szCs w:val="20"/>
          <w:color w:val="auto"/>
        </w:rPr>
      </w:pPr>
      <w:r>
        <w:rPr>
          <w:rFonts w:ascii="Arial" w:cs="Arial" w:eastAsia="Arial" w:hAnsi="Arial"/>
          <w:sz w:val="18"/>
          <w:szCs w:val="18"/>
          <w:color w:val="auto"/>
        </w:rPr>
        <w:t>We are required to furnish to the trustee an annual statement as to compliance with all conditions and covenants under the senior indenture within 120 days of the end of each fiscal year.</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90"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8"/>
          <w:szCs w:val="18"/>
          <w:color w:val="auto"/>
        </w:rPr>
        <w:t>We may terminate our obligations and the obligations of the Guarantors under the indenture with respect to the senior debt securities of any series and the Guarantees of such series of senior debt securities, when:</w:t>
      </w:r>
    </w:p>
    <w:p>
      <w:pPr>
        <w:spacing w:after="0" w:line="51" w:lineRule="exact"/>
        <w:rPr>
          <w:sz w:val="20"/>
          <w:szCs w:val="20"/>
          <w:color w:val="auto"/>
        </w:rPr>
      </w:pPr>
    </w:p>
    <w:p>
      <w:pPr>
        <w:ind w:left="1180" w:hanging="436"/>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1180" w:right="540" w:hanging="436"/>
        <w:spacing w:after="0" w:line="268" w:lineRule="auto"/>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the senior debt securities of such series that have been authenticated and delivered have been canceled or delivered to the trustee for cancellation; or</w:t>
      </w:r>
    </w:p>
    <w:p>
      <w:pPr>
        <w:spacing w:after="0" w:line="50" w:lineRule="exact"/>
        <w:rPr>
          <w:rFonts w:ascii="Arial" w:cs="Arial" w:eastAsia="Arial" w:hAnsi="Arial"/>
          <w:sz w:val="18"/>
          <w:szCs w:val="18"/>
          <w:color w:val="auto"/>
        </w:rPr>
      </w:pPr>
    </w:p>
    <w:p>
      <w:pPr>
        <w:ind w:left="1180" w:right="60" w:hanging="436"/>
        <w:spacing w:after="0" w:line="294" w:lineRule="auto"/>
        <w:tabs>
          <w:tab w:leader="none" w:pos="11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all the senior debt securities of such series issued that have not been canceled or delivered to the trustee for cancellation have become due and payable, are by their terms to become due and payable at final maturity within one year, or are to be called for redemption within one year, under irrevocable arrangements satisfactory to the trustee for the giving of notice of redemption by such trustee in our name, and at our expense, and we have irrevocably deposited or caused to be deposited with the trustee sufficient funds to pay and discharge the entire indebtedness on the senior debt securities of such series to pay principal and interest;</w:t>
      </w:r>
    </w:p>
    <w:p>
      <w:pPr>
        <w:spacing w:after="0" w:line="34" w:lineRule="exact"/>
        <w:rPr>
          <w:rFonts w:ascii="Arial" w:cs="Arial" w:eastAsia="Arial" w:hAnsi="Arial"/>
          <w:sz w:val="16"/>
          <w:szCs w:val="16"/>
          <w:color w:val="auto"/>
        </w:rPr>
      </w:pPr>
    </w:p>
    <w:p>
      <w:pPr>
        <w:ind w:left="1180" w:right="260" w:hanging="436"/>
        <w:spacing w:after="0" w:line="268" w:lineRule="auto"/>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have paid or caused to be paid all other sums then due and payable under the indenture with respect to the senior debt securities of such series; and</w:t>
      </w:r>
    </w:p>
    <w:p>
      <w:pPr>
        <w:spacing w:after="0" w:line="50" w:lineRule="exact"/>
        <w:rPr>
          <w:rFonts w:ascii="Arial" w:cs="Arial" w:eastAsia="Arial" w:hAnsi="Arial"/>
          <w:sz w:val="18"/>
          <w:szCs w:val="18"/>
          <w:color w:val="auto"/>
        </w:rPr>
      </w:pPr>
    </w:p>
    <w:p>
      <w:pPr>
        <w:ind w:left="1180" w:hanging="436"/>
        <w:spacing w:after="0" w:line="370" w:lineRule="auto"/>
        <w:tabs>
          <w:tab w:leader="none" w:pos="11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we have delivered to the trustee an officer’s certificate and an opinion of counsel, each stating that all conditions precedent under the indenture relating to the satisfaction and discharge of the indenture with respect to the senior debt securities of such series have been complied with.</w:t>
      </w:r>
    </w:p>
    <w:p>
      <w:pPr>
        <w:spacing w:after="0" w:line="62" w:lineRule="exact"/>
        <w:rPr>
          <w:sz w:val="20"/>
          <w:szCs w:val="20"/>
          <w:color w:val="auto"/>
        </w:rPr>
      </w:pPr>
    </w:p>
    <w:p>
      <w:pPr>
        <w:jc w:val="both"/>
        <w:ind w:left="200" w:right="40" w:firstLine="441"/>
        <w:spacing w:after="0" w:line="306" w:lineRule="auto"/>
        <w:rPr>
          <w:sz w:val="20"/>
          <w:szCs w:val="20"/>
          <w:color w:val="auto"/>
        </w:rPr>
      </w:pPr>
      <w:r>
        <w:rPr>
          <w:rFonts w:ascii="Arial" w:cs="Arial" w:eastAsia="Arial" w:hAnsi="Arial"/>
          <w:sz w:val="16"/>
          <w:szCs w:val="16"/>
          <w:color w:val="auto"/>
        </w:rPr>
        <w:t>We may elect to have our obligations under the indenture discharged with respect to the senior debt securities of any series and the obligations of the Guarantors discharged with respect to the Guarantees of such senior debt securities (“legal defeasance”). Legal defeasance means that we will be deemed to have paid and discharged the entire indebtedness represented by the senior debt securities of a series, except for:</w:t>
      </w:r>
    </w:p>
    <w:p>
      <w:pPr>
        <w:spacing w:after="0" w:line="26" w:lineRule="exact"/>
        <w:rPr>
          <w:sz w:val="20"/>
          <w:szCs w:val="20"/>
          <w:color w:val="auto"/>
        </w:rPr>
      </w:pPr>
    </w:p>
    <w:p>
      <w:pPr>
        <w:ind w:left="1180" w:hanging="436"/>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rights of holders of the senior debt securities of such series to receive principal or interest when due;</w:t>
      </w:r>
    </w:p>
    <w:p>
      <w:pPr>
        <w:spacing w:after="0" w:line="90" w:lineRule="exact"/>
        <w:rPr>
          <w:rFonts w:ascii="Arial" w:cs="Arial" w:eastAsia="Arial" w:hAnsi="Arial"/>
          <w:sz w:val="18"/>
          <w:szCs w:val="18"/>
          <w:color w:val="auto"/>
        </w:rPr>
      </w:pPr>
    </w:p>
    <w:p>
      <w:pPr>
        <w:ind w:left="1180" w:right="360" w:hanging="436"/>
        <w:spacing w:after="0" w:line="306" w:lineRule="auto"/>
        <w:tabs>
          <w:tab w:leader="none" w:pos="11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obligations with respect to the senior debt securities of such series concerning issuing temporary senior debt securities, registration of transfer and exchange of senior debt securities, substitution of mutilated, defaced, destroyed, lost or stolen senior debt securities and the maintenance of an office or agency for payment of the senior debt securities of such series;</w:t>
      </w:r>
    </w:p>
    <w:p>
      <w:pPr>
        <w:spacing w:after="0" w:line="25" w:lineRule="exact"/>
        <w:rPr>
          <w:rFonts w:ascii="Arial" w:cs="Arial" w:eastAsia="Arial" w:hAnsi="Arial"/>
          <w:sz w:val="16"/>
          <w:szCs w:val="16"/>
          <w:color w:val="auto"/>
        </w:rPr>
      </w:pPr>
    </w:p>
    <w:p>
      <w:pPr>
        <w:ind w:left="1180" w:right="100" w:hanging="436"/>
        <w:spacing w:after="0" w:line="268" w:lineRule="auto"/>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 the provisions relating to the resignation and removal of the trustee and the appointment of a successor trustee; and</w:t>
      </w:r>
    </w:p>
    <w:p>
      <w:pPr>
        <w:spacing w:after="0" w:line="50" w:lineRule="exact"/>
        <w:rPr>
          <w:rFonts w:ascii="Arial" w:cs="Arial" w:eastAsia="Arial" w:hAnsi="Arial"/>
          <w:sz w:val="18"/>
          <w:szCs w:val="18"/>
          <w:color w:val="auto"/>
        </w:rPr>
      </w:pPr>
    </w:p>
    <w:p>
      <w:pPr>
        <w:ind w:left="1180" w:hanging="436"/>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171"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In addition, we may elect to have our and the Guarantors’ obligations released with respect to certain covenants in the indenture (“covenant defeasance”). In the event covenant defeasance occurs, certain events, not including nonpayment, bankruptcy and insolvency events, described under “— Events of Default” will no longer constitute an event of default for that series.</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order to exercise either legal defeasance or covenant defeasance with respect to outstanding senior debt securities and Guarantees of any series:</w:t>
      </w:r>
    </w:p>
    <w:p>
      <w:pPr>
        <w:spacing w:after="0" w:line="113" w:lineRule="exact"/>
        <w:rPr>
          <w:sz w:val="20"/>
          <w:szCs w:val="20"/>
          <w:color w:val="auto"/>
        </w:rPr>
      </w:pPr>
    </w:p>
    <w:p>
      <w:pPr>
        <w:ind w:left="1180" w:right="240" w:hanging="436"/>
        <w:spacing w:after="0" w:line="357" w:lineRule="auto"/>
        <w:tabs>
          <w:tab w:leader="none" w:pos="11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we must irrevocably have deposited or caused to be deposited with the trustee as trust funds for the purpose of making the following payments, specifically pledged as security for, and dedicated solely to the benefits of the holders of the senior debt securities of such series:</w:t>
      </w:r>
    </w:p>
    <w:p>
      <w:pPr>
        <w:ind w:left="1180" w:hanging="436"/>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cash;</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U.S. Government Obligations (measured with respect to the scheduled payments of principal and interest thereon); or</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combination of cash and U.S. Government Obligations;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24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1200" w:right="80"/>
        <w:spacing w:after="0" w:line="256" w:lineRule="auto"/>
        <w:rPr>
          <w:sz w:val="20"/>
          <w:szCs w:val="20"/>
          <w:color w:val="auto"/>
        </w:rPr>
      </w:pPr>
      <w:r>
        <w:rPr>
          <w:rFonts w:ascii="Arial" w:cs="Arial" w:eastAsia="Arial" w:hAnsi="Arial"/>
          <w:sz w:val="18"/>
          <w:szCs w:val="18"/>
          <w:color w:val="auto"/>
        </w:rPr>
        <w:t>in each case sufficient without reinvestment, in the written opinion of a nationally recognized firm of independent public accountants, to pay and discharge, and which shall be applied by the trustee to pay and discharge, all of the principal and interest due on or prior to maturity or if we have made irrevocable arrangements satisfactory to the trustee for the giving of notice of redemption by the trustee in our name and at our expense, due on or prior to the redemption date;</w:t>
      </w:r>
    </w:p>
    <w:p>
      <w:pPr>
        <w:spacing w:after="0" w:line="62" w:lineRule="exact"/>
        <w:rPr>
          <w:sz w:val="20"/>
          <w:szCs w:val="20"/>
          <w:color w:val="auto"/>
        </w:rPr>
      </w:pPr>
    </w:p>
    <w:p>
      <w:pPr>
        <w:ind w:left="1180" w:right="80" w:hanging="436"/>
        <w:spacing w:after="0" w:line="298" w:lineRule="auto"/>
        <w:tabs>
          <w:tab w:leader="none" w:pos="11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 the case of legal defeasance, we have delivered to the trustee an opinion of counsel stating that, as a result of an Internal Revenue Service (“IRS”) ruling or a change in applicable federal income tax law, the beneficial owners of the senior debt securities of such series will not recognize gain or loss for federal income tax purposes as a result of the deposit, defeasance and discharge to be effected and will be subject to the same federal income tax as would be the case if the deposit, defeasance and discharge did not occur;</w:t>
      </w:r>
    </w:p>
    <w:p>
      <w:pPr>
        <w:spacing w:after="0" w:line="31" w:lineRule="exact"/>
        <w:rPr>
          <w:rFonts w:ascii="Arial" w:cs="Arial" w:eastAsia="Arial" w:hAnsi="Arial"/>
          <w:sz w:val="16"/>
          <w:szCs w:val="16"/>
          <w:color w:val="auto"/>
        </w:rPr>
      </w:pPr>
    </w:p>
    <w:p>
      <w:pPr>
        <w:ind w:left="1180" w:right="100" w:hanging="436"/>
        <w:spacing w:after="0" w:line="256"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the case of covenant defeasance, we have delivered to the trustee an opinion of counsel to the effect that the beneficial owners of the senior debt securities of such series will not recognize gain or loss for U.S. federal income tax purposes as a result of the deposit and covenant defeasance to be effected and will be subject to the same federal income tax as would be the case if the deposit and covenant defeasance did not occur;</w:t>
      </w:r>
    </w:p>
    <w:p>
      <w:pPr>
        <w:spacing w:after="0" w:line="62" w:lineRule="exact"/>
        <w:rPr>
          <w:rFonts w:ascii="Arial" w:cs="Arial" w:eastAsia="Arial" w:hAnsi="Arial"/>
          <w:sz w:val="18"/>
          <w:szCs w:val="18"/>
          <w:color w:val="auto"/>
        </w:rPr>
      </w:pPr>
    </w:p>
    <w:p>
      <w:pPr>
        <w:ind w:left="1180" w:right="20" w:hanging="436"/>
        <w:spacing w:after="0" w:line="255"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 default with respect to the outstanding senior debt securities of such series has occurred and is continuing at the time of such deposit after giving effect to the deposit or, in the case of legal defeasance, no default relating to bankruptcy or insolvency has occurred and is continuing at any time on or before the 91st day after the date of such deposit (other than an event of default resulting from the borrowing of funds to be applied to such deposit and the grant of any Lien securing such borrowings), it being understood that this condition is not deemed satisfied until after the 91st day;</w:t>
      </w:r>
    </w:p>
    <w:p>
      <w:pPr>
        <w:spacing w:after="0" w:line="61" w:lineRule="exact"/>
        <w:rPr>
          <w:rFonts w:ascii="Arial" w:cs="Arial" w:eastAsia="Arial" w:hAnsi="Arial"/>
          <w:sz w:val="18"/>
          <w:szCs w:val="18"/>
          <w:color w:val="auto"/>
        </w:rPr>
      </w:pPr>
    </w:p>
    <w:p>
      <w:pPr>
        <w:ind w:left="1180" w:right="140" w:hanging="436"/>
        <w:spacing w:after="0" w:line="268"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cause the trustee to have a conflicting interest within the meaning of the Trust Indenture Act, assuming all senior debt securities of such series were in default within the meaning of such act;</w:t>
      </w:r>
    </w:p>
    <w:p>
      <w:pPr>
        <w:spacing w:after="0" w:line="50" w:lineRule="exact"/>
        <w:rPr>
          <w:rFonts w:ascii="Arial" w:cs="Arial" w:eastAsia="Arial" w:hAnsi="Arial"/>
          <w:sz w:val="18"/>
          <w:szCs w:val="18"/>
          <w:color w:val="auto"/>
        </w:rPr>
      </w:pPr>
    </w:p>
    <w:p>
      <w:pPr>
        <w:ind w:left="1180" w:right="20" w:hanging="436"/>
        <w:spacing w:after="0" w:line="259"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result in a breach or violation of, or constitute a default under the indenture (other than an event of default resulting from the borrowing of funds to be applied to such deposit and the grant of any Lien securing such borrowings), the Guarantors or any other material agreement or instrument to which we are a party;</w:t>
      </w:r>
    </w:p>
    <w:p>
      <w:pPr>
        <w:spacing w:after="0" w:line="59" w:lineRule="exact"/>
        <w:rPr>
          <w:rFonts w:ascii="Arial" w:cs="Arial" w:eastAsia="Arial" w:hAnsi="Arial"/>
          <w:sz w:val="18"/>
          <w:szCs w:val="18"/>
          <w:color w:val="auto"/>
        </w:rPr>
      </w:pPr>
    </w:p>
    <w:p>
      <w:pPr>
        <w:jc w:val="both"/>
        <w:ind w:left="1180" w:right="240" w:hanging="436"/>
        <w:spacing w:after="0" w:line="259"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result in the trust arising from such deposit constituting an investment company within the meaning of the Investment Company Act of 1940, as amended, unless the trust is registered under such act or exempt from registration; and</w:t>
      </w:r>
    </w:p>
    <w:p>
      <w:pPr>
        <w:spacing w:after="0" w:line="59" w:lineRule="exact"/>
        <w:rPr>
          <w:rFonts w:ascii="Arial" w:cs="Arial" w:eastAsia="Arial" w:hAnsi="Arial"/>
          <w:sz w:val="18"/>
          <w:szCs w:val="18"/>
          <w:color w:val="auto"/>
        </w:rPr>
      </w:pPr>
    </w:p>
    <w:p>
      <w:pPr>
        <w:ind w:left="1180" w:hanging="436"/>
        <w:spacing w:after="0" w:line="268"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with respect to the legal defeasance or covenant defeasance have been complied with.</w:t>
      </w:r>
    </w:p>
    <w:p>
      <w:pPr>
        <w:spacing w:after="0" w:line="21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90" w:lineRule="exact"/>
        <w:rPr>
          <w:sz w:val="20"/>
          <w:szCs w:val="20"/>
          <w:color w:val="auto"/>
        </w:rPr>
      </w:pPr>
    </w:p>
    <w:p>
      <w:pPr>
        <w:ind w:left="200" w:right="520" w:firstLine="441"/>
        <w:spacing w:after="0" w:line="268" w:lineRule="auto"/>
        <w:rPr>
          <w:sz w:val="20"/>
          <w:szCs w:val="20"/>
          <w:color w:val="auto"/>
        </w:rPr>
      </w:pPr>
      <w:r>
        <w:rPr>
          <w:rFonts w:ascii="Arial" w:cs="Arial" w:eastAsia="Arial" w:hAnsi="Arial"/>
          <w:sz w:val="18"/>
          <w:szCs w:val="18"/>
          <w:color w:val="auto"/>
        </w:rPr>
        <w:t>We, the Guarantors and the trustee may amend or modify the senior indenture or the senior debt securities of any series without notice to or the consent of any holder in order to:</w:t>
      </w:r>
    </w:p>
    <w:p>
      <w:pPr>
        <w:spacing w:after="0" w:line="51" w:lineRule="exact"/>
        <w:rPr>
          <w:sz w:val="20"/>
          <w:szCs w:val="20"/>
          <w:color w:val="auto"/>
        </w:rPr>
      </w:pPr>
    </w:p>
    <w:p>
      <w:pPr>
        <w:ind w:left="1180" w:right="240" w:hanging="436"/>
        <w:spacing w:after="0" w:line="268" w:lineRule="auto"/>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cure any ambiguities, omissions, defects or inconsistencies in the senior indenture in a manner that does not adversely affect the interests of the holders in any material respect;</w:t>
      </w:r>
    </w:p>
    <w:p>
      <w:pPr>
        <w:spacing w:after="0" w:line="50" w:lineRule="exact"/>
        <w:rPr>
          <w:rFonts w:ascii="Arial" w:cs="Arial" w:eastAsia="Arial" w:hAnsi="Arial"/>
          <w:sz w:val="18"/>
          <w:szCs w:val="18"/>
          <w:color w:val="auto"/>
        </w:rPr>
      </w:pPr>
    </w:p>
    <w:p>
      <w:pPr>
        <w:ind w:left="1180" w:hanging="436"/>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make any change that would provide any additional rights or benefits to the holders of the senior debt securities;</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for or add guarantors with respect to the senior debt securities;</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secure the senior debt securities of any series;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80" w:hanging="436"/>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 the form or terms of senior debt securities of any series;</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 for uncertificated senior debt securities in addition to or in place of certificated senior debt securities;</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by a successor trustee;</w:t>
      </w:r>
    </w:p>
    <w:p>
      <w:pPr>
        <w:spacing w:after="0" w:line="90" w:lineRule="exact"/>
        <w:rPr>
          <w:rFonts w:ascii="Arial" w:cs="Arial" w:eastAsia="Arial" w:hAnsi="Arial"/>
          <w:sz w:val="18"/>
          <w:szCs w:val="18"/>
          <w:color w:val="auto"/>
        </w:rPr>
      </w:pPr>
    </w:p>
    <w:p>
      <w:pPr>
        <w:ind w:left="1180" w:right="780" w:hanging="436"/>
        <w:spacing w:after="0" w:line="268"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 for the assumption by our successor, if any, to our or their obligations to holders of any outstanding senior debt securities in compliance with the applicable provisions of the indenture;</w:t>
      </w:r>
    </w:p>
    <w:p>
      <w:pPr>
        <w:spacing w:after="0" w:line="50" w:lineRule="exact"/>
        <w:rPr>
          <w:rFonts w:ascii="Arial" w:cs="Arial" w:eastAsia="Arial" w:hAnsi="Arial"/>
          <w:sz w:val="18"/>
          <w:szCs w:val="18"/>
          <w:color w:val="auto"/>
        </w:rPr>
      </w:pPr>
    </w:p>
    <w:p>
      <w:pPr>
        <w:ind w:left="1180" w:hanging="436"/>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qualify the indenture under the Trust Indenture Act;</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conform any provision in the indenture to this “Description of Debt Securities and Guarantees”; or</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make any change that does not adversely affect the rights of any holder in any material respect.</w:t>
      </w:r>
    </w:p>
    <w:p>
      <w:pPr>
        <w:spacing w:after="0" w:line="171"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Other amendments and modifications of the senior indenture or the senior debt securities of any series may be made with the consent of the holders of not less than a majority in aggregate principal amount of the senior debt securities of all series and the debt securities of all other series outstanding under the indenture that are affected by the amendment or modification (voting together as a single class), and our compliance with any provision of the indenture with respect to the debt securities of any series issued under the indenture (including the senior debt securities) may be waived by written notice to us and the trustee by the holders of a majority in aggregate principal amount of the debt securities of all series outstanding under the indenture that are affected by the waiver (voting together as a single class). However, no modification or amendment may, without the consent of the holder of such affected senior debt security:</w:t>
      </w:r>
    </w:p>
    <w:p>
      <w:pPr>
        <w:spacing w:after="0" w:line="37" w:lineRule="exact"/>
        <w:rPr>
          <w:sz w:val="20"/>
          <w:szCs w:val="20"/>
          <w:color w:val="auto"/>
        </w:rPr>
      </w:pPr>
    </w:p>
    <w:p>
      <w:pPr>
        <w:ind w:left="1180" w:right="720" w:hanging="436"/>
        <w:spacing w:after="0" w:line="268" w:lineRule="auto"/>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 the principal amount, or extend the fixed maturity, of the senior debt securities of such series or alter or waive the redemption provisions of the senior debt securities of such series;</w:t>
      </w:r>
    </w:p>
    <w:p>
      <w:pPr>
        <w:spacing w:after="0" w:line="50" w:lineRule="exact"/>
        <w:rPr>
          <w:rFonts w:ascii="Arial" w:cs="Arial" w:eastAsia="Arial" w:hAnsi="Arial"/>
          <w:sz w:val="18"/>
          <w:szCs w:val="18"/>
          <w:color w:val="auto"/>
        </w:rPr>
      </w:pPr>
    </w:p>
    <w:p>
      <w:pPr>
        <w:ind w:left="1180" w:hanging="436"/>
        <w:spacing w:after="0" w:line="268" w:lineRule="auto"/>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impair the right of any holder of the senior debt securities of such series to receive payment of principal or interest on the senior debt securities of such series on and after the due dates for such principal or interest;</w:t>
      </w:r>
    </w:p>
    <w:p>
      <w:pPr>
        <w:spacing w:after="0" w:line="50" w:lineRule="exact"/>
        <w:rPr>
          <w:rFonts w:ascii="Arial" w:cs="Arial" w:eastAsia="Arial" w:hAnsi="Arial"/>
          <w:sz w:val="18"/>
          <w:szCs w:val="18"/>
          <w:color w:val="auto"/>
        </w:rPr>
      </w:pPr>
    </w:p>
    <w:p>
      <w:pPr>
        <w:ind w:left="1180" w:hanging="436"/>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 the currency in which principal, any premium or interest is paid;</w:t>
      </w:r>
    </w:p>
    <w:p>
      <w:pPr>
        <w:spacing w:after="0" w:line="90" w:lineRule="exact"/>
        <w:rPr>
          <w:rFonts w:ascii="Arial" w:cs="Arial" w:eastAsia="Arial" w:hAnsi="Arial"/>
          <w:sz w:val="18"/>
          <w:szCs w:val="18"/>
          <w:color w:val="auto"/>
        </w:rPr>
      </w:pPr>
    </w:p>
    <w:p>
      <w:pPr>
        <w:ind w:left="1180" w:right="780" w:hanging="436"/>
        <w:spacing w:after="0" w:line="268" w:lineRule="auto"/>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 the percentage in principal amount outstanding of senior debt securities of such series which must consent to an amendment, supplement or waiver or consent to take any action;</w:t>
      </w:r>
    </w:p>
    <w:p>
      <w:pPr>
        <w:spacing w:after="0" w:line="50" w:lineRule="exact"/>
        <w:rPr>
          <w:rFonts w:ascii="Arial" w:cs="Arial" w:eastAsia="Arial" w:hAnsi="Arial"/>
          <w:sz w:val="18"/>
          <w:szCs w:val="18"/>
          <w:color w:val="auto"/>
        </w:rPr>
      </w:pPr>
    </w:p>
    <w:p>
      <w:pPr>
        <w:ind w:left="1180" w:hanging="436"/>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the senior debt securities of such series;</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waive a payment default with respect to the senior debt securities of such series;</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 the interest rate or extend the time for payment of interest on the senior debt securities of such series; or</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adversely affect the ranking of the senior debt securities of such series.</w:t>
      </w:r>
    </w:p>
    <w:p>
      <w:pPr>
        <w:spacing w:after="0" w:line="171" w:lineRule="exact"/>
        <w:rPr>
          <w:sz w:val="20"/>
          <w:szCs w:val="20"/>
          <w:color w:val="auto"/>
        </w:rPr>
      </w:pPr>
    </w:p>
    <w:p>
      <w:pPr>
        <w:ind w:left="200" w:right="20" w:firstLine="441"/>
        <w:spacing w:after="0" w:line="256" w:lineRule="auto"/>
        <w:rPr>
          <w:sz w:val="20"/>
          <w:szCs w:val="20"/>
          <w:color w:val="auto"/>
        </w:rPr>
      </w:pPr>
      <w:r>
        <w:rPr>
          <w:rFonts w:ascii="Arial" w:cs="Arial" w:eastAsia="Arial" w:hAnsi="Arial"/>
          <w:sz w:val="18"/>
          <w:szCs w:val="18"/>
          <w:color w:val="auto"/>
        </w:rPr>
        <w:t>An amendment, supplemental indenture or waiver which changes, eliminates or waives any covenant or other provision of the indenture which has expressly been included solely for the benefit of one or more particular series of debt securities, or which modifies the rights of the holders of debt securities of such series with respect to such covenant or other provision, shall be deemed not to affect the rights under the indenture of the holders of debt securities of any other series.</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 or Employees</w:t>
      </w:r>
    </w:p>
    <w:p>
      <w:pPr>
        <w:spacing w:after="0" w:line="9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senior indenture provides that no recourse shall be had under or upon any obligation, covenant or agreement contained in the senior indenture, the Guarantees or in any senior debt security, or because of any indebtedness evidenced thereby, shall be had against any incorporator, as such, or against any past, present or</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100"/>
        <w:spacing w:after="0" w:line="298" w:lineRule="auto"/>
        <w:rPr>
          <w:sz w:val="20"/>
          <w:szCs w:val="20"/>
          <w:color w:val="auto"/>
        </w:rPr>
      </w:pPr>
      <w:r>
        <w:rPr>
          <w:rFonts w:ascii="Arial" w:cs="Arial" w:eastAsia="Arial" w:hAnsi="Arial"/>
          <w:sz w:val="16"/>
          <w:szCs w:val="16"/>
          <w:color w:val="auto"/>
        </w:rPr>
        <w:t>future stockholder, employee, officer or director, as such, of us, any Guarantor, or of any of their respective successors, either directly or through us, any Guarantor, or of any of their respective successors, under any rule of law, statute or constitutional provision or by the enforcement of any assessment or by any legal or equitable proceeding or otherwise, all such liability being expressly waived and released by the acceptance of the senior debt securities by the holders thereof and as part of the consideration for the issue of the senior debt securities.</w:t>
      </w:r>
    </w:p>
    <w:p>
      <w:pPr>
        <w:spacing w:after="0" w:line="19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90" w:lineRule="exact"/>
        <w:rPr>
          <w:sz w:val="20"/>
          <w:szCs w:val="20"/>
          <w:color w:val="auto"/>
        </w:rPr>
      </w:pPr>
    </w:p>
    <w:p>
      <w:pPr>
        <w:ind w:left="200" w:right="60" w:firstLine="441"/>
        <w:spacing w:after="0" w:line="294" w:lineRule="auto"/>
        <w:rPr>
          <w:sz w:val="20"/>
          <w:szCs w:val="20"/>
          <w:color w:val="auto"/>
        </w:rPr>
      </w:pPr>
      <w:r>
        <w:rPr>
          <w:rFonts w:ascii="Arial" w:cs="Arial" w:eastAsia="Arial" w:hAnsi="Arial"/>
          <w:sz w:val="16"/>
          <w:szCs w:val="16"/>
          <w:color w:val="auto"/>
        </w:rPr>
        <w:t>Except during the continuance of an event of default, the trustee need perform only those duties that are specifically set forth in the senior indenture and no others, and no implied covenants or obligations will be read into the senior indenture against the trustee. In case an event of default of which a certain officers of the trustee shall have actual knowledge or shall have received written notice from us or any holder of our senior debt securities of any series has occurred and is continuing, the trustee shall exercise those rights and powers vested in it by the senior indenture, and use the same degree of care and skill in their exercise, as a prudent person would exercise or use under the circumstances in the conduct of such person’s own affairs.</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Governing Law</w:t>
      </w:r>
    </w:p>
    <w:p>
      <w:pPr>
        <w:spacing w:after="0" w:line="90" w:lineRule="exact"/>
        <w:rPr>
          <w:sz w:val="20"/>
          <w:szCs w:val="20"/>
          <w:color w:val="auto"/>
        </w:rPr>
      </w:pPr>
    </w:p>
    <w:p>
      <w:pPr>
        <w:ind w:left="200" w:firstLine="441"/>
        <w:spacing w:after="0" w:line="268" w:lineRule="auto"/>
        <w:rPr>
          <w:sz w:val="20"/>
          <w:szCs w:val="20"/>
          <w:color w:val="auto"/>
        </w:rPr>
      </w:pPr>
      <w:r>
        <w:rPr>
          <w:rFonts w:ascii="Arial" w:cs="Arial" w:eastAsia="Arial" w:hAnsi="Arial"/>
          <w:sz w:val="18"/>
          <w:szCs w:val="18"/>
          <w:color w:val="auto"/>
        </w:rPr>
        <w:t>The senior indenture, including any Guarantee, and each senior debt security is governed by and construed in accordance with the laws of the State of New York.</w:t>
      </w:r>
    </w:p>
    <w:p>
      <w:pPr>
        <w:spacing w:after="0" w:line="21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Trustee</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may have normal banking relationships with the trustee under the senior indenture in the ordinary course of business.</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Convertible Debt Securities</w:t>
      </w:r>
    </w:p>
    <w:p>
      <w:pPr>
        <w:spacing w:after="0" w:line="96" w:lineRule="exact"/>
        <w:rPr>
          <w:sz w:val="20"/>
          <w:szCs w:val="20"/>
          <w:color w:val="auto"/>
        </w:rPr>
      </w:pPr>
    </w:p>
    <w:p>
      <w:pPr>
        <w:ind w:left="200" w:firstLine="441"/>
        <w:spacing w:after="0" w:line="256" w:lineRule="auto"/>
        <w:rPr>
          <w:sz w:val="20"/>
          <w:szCs w:val="20"/>
          <w:color w:val="auto"/>
        </w:rPr>
      </w:pPr>
      <w:r>
        <w:rPr>
          <w:rFonts w:ascii="Arial" w:cs="Arial" w:eastAsia="Arial" w:hAnsi="Arial"/>
          <w:sz w:val="18"/>
          <w:szCs w:val="18"/>
          <w:color w:val="auto"/>
        </w:rPr>
        <w:t>The terms, if any, on which debt securities being offered may be exchanged for or converted into other debt securities or shares of preferred stock, Class A common stock or other securities or rights of ours (including rights to receive payments in cash or securities based on the value, rate or price of one or more specified commodities, currencies or indices) or securities of other issuers or any combination of the foregoing will be set forth in the prospectus supplement for such debt securities being offered.</w:t>
      </w:r>
    </w:p>
    <w:p>
      <w:pPr>
        <w:spacing w:after="0" w:line="13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60"/>
          </w:cols>
          <w:pgMar w:left="240" w:top="459" w:right="4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GLOBAL SECURITIES</w:t>
      </w:r>
    </w:p>
    <w:p>
      <w:pPr>
        <w:spacing w:after="0" w:line="177"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color w:val="auto"/>
        </w:rPr>
        <w:t>We may issue the debt securities, warrants, purchase contracts and units of any series in the form of one or more fully registered global securities that will be deposited with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118" w:lineRule="exact"/>
        <w:rPr>
          <w:sz w:val="20"/>
          <w:szCs w:val="20"/>
          <w:color w:val="auto"/>
        </w:rPr>
      </w:pPr>
    </w:p>
    <w:p>
      <w:pPr>
        <w:ind w:left="200" w:right="360" w:firstLine="441"/>
        <w:spacing w:after="0" w:line="332" w:lineRule="auto"/>
        <w:rPr>
          <w:sz w:val="20"/>
          <w:szCs w:val="20"/>
          <w:color w:val="auto"/>
        </w:rPr>
      </w:pPr>
      <w:r>
        <w:rPr>
          <w:rFonts w:ascii="Arial" w:cs="Arial" w:eastAsia="Arial" w:hAnsi="Arial"/>
          <w:sz w:val="16"/>
          <w:szCs w:val="16"/>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85"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Ownership of beneficial interests in a global security will be limited to persons that have accounts with the depositary for such global security known as “participants” or persons that may hold interests through such participants. 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120"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or unit agreement.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applicable indenture, warrant agreement, purchase contract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124" w:lineRule="exact"/>
        <w:rPr>
          <w:sz w:val="20"/>
          <w:szCs w:val="20"/>
          <w:color w:val="auto"/>
        </w:rPr>
      </w:pPr>
    </w:p>
    <w:p>
      <w:pPr>
        <w:jc w:val="both"/>
        <w:ind w:left="200" w:right="60" w:firstLine="441"/>
        <w:spacing w:after="0" w:line="306" w:lineRule="auto"/>
        <w:rPr>
          <w:sz w:val="20"/>
          <w:szCs w:val="20"/>
          <w:color w:val="auto"/>
        </w:rPr>
      </w:pPr>
      <w:r>
        <w:rPr>
          <w:rFonts w:ascii="Arial" w:cs="Arial" w:eastAsia="Arial" w:hAnsi="Arial"/>
          <w:sz w:val="16"/>
          <w:szCs w:val="16"/>
          <w:color w:val="auto"/>
        </w:rPr>
        <w:t>Principal, premium, if any, and interest payments on debt securities, and any payments to holders with respect to warrants, purchase contracts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w:t>
      </w:r>
    </w:p>
    <w:p>
      <w:pPr>
        <w:spacing w:after="0" w:line="9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agents, agent of the trustees or agent of the warrant agents or unit agents will have any responsibility or liability for any aspect of the records relating to or payments made on account of beneficial ownership interests in such global security or for maintaining, supervising or reviewing any records relating to such beneficial ownership interests.</w:t>
      </w:r>
    </w:p>
    <w:p>
      <w:pPr>
        <w:spacing w:after="0" w:line="140"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We expect that the depositary for any securities represented by a global security,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120"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If the depositary for any securities represented by a global security is at any time unwilling or unable to continue as depositary or ceases to be a clearing agency registered under the Exchange Act, and we do not appoint a successor depositary registered as a clearing agency under the Exchange Act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24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CAPITAL STOCK</w:t>
      </w:r>
    </w:p>
    <w:p>
      <w:pPr>
        <w:spacing w:after="0" w:line="177" w:lineRule="exact"/>
        <w:rPr>
          <w:sz w:val="20"/>
          <w:szCs w:val="20"/>
          <w:color w:val="auto"/>
        </w:rPr>
      </w:pPr>
    </w:p>
    <w:p>
      <w:pPr>
        <w:jc w:val="both"/>
        <w:ind w:left="200" w:right="140" w:firstLine="441"/>
        <w:spacing w:after="0" w:line="306" w:lineRule="auto"/>
        <w:rPr>
          <w:sz w:val="20"/>
          <w:szCs w:val="20"/>
          <w:color w:val="auto"/>
        </w:rPr>
      </w:pPr>
      <w:r>
        <w:rPr>
          <w:rFonts w:ascii="Arial" w:cs="Arial" w:eastAsia="Arial" w:hAnsi="Arial"/>
          <w:sz w:val="16"/>
          <w:szCs w:val="16"/>
          <w:color w:val="auto"/>
        </w:rPr>
        <w:t>In this section, references to the “Company,” “we,” “us” and “our” refer only to Comcast Corporation and not any of its subsidiaries. 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10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have two classes of common stock outstanding: Class A common stock, $0.01 par value per share, and Class B common stock, $0.01 par value per share. There are currently authorized 7.5 billion shares of Class A common stock, 75 million shares of Class B common stock and 20 million shares of preferred stock. Our Board of Directors may issue preferred stock, in one or more series, without par value, with full, limited, multiple, fractional, or no voting rights, and with such designations, preferences, qualifications, privileges, limitations, restrictions, options, conversion rights and other special rights as our Board of Directors shall determine.</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left="200" w:firstLine="441"/>
        <w:spacing w:after="0" w:line="306" w:lineRule="auto"/>
        <w:rPr>
          <w:sz w:val="20"/>
          <w:szCs w:val="20"/>
          <w:color w:val="auto"/>
        </w:rPr>
      </w:pPr>
      <w:r>
        <w:rPr>
          <w:rFonts w:ascii="Arial" w:cs="Arial" w:eastAsia="Arial" w:hAnsi="Arial"/>
          <w:sz w:val="16"/>
          <w:szCs w:val="16"/>
          <w:color w:val="auto"/>
        </w:rPr>
        <w:t>Subject to the preferential rights of any preferred stock then outstanding, holders of our Class A common stock and Class B common stock are entitled to receive, from time to time, when, as and if declared, in the discretion of our Board, such cash dividends as our Board may from time to time determine, out of such funds as are legally available therefor, in proportion to the number of shares held by them, respectively, without regard to class.</w:t>
      </w:r>
    </w:p>
    <w:p>
      <w:pPr>
        <w:spacing w:after="0" w:line="10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Holders of our Class A common stock and Class B common stock will also be entitled to receive, from time to time, when, as and if declared by our Board, such dividends of our stock or other property as our Board may determine, out of such funds as are legally available therefor. However, stock dividends on, or stock splits of, any class of common stock will not be paid or issued unless paid or issued on all classes of our common stock, in which case they will be paid or issued only in shares of that class; provided, however, that stock dividends on, or stock splits of, our Class B common stock may also be paid or issued in shares of our Class A common stock.</w:t>
      </w:r>
    </w:p>
    <w:p>
      <w:pPr>
        <w:spacing w:after="0" w:line="143" w:lineRule="exact"/>
        <w:rPr>
          <w:sz w:val="20"/>
          <w:szCs w:val="20"/>
          <w:color w:val="auto"/>
        </w:rPr>
      </w:pPr>
    </w:p>
    <w:p>
      <w:pPr>
        <w:ind w:left="200" w:right="80" w:firstLine="441"/>
        <w:spacing w:after="0" w:line="268" w:lineRule="auto"/>
        <w:rPr>
          <w:sz w:val="20"/>
          <w:szCs w:val="20"/>
          <w:color w:val="auto"/>
        </w:rPr>
      </w:pPr>
      <w:r>
        <w:rPr>
          <w:rFonts w:ascii="Arial" w:cs="Arial" w:eastAsia="Arial" w:hAnsi="Arial"/>
          <w:sz w:val="18"/>
          <w:szCs w:val="18"/>
          <w:color w:val="auto"/>
        </w:rPr>
        <w:t>We intend to pay quarterly dividends at an annualized rate currently of $0.84 per share, although each dividend is subject to approval by our Board of Directors. See “Dividend Policy” above.</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Voting Rights</w:t>
      </w:r>
    </w:p>
    <w:p>
      <w:pPr>
        <w:spacing w:after="0" w:line="96" w:lineRule="exact"/>
        <w:rPr>
          <w:sz w:val="20"/>
          <w:szCs w:val="20"/>
          <w:color w:val="auto"/>
        </w:rPr>
      </w:pPr>
    </w:p>
    <w:p>
      <w:pPr>
        <w:ind w:left="200" w:right="60" w:firstLine="441"/>
        <w:spacing w:after="0" w:line="294" w:lineRule="auto"/>
        <w:rPr>
          <w:sz w:val="20"/>
          <w:szCs w:val="20"/>
          <w:color w:val="auto"/>
        </w:rPr>
      </w:pPr>
      <w:r>
        <w:rPr>
          <w:rFonts w:ascii="Arial" w:cs="Arial" w:eastAsia="Arial" w:hAnsi="Arial"/>
          <w:sz w:val="16"/>
          <w:szCs w:val="16"/>
          <w:color w:val="auto"/>
        </w:rPr>
        <w:t>As a general matter, on all matters submitted for a vote to holders of all classes of our voting stock, holders of our Class A common stock in the aggregate hold 66 2/3% of the aggregate voting power of our capital stock, and holders of our Class B common stock in the aggregate hold a non-dilutable 33 1/3% of the combined voting power of our capital stock. This nondilutable voting power is subject to proportional decrease to the extent the number of shares of Class B common stock is reduced below 9,444,375, subject to adjustment in specified situations. Stock dividends payable on the Class B common stock in the form of Class B common stock do not decrease the nondilutable voting power of the Class B common stock.</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Approval Rights</w:t>
      </w:r>
    </w:p>
    <w:p>
      <w:pPr>
        <w:spacing w:after="0" w:line="96"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color w:val="auto"/>
        </w:rPr>
        <w:t>Except as required by law, holders of Class A common stock have no specific approval rights over any corporate actions. Holders of our Class B common stock have an approval right 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charter</w:t>
      </w:r>
    </w:p>
    <w:p>
      <w:pPr>
        <w:spacing w:after="0" w:line="10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200" w:right="320"/>
        <w:spacing w:after="0" w:line="306" w:lineRule="auto"/>
        <w:rPr>
          <w:sz w:val="20"/>
          <w:szCs w:val="20"/>
          <w:color w:val="auto"/>
        </w:rPr>
      </w:pPr>
      <w:r>
        <w:rPr>
          <w:rFonts w:ascii="Arial" w:cs="Arial" w:eastAsia="Arial" w:hAnsi="Arial"/>
          <w:sz w:val="16"/>
          <w:szCs w:val="16"/>
          <w:color w:val="auto"/>
        </w:rPr>
        <w:t>or by-law amendments (such as a charter amendment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Principal Shareholder</w:t>
      </w:r>
    </w:p>
    <w:p>
      <w:pPr>
        <w:spacing w:after="0" w:line="96"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Brian L. Roberts, our Chairman, Chief Executive Officer and President, beneficially owns all outstanding shares of our Class B common stock, which has a nondilutable 33 1/3% of the combined voting power of our stock and which also has separate approval rights over certain material transactions, as described above under “—Approval Rights.” Accordingly, Mr. Roberts has considerable influence over our operations and has the ability to transfer potential effective control by selling the Class B common stock. The Class B common stock is convertible on a share-for-share basis into Class A common stock. As of June 30, 2019, if Mr. Roberts were to convert the Class B common stock he beneficially owns into Class A common stock, Mr. Roberts would beneficially own 43,588,528 shares of Class A common stock, which is approximately 1% of the Class A common stock that would be outstanding after the conversion.</w:t>
      </w:r>
    </w:p>
    <w:p>
      <w:pPr>
        <w:spacing w:after="0" w:line="22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Conversion of Class B Common Stock</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Class B common stock is convertible share for share into Class A common stock, subject to certain restrictions.</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Preference on Liquidation</w:t>
      </w:r>
    </w:p>
    <w:p>
      <w:pPr>
        <w:spacing w:after="0" w:line="96" w:lineRule="exact"/>
        <w:rPr>
          <w:sz w:val="20"/>
          <w:szCs w:val="20"/>
          <w:color w:val="auto"/>
        </w:rPr>
      </w:pPr>
    </w:p>
    <w:p>
      <w:pPr>
        <w:jc w:val="both"/>
        <w:ind w:left="200" w:right="60" w:firstLine="441"/>
        <w:spacing w:after="0" w:line="259" w:lineRule="auto"/>
        <w:rPr>
          <w:sz w:val="20"/>
          <w:szCs w:val="20"/>
          <w:color w:val="auto"/>
        </w:rPr>
      </w:pPr>
      <w:r>
        <w:rPr>
          <w:rFonts w:ascii="Arial" w:cs="Arial" w:eastAsia="Arial" w:hAnsi="Arial"/>
          <w:sz w:val="18"/>
          <w:szCs w:val="18"/>
          <w:color w:val="auto"/>
        </w:rPr>
        <w:t>In the event of our liquidation, dissolution or winding up, either voluntary or involuntary, the holders of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Mergers, Consolidations, Etc.</w:t>
      </w:r>
    </w:p>
    <w:p>
      <w:pPr>
        <w:spacing w:after="0" w:line="96" w:lineRule="exact"/>
        <w:rPr>
          <w:sz w:val="20"/>
          <w:szCs w:val="20"/>
          <w:color w:val="auto"/>
        </w:rPr>
      </w:pPr>
    </w:p>
    <w:p>
      <w:pPr>
        <w:ind w:left="200" w:right="60" w:firstLine="441"/>
        <w:spacing w:after="0" w:line="294" w:lineRule="auto"/>
        <w:rPr>
          <w:sz w:val="20"/>
          <w:szCs w:val="20"/>
          <w:color w:val="auto"/>
        </w:rPr>
      </w:pPr>
      <w:r>
        <w:rPr>
          <w:rFonts w:ascii="Arial" w:cs="Arial" w:eastAsia="Arial" w:hAnsi="Arial"/>
          <w:sz w:val="16"/>
          <w:szCs w:val="16"/>
          <w:color w:val="auto"/>
        </w:rPr>
        <w:t>Our charter provides that if in a transaction such as a merger, consolidation, share exchange or recapitalization, holders of each class of our common stock outstanding do not receive the same consideration for each of their shares of our common stock (i.e.,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(i.e., shares of a class of stock having substantially equivalent rights as the applicable class of our common stock).</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Miscellaneous</w:t>
      </w:r>
    </w:p>
    <w:p>
      <w:pPr>
        <w:spacing w:after="0" w:line="96" w:lineRule="exact"/>
        <w:rPr>
          <w:sz w:val="20"/>
          <w:szCs w:val="20"/>
          <w:color w:val="auto"/>
        </w:rPr>
      </w:pPr>
    </w:p>
    <w:p>
      <w:pPr>
        <w:ind w:left="200" w:right="200" w:firstLine="441"/>
        <w:spacing w:after="0" w:line="256" w:lineRule="auto"/>
        <w:rPr>
          <w:sz w:val="20"/>
          <w:szCs w:val="20"/>
          <w:color w:val="auto"/>
        </w:rPr>
      </w:pPr>
      <w:r>
        <w:rPr>
          <w:rFonts w:ascii="Arial" w:cs="Arial" w:eastAsia="Arial" w:hAnsi="Arial"/>
          <w:sz w:val="18"/>
          <w:szCs w:val="18"/>
          <w:color w:val="auto"/>
        </w:rPr>
        <w:t>The holders of Class A common stock and Class B common stock do not have any preemptive rights. All shares of Class A common stock and Class B common stock presently outstanding are, and all shares of the Class A common stock offered hereby, or issuable upon conversion, exchange or exercise of securities offered hereby, will, when issued, be, fully paid and nonassessable. We have been advised that the Class A common stock is exempt from existing Pennsylvania personal property tax.</w:t>
      </w:r>
    </w:p>
    <w:p>
      <w:pPr>
        <w:spacing w:after="0" w:line="143" w:lineRule="exact"/>
        <w:rPr>
          <w:sz w:val="20"/>
          <w:szCs w:val="20"/>
          <w:color w:val="auto"/>
        </w:rPr>
      </w:pPr>
    </w:p>
    <w:p>
      <w:pPr>
        <w:ind w:left="200" w:right="60" w:firstLine="441"/>
        <w:spacing w:after="0" w:line="268" w:lineRule="auto"/>
        <w:rPr>
          <w:sz w:val="20"/>
          <w:szCs w:val="20"/>
          <w:color w:val="auto"/>
        </w:rPr>
      </w:pPr>
      <w:r>
        <w:rPr>
          <w:rFonts w:ascii="Arial" w:cs="Arial" w:eastAsia="Arial" w:hAnsi="Arial"/>
          <w:sz w:val="18"/>
          <w:szCs w:val="18"/>
          <w:color w:val="auto"/>
        </w:rPr>
        <w:t>The transfer agent and registrar for our Class A common stock is Equiniti Trust Company D/B/A EQ Shareowner Services, P.O. Box 64854, St. Paul, Minnesota 55164-0854. Its telephone number is (888) 883-8903.</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80"/>
          </w:cols>
          <w:pgMar w:left="240" w:top="459"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4440"/>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jc w:val="right"/>
        <w:ind w:right="4400"/>
        <w:spacing w:after="0"/>
        <w:rPr>
          <w:sz w:val="20"/>
          <w:szCs w:val="20"/>
          <w:color w:val="auto"/>
        </w:rPr>
      </w:pPr>
      <w:r>
        <w:rPr>
          <w:rFonts w:ascii="Arial" w:cs="Arial" w:eastAsia="Arial" w:hAnsi="Arial"/>
          <w:sz w:val="16"/>
          <w:szCs w:val="16"/>
          <w:color w:val="auto"/>
        </w:rPr>
        <w:t>We or selling security holders may sell the securities being offered hereby in four ways:</w:t>
      </w:r>
    </w:p>
    <w:p>
      <w:pPr>
        <w:spacing w:after="0" w:line="113" w:lineRule="exact"/>
        <w:rPr>
          <w:sz w:val="20"/>
          <w:szCs w:val="20"/>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directly to purchasers, customers or suppliers;</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171" w:lineRule="exact"/>
        <w:rPr>
          <w:sz w:val="20"/>
          <w:szCs w:val="20"/>
          <w:color w:val="auto"/>
        </w:rPr>
      </w:pPr>
    </w:p>
    <w:p>
      <w:pPr>
        <w:jc w:val="both"/>
        <w:ind w:left="200" w:right="260" w:firstLine="441"/>
        <w:spacing w:after="0" w:line="306" w:lineRule="auto"/>
        <w:rPr>
          <w:sz w:val="20"/>
          <w:szCs w:val="20"/>
          <w:color w:val="auto"/>
        </w:rPr>
      </w:pPr>
      <w:r>
        <w:rPr>
          <w:rFonts w:ascii="Arial" w:cs="Arial" w:eastAsia="Arial" w:hAnsi="Arial"/>
          <w:sz w:val="16"/>
          <w:szCs w:val="16"/>
          <w:color w:val="auto"/>
        </w:rPr>
        <w:t>If any securities are sold pursuant to this prospectus by any person other than us, we will disclose in a prospectus supplement required information with respect to each security holder, which may include its name, the nature of any relationship it has had with us or any of our affiliates during the three years preceding such offering and the amount of securities of the class it owns both before and after the offering.</w:t>
      </w:r>
    </w:p>
    <w:p>
      <w:pPr>
        <w:spacing w:after="0" w:line="107" w:lineRule="exact"/>
        <w:rPr>
          <w:sz w:val="20"/>
          <w:szCs w:val="20"/>
          <w:color w:val="auto"/>
        </w:rPr>
      </w:pPr>
    </w:p>
    <w:p>
      <w:pPr>
        <w:ind w:left="200" w:right="40" w:firstLine="441"/>
        <w:spacing w:after="0" w:line="294" w:lineRule="auto"/>
        <w:rPr>
          <w:sz w:val="20"/>
          <w:szCs w:val="20"/>
          <w:color w:val="auto"/>
        </w:rPr>
      </w:pPr>
      <w:r>
        <w:rPr>
          <w:rFonts w:ascii="Arial" w:cs="Arial" w:eastAsia="Arial" w:hAnsi="Arial"/>
          <w:sz w:val="16"/>
          <w:szCs w:val="16"/>
          <w:color w:val="auto"/>
        </w:rPr>
        <w:t>We or any selling security holder may directly solicit offers to purchase securities, or we or any selling security holder may designate agents to solicit such offers. We will, in the prospectus supplement relating to such offering, name any agent that could be viewed as an underwriter under the Securities Act of 1933, as amended, (hereinafter, the “Securities Act”) and describe any commissions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16"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any agreement with them.</w:t>
      </w:r>
    </w:p>
    <w:p>
      <w:pPr>
        <w:spacing w:after="0" w:line="140"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If a dealer is utilized in the sale of the securities in respect of which the prospectus is delivered, we and any selling security holders will sell such securities to the dealer, as principal. The dealer may then resell such securities to the public at varying prices to be determined by such dealer at the time of resale.</w:t>
      </w:r>
    </w:p>
    <w:p>
      <w:pPr>
        <w:spacing w:after="0" w:line="14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or any selling security holder to indemnification by us against certain civil liabilities, including liabilities under the Securities Act, and may be customers of, engage in transactions with or perform services for us in the ordinary course of business.</w:t>
      </w:r>
    </w:p>
    <w:p>
      <w:pPr>
        <w:spacing w:after="0" w:line="140"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18" w:lineRule="exact"/>
        <w:rPr>
          <w:sz w:val="20"/>
          <w:szCs w:val="20"/>
          <w:color w:val="auto"/>
        </w:rPr>
      </w:pPr>
    </w:p>
    <w:p>
      <w:pPr>
        <w:ind w:left="200" w:right="280" w:firstLine="441"/>
        <w:spacing w:after="0" w:line="268"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00"/>
          </w:cols>
          <w:pgMar w:left="24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left="200" w:firstLine="441"/>
        <w:spacing w:after="0" w:line="256" w:lineRule="auto"/>
        <w:rPr>
          <w:sz w:val="20"/>
          <w:szCs w:val="20"/>
          <w:color w:val="auto"/>
        </w:rPr>
      </w:pPr>
      <w:r>
        <w:rPr>
          <w:rFonts w:ascii="Arial" w:cs="Arial" w:eastAsia="Arial" w:hAnsi="Arial"/>
          <w:sz w:val="18"/>
          <w:szCs w:val="18"/>
          <w:color w:val="auto"/>
        </w:rPr>
        <w:t>As to matters governed by Pennsylvania law, Elizabeth Wideman, Esquire, Vice President, Senior Deputy General Counsel and Assistant Secretary, and as to matters governed by New York and Delaware law, Davis Polk &amp; Wardwell LLP, will pass upon the validity of the securities on our behalf and on behalf of the Guarantors, although we may use other counsel, including our employees, to do so. Unless otherwise indicated in the accompanying prospectus supplement, Cahill Gordon &amp; Reindel LLP will represent the underwriters.</w:t>
      </w:r>
    </w:p>
    <w:p>
      <w:pPr>
        <w:spacing w:after="0" w:line="29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The consolidated financial statements and the related consolidated financial statement schedule of Comcast Corporation and subsidiaries (for purposes of this paragraph only, “Comcast Corporation”), incorporated in this Prospectus by reference from Comcast Corporation’s Annual Report on Form 10-K, and the effectiveness of Comcast Corporation’s internal control over financial reporting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44" w:lineRule="exact"/>
        <w:rPr>
          <w:sz w:val="20"/>
          <w:szCs w:val="20"/>
          <w:color w:val="auto"/>
        </w:rPr>
      </w:pPr>
    </w:p>
    <w:p>
      <w:pPr>
        <w:ind w:left="200" w:right="200" w:firstLine="441"/>
        <w:spacing w:after="0" w:line="294" w:lineRule="auto"/>
        <w:rPr>
          <w:sz w:val="20"/>
          <w:szCs w:val="20"/>
          <w:color w:val="auto"/>
        </w:rPr>
      </w:pPr>
      <w:r>
        <w:rPr>
          <w:rFonts w:ascii="Arial" w:cs="Arial" w:eastAsia="Arial" w:hAnsi="Arial"/>
          <w:sz w:val="16"/>
          <w:szCs w:val="16"/>
          <w:color w:val="auto"/>
        </w:rPr>
        <w:t>The consolidated financial statements and the related consolidated financial statement schedule of NBCUniversal Media, LLC and subsidiaries (for purposes of this paragraph only, “NBCUniversal Media, LLC”), incorporated in this Prospectus by reference from NBCUniversal Media, LLC’s Annual Report on Form 10-K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16" w:lineRule="exact"/>
        <w:rPr>
          <w:sz w:val="20"/>
          <w:szCs w:val="20"/>
          <w:color w:val="auto"/>
        </w:rPr>
      </w:pPr>
    </w:p>
    <w:p>
      <w:pPr>
        <w:ind w:left="200" w:right="120" w:firstLine="441"/>
        <w:spacing w:after="0" w:line="291" w:lineRule="auto"/>
        <w:rPr>
          <w:sz w:val="20"/>
          <w:szCs w:val="20"/>
          <w:color w:val="auto"/>
        </w:rPr>
      </w:pPr>
      <w:r>
        <w:rPr>
          <w:rFonts w:ascii="Arial" w:cs="Arial" w:eastAsia="Arial" w:hAnsi="Arial"/>
          <w:sz w:val="16"/>
          <w:szCs w:val="16"/>
          <w:color w:val="auto"/>
        </w:rPr>
        <w:t>The consolidated financial statements of Sky plc as of and for the year ended June 30, 2018, incorporated by reference in this Prospectus from Comcast Corporation’s Form 8-K/A filed on December 18, 2018, have been audited by Deloitte LLP, independent auditors, as stated in their report incorporated herein by reference (which report expresses a qualified opinion on the financial statements relating to the lack of presentation of comparative information for the preceding period and includes an emphasis-of-matter paragraph referring to the use of a basis of accounting different from accounting principles generally accepted in the United States). Such consolidated financial statements are incorporated by reference in reliance upon the report of such firm given upon their authority as experts in accounting and auditing.</w:t>
      </w:r>
    </w:p>
    <w:p>
      <w:pPr>
        <w:spacing w:after="0" w:line="27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AVAILABLE INFORMATION</w:t>
      </w:r>
    </w:p>
    <w:p>
      <w:pPr>
        <w:spacing w:after="0" w:line="177" w:lineRule="exact"/>
        <w:rPr>
          <w:sz w:val="20"/>
          <w:szCs w:val="20"/>
          <w:color w:val="auto"/>
        </w:rPr>
      </w:pPr>
    </w:p>
    <w:p>
      <w:pPr>
        <w:ind w:left="200" w:right="40" w:firstLine="441"/>
        <w:spacing w:after="0" w:line="298" w:lineRule="auto"/>
        <w:rPr>
          <w:sz w:val="20"/>
          <w:szCs w:val="20"/>
          <w:color w:val="auto"/>
        </w:rPr>
      </w:pPr>
      <w:r>
        <w:rPr>
          <w:rFonts w:ascii="Arial" w:cs="Arial" w:eastAsia="Arial" w:hAnsi="Arial"/>
          <w:sz w:val="16"/>
          <w:szCs w:val="16"/>
          <w:color w:val="auto"/>
        </w:rPr>
        <w:t>We have filed this prospectus as part of a combined registration statement on Form S-3 with the SEC. The registration statement contains exhibits and other information that are not contained in this prospectus. Our descriptions in this prospectus of the provisions of documents filed as exhibits to the registration statement or otherwise filed with the SEC are only summaries of the documents’ material terms. If you want a complete description of the content of the documents, you should obtain the documents by following the procedures described below.</w:t>
      </w:r>
    </w:p>
    <w:p>
      <w:pPr>
        <w:spacing w:after="0" w:line="113" w:lineRule="exact"/>
        <w:rPr>
          <w:sz w:val="20"/>
          <w:szCs w:val="20"/>
          <w:color w:val="auto"/>
        </w:rPr>
      </w:pPr>
    </w:p>
    <w:p>
      <w:pPr>
        <w:jc w:val="both"/>
        <w:ind w:left="200" w:right="40" w:firstLine="441"/>
        <w:spacing w:after="0" w:line="284" w:lineRule="auto"/>
        <w:rPr>
          <w:sz w:val="20"/>
          <w:szCs w:val="20"/>
          <w:color w:val="auto"/>
        </w:rPr>
      </w:pPr>
      <w:r>
        <w:rPr>
          <w:rFonts w:ascii="Arial" w:cs="Arial" w:eastAsia="Arial" w:hAnsi="Arial"/>
          <w:sz w:val="16"/>
          <w:szCs w:val="16"/>
          <w:color w:val="auto"/>
        </w:rPr>
        <w:t>Comcast and NBCUniversal file combined annual and quarterly reports and combined or separate special reports and other information with the SEC. Comcast Cable does not currently file information with the SEC. Although Comcast Cable would normally be required to file information with the SEC on an ongoing basis, we expect that it will continue to be exempt from this filing obligation for as long as we continue to file our information with the SEC.</w:t>
      </w:r>
    </w:p>
    <w:p>
      <w:pPr>
        <w:spacing w:after="0" w:line="1" w:lineRule="exact"/>
        <w:rPr>
          <w:sz w:val="20"/>
          <w:szCs w:val="20"/>
          <w:color w:val="auto"/>
        </w:rPr>
      </w:pPr>
    </w:p>
    <w:p>
      <w:pPr>
        <w:ind w:left="200" w:right="180"/>
        <w:spacing w:after="0" w:line="261" w:lineRule="auto"/>
        <w:rPr>
          <w:sz w:val="20"/>
          <w:szCs w:val="20"/>
          <w:color w:val="auto"/>
        </w:rPr>
      </w:pPr>
      <w:r>
        <w:rPr>
          <w:rFonts w:ascii="Arial" w:cs="Arial" w:eastAsia="Arial" w:hAnsi="Arial"/>
          <w:sz w:val="18"/>
          <w:szCs w:val="18"/>
          <w:color w:val="auto"/>
        </w:rPr>
        <w:t>Our and NBCUniversal’s SEC filings, including the complete registration statement and all of the exhibits to it, are available through the SEC’s website at http://www.sec.gov.</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firstLine="441"/>
        <w:spacing w:after="0" w:line="294" w:lineRule="auto"/>
        <w:rPr>
          <w:sz w:val="20"/>
          <w:szCs w:val="20"/>
          <w:color w:val="auto"/>
        </w:rPr>
      </w:pPr>
      <w:r>
        <w:rPr>
          <w:rFonts w:ascii="Arial" w:cs="Arial" w:eastAsia="Arial" w:hAnsi="Arial"/>
          <w:sz w:val="16"/>
          <w:szCs w:val="16"/>
          <w:color w:val="auto"/>
        </w:rPr>
        <w:t>We have not authorized anyone to provide any information other than that contained or incorporated by reference in this prospectus, any prospectus supplement or any free writing prospectus prepared by or on behalf of us or to which we have referred you.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or incorporated by reference in this prospectus, any prospectus supplement or any such free writing prospectus is accurate as of any date other than their respective dates.</w:t>
      </w:r>
    </w:p>
    <w:p>
      <w:pPr>
        <w:spacing w:after="0" w:line="10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60"/>
          </w:cols>
          <w:pgMar w:left="240" w:top="459" w:right="4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77" w:lineRule="exact"/>
        <w:rPr>
          <w:sz w:val="20"/>
          <w:szCs w:val="20"/>
          <w:color w:val="auto"/>
        </w:rPr>
      </w:pPr>
    </w:p>
    <w:p>
      <w:pPr>
        <w:ind w:left="200" w:right="60" w:firstLine="441"/>
        <w:spacing w:after="0" w:line="256"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prospectus incorporates by reference the documents set forth below that we have previously filed with the SEC:</w:t>
      </w:r>
    </w:p>
    <w:p>
      <w:pPr>
        <w:spacing w:after="0" w:line="90" w:lineRule="exact"/>
        <w:rPr>
          <w:sz w:val="20"/>
          <w:szCs w:val="20"/>
          <w:color w:val="auto"/>
        </w:rPr>
      </w:pPr>
    </w:p>
    <w:p>
      <w:pPr>
        <w:ind w:left="1180" w:hanging="436"/>
        <w:spacing w:after="0"/>
        <w:tabs>
          <w:tab w:leader="none" w:pos="11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Comcast’s and NBCUniversal’s combined Annual Report on </w:t>
      </w:r>
      <w:hyperlink r:id="rId49">
        <w:r>
          <w:rPr>
            <w:rFonts w:ascii="Arial" w:cs="Arial" w:eastAsia="Arial" w:hAnsi="Arial"/>
            <w:sz w:val="16"/>
            <w:szCs w:val="16"/>
            <w:u w:val="single" w:color="auto"/>
            <w:color w:val="0000EE"/>
          </w:rPr>
          <w:t>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the year ended December 31, 2018, filed on January 31, 2019.</w:t>
      </w:r>
    </w:p>
    <w:p>
      <w:pPr>
        <w:spacing w:after="0" w:line="113" w:lineRule="exact"/>
        <w:rPr>
          <w:rFonts w:ascii="Arial" w:cs="Arial" w:eastAsia="Arial" w:hAnsi="Arial"/>
          <w:sz w:val="16"/>
          <w:szCs w:val="16"/>
          <w:color w:val="auto"/>
        </w:rPr>
      </w:pPr>
    </w:p>
    <w:p>
      <w:pPr>
        <w:ind w:left="1180" w:hanging="436"/>
        <w:spacing w:after="0" w:line="268" w:lineRule="auto"/>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Comcast’s and NBCUniversal’s combined Quarterly Reports on Form 10-Q for the quarters ended </w:t>
      </w:r>
      <w:hyperlink r:id="rId50">
        <w:r>
          <w:rPr>
            <w:rFonts w:ascii="Arial" w:cs="Arial" w:eastAsia="Arial" w:hAnsi="Arial"/>
            <w:sz w:val="18"/>
            <w:szCs w:val="18"/>
            <w:u w:val="single" w:color="auto"/>
            <w:color w:val="0000EE"/>
          </w:rPr>
          <w:t>March 31,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51">
        <w:r>
          <w:rPr>
            <w:rFonts w:ascii="Arial" w:cs="Arial" w:eastAsia="Arial" w:hAnsi="Arial"/>
            <w:sz w:val="18"/>
            <w:szCs w:val="18"/>
            <w:u w:val="single" w:color="auto"/>
            <w:color w:val="0000EE"/>
          </w:rPr>
          <w:t>June 30, 2019</w:t>
        </w:r>
      </w:hyperlink>
      <w:r>
        <w:rPr>
          <w:rFonts w:ascii="Arial" w:cs="Arial" w:eastAsia="Arial" w:hAnsi="Arial"/>
          <w:sz w:val="18"/>
          <w:szCs w:val="18"/>
          <w:color w:val="auto"/>
        </w:rPr>
        <w:t>, filed on April 25, 2019 and July 25, 2019, respectively.</w:t>
      </w:r>
    </w:p>
    <w:p>
      <w:pPr>
        <w:spacing w:after="0" w:line="50" w:lineRule="exact"/>
        <w:rPr>
          <w:rFonts w:ascii="Arial" w:cs="Arial" w:eastAsia="Arial" w:hAnsi="Arial"/>
          <w:sz w:val="18"/>
          <w:szCs w:val="18"/>
          <w:color w:val="auto"/>
        </w:rPr>
      </w:pPr>
    </w:p>
    <w:p>
      <w:pPr>
        <w:ind w:left="1180" w:right="800" w:hanging="436"/>
        <w:spacing w:after="0" w:line="268" w:lineRule="auto"/>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Comcast’s Current Reports on Form 8-K filed on </w:t>
      </w:r>
      <w:hyperlink r:id="rId52">
        <w:r>
          <w:rPr>
            <w:rFonts w:ascii="Arial" w:cs="Arial" w:eastAsia="Arial" w:hAnsi="Arial"/>
            <w:sz w:val="18"/>
            <w:szCs w:val="18"/>
            <w:u w:val="single" w:color="auto"/>
            <w:color w:val="0000EE"/>
          </w:rPr>
          <w:t>May 14, 2019</w:t>
        </w:r>
      </w:hyperlink>
      <w:r>
        <w:rPr>
          <w:rFonts w:ascii="Arial" w:cs="Arial" w:eastAsia="Arial" w:hAnsi="Arial"/>
          <w:sz w:val="18"/>
          <w:szCs w:val="18"/>
          <w:color w:val="auto"/>
        </w:rPr>
        <w:t xml:space="preserve">, </w:t>
      </w:r>
      <w:hyperlink r:id="rId53">
        <w:r>
          <w:rPr>
            <w:rFonts w:ascii="Arial" w:cs="Arial" w:eastAsia="Arial" w:hAnsi="Arial"/>
            <w:sz w:val="18"/>
            <w:szCs w:val="18"/>
            <w:u w:val="single" w:color="auto"/>
            <w:color w:val="0000EE"/>
          </w:rPr>
          <w:t>June 7,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54">
        <w:r>
          <w:rPr>
            <w:rFonts w:ascii="Arial" w:cs="Arial" w:eastAsia="Arial" w:hAnsi="Arial"/>
            <w:sz w:val="18"/>
            <w:szCs w:val="18"/>
            <w:u w:val="single" w:color="auto"/>
            <w:color w:val="0000EE"/>
          </w:rPr>
          <w:t>June 20,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(other than Item 7.01 thereto) and Form 8-K/A filed on </w:t>
      </w:r>
      <w:hyperlink r:id="rId55">
        <w:r>
          <w:rPr>
            <w:rFonts w:ascii="Arial" w:cs="Arial" w:eastAsia="Arial" w:hAnsi="Arial"/>
            <w:sz w:val="18"/>
            <w:szCs w:val="18"/>
            <w:u w:val="single" w:color="auto"/>
            <w:color w:val="0000EE"/>
          </w:rPr>
          <w:t>August 1, 2019</w:t>
        </w:r>
      </w:hyperlink>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1180" w:right="660" w:hanging="436"/>
        <w:spacing w:after="0" w:line="268" w:lineRule="auto"/>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The sections of Comcast’s Definitive Proxy Statement on </w:t>
      </w:r>
      <w:hyperlink r:id="rId56">
        <w:r>
          <w:rPr>
            <w:rFonts w:ascii="Arial" w:cs="Arial" w:eastAsia="Arial" w:hAnsi="Arial"/>
            <w:sz w:val="18"/>
            <w:szCs w:val="18"/>
            <w:u w:val="single" w:color="auto"/>
            <w:color w:val="0000EE"/>
          </w:rPr>
          <w:t>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2019 annual meeting of shareholders incorporated by reference in Comcast’s Annual Report on Form 10-K for the year ended December 31, 2018.</w:t>
      </w:r>
    </w:p>
    <w:p>
      <w:pPr>
        <w:spacing w:after="0" w:line="50" w:lineRule="exact"/>
        <w:rPr>
          <w:rFonts w:ascii="Arial" w:cs="Arial" w:eastAsia="Arial" w:hAnsi="Arial"/>
          <w:sz w:val="18"/>
          <w:szCs w:val="18"/>
          <w:color w:val="auto"/>
        </w:rPr>
      </w:pPr>
    </w:p>
    <w:p>
      <w:pPr>
        <w:ind w:left="1180" w:right="360" w:hanging="436"/>
        <w:spacing w:after="0" w:line="332" w:lineRule="auto"/>
        <w:tabs>
          <w:tab w:leader="none" w:pos="11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The description of our capital stock included in Item 3.02 under the caption “Amended and Restated Description of our Class A Common Stock” in Comcast’s Current Report on </w:t>
      </w:r>
      <w:hyperlink r:id="rId57">
        <w:r>
          <w:rPr>
            <w:rFonts w:ascii="Arial" w:cs="Arial" w:eastAsia="Arial" w:hAnsi="Arial"/>
            <w:sz w:val="16"/>
            <w:szCs w:val="16"/>
            <w:u w:val="single" w:color="auto"/>
            <w:color w:val="0000EE"/>
          </w:rPr>
          <w:t>Form 8-K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filed on December 15, 2015, as the same may be further amended from time to time.</w:t>
      </w:r>
    </w:p>
    <w:p>
      <w:pPr>
        <w:spacing w:after="0" w:line="85" w:lineRule="exact"/>
        <w:rPr>
          <w:rFonts w:ascii="Arial" w:cs="Arial" w:eastAsia="Arial" w:hAnsi="Arial"/>
          <w:sz w:val="18"/>
          <w:szCs w:val="18"/>
          <w:color w:val="auto"/>
        </w:rPr>
      </w:pPr>
    </w:p>
    <w:p>
      <w:pPr>
        <w:ind w:left="200" w:right="20" w:firstLine="441"/>
        <w:spacing w:after="0" w:line="283" w:lineRule="auto"/>
        <w:rPr>
          <w:sz w:val="20"/>
          <w:szCs w:val="20"/>
          <w:color w:val="auto"/>
        </w:rPr>
      </w:pPr>
      <w:r>
        <w:rPr>
          <w:rFonts w:ascii="Arial" w:cs="Arial" w:eastAsia="Arial" w:hAnsi="Arial"/>
          <w:sz w:val="16"/>
          <w:szCs w:val="16"/>
          <w:color w:val="auto"/>
        </w:rPr>
        <w:t>We and NBCUniversal also incorporate by reference into this prospectus additional documents that we or NBCUniversal may file with the SEC under Sections 13(a), 13(c), 14 or 15(d) of the Exchange Act until we sell all of the securities we are offering.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We will provide free copies of any of those documents, if you write or telephone us at: One Comcast Center, Philadelphia, Pennsylvania 19103-2838, (215)</w:t>
      </w:r>
    </w:p>
    <w:p>
      <w:pPr>
        <w:spacing w:after="0" w:line="2" w:lineRule="exact"/>
        <w:rPr>
          <w:rFonts w:ascii="Arial" w:cs="Arial" w:eastAsia="Arial" w:hAnsi="Arial"/>
          <w:sz w:val="18"/>
          <w:szCs w:val="18"/>
          <w:color w:val="auto"/>
        </w:rPr>
      </w:pPr>
    </w:p>
    <w:p>
      <w:pPr>
        <w:ind w:left="200"/>
        <w:spacing w:after="0"/>
        <w:rPr>
          <w:sz w:val="20"/>
          <w:szCs w:val="20"/>
          <w:color w:val="auto"/>
        </w:rPr>
      </w:pPr>
      <w:r>
        <w:rPr>
          <w:rFonts w:ascii="Arial" w:cs="Arial" w:eastAsia="Arial" w:hAnsi="Arial"/>
          <w:sz w:val="18"/>
          <w:szCs w:val="18"/>
          <w:color w:val="auto"/>
        </w:rPr>
        <w:t>286-1700.</w:t>
      </w:r>
    </w:p>
    <w:p>
      <w:pPr>
        <w:spacing w:after="0" w:line="151" w:lineRule="exact"/>
        <w:rPr>
          <w:rFonts w:ascii="Arial" w:cs="Arial" w:eastAsia="Arial" w:hAnsi="Arial"/>
          <w:sz w:val="18"/>
          <w:szCs w:val="18"/>
          <w:color w:val="auto"/>
        </w:rPr>
      </w:pPr>
    </w:p>
    <w:p>
      <w:pPr>
        <w:jc w:val="center"/>
        <w:ind w:right="-2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24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93"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Other Expenses of Issuance and Distribution</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following table sets forth the estimated costs and expenses payable by the Registrants in connection with this Registration Statement.</w:t>
      </w:r>
    </w:p>
    <w:p>
      <w:pPr>
        <w:sectPr>
          <w:pgSz w:w="11900" w:h="16838" w:orient="portrait"/>
          <w:cols w:equalWidth="0" w:num="1">
            <w:col w:w="11200"/>
          </w:cols>
          <w:pgMar w:left="240" w:top="459" w:right="45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-125730</wp:posOffset>
            </wp:positionV>
            <wp:extent cx="475107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4751070" cy="146050"/>
                    </a:xfrm>
                    <a:prstGeom prst="rect">
                      <a:avLst/>
                    </a:prstGeom>
                    <a:noFill/>
                  </pic:spPr>
                </pic:pic>
              </a:graphicData>
            </a:graphic>
          </wp:anchor>
        </w:drawing>
      </w:r>
    </w:p>
    <w:p>
      <w:pPr>
        <w:spacing w:after="0" w:line="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Legal fees and expenses</w:t>
      </w:r>
    </w:p>
    <w:p>
      <w:pPr>
        <w:spacing w:after="0" w:line="15"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Printing and engraving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-114935</wp:posOffset>
            </wp:positionV>
            <wp:extent cx="475107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spacing w:after="0" w:line="12" w:lineRule="exact"/>
        <w:rPr>
          <w:sz w:val="20"/>
          <w:szCs w:val="20"/>
          <w:color w:val="auto"/>
        </w:rPr>
      </w:pPr>
    </w:p>
    <w:p>
      <w:pPr>
        <w:ind w:left="1980"/>
        <w:spacing w:after="0"/>
        <w:rPr>
          <w:sz w:val="20"/>
          <w:szCs w:val="20"/>
          <w:color w:val="auto"/>
        </w:rPr>
      </w:pPr>
      <w:r>
        <w:rPr>
          <w:rFonts w:ascii="Arial" w:cs="Arial" w:eastAsia="Arial" w:hAnsi="Arial"/>
          <w:sz w:val="15"/>
          <w:szCs w:val="15"/>
          <w:color w:val="auto"/>
        </w:rPr>
        <w:t>Accounting fees and expenses</w:t>
      </w:r>
    </w:p>
    <w:p>
      <w:pPr>
        <w:spacing w:after="0" w:line="44"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-129540</wp:posOffset>
            </wp:positionV>
            <wp:extent cx="475107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spacing w:after="0" w:line="10"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114300</wp:posOffset>
            </wp:positionV>
            <wp:extent cx="7632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jc w:val="center"/>
        <w:ind w:right="1880"/>
        <w:spacing w:after="0"/>
        <w:rPr>
          <w:sz w:val="20"/>
          <w:szCs w:val="20"/>
          <w:color w:val="auto"/>
        </w:rPr>
      </w:pPr>
      <w:r>
        <w:rPr>
          <w:rFonts w:ascii="Arial" w:cs="Arial" w:eastAsia="Arial" w:hAnsi="Arial"/>
          <w:sz w:val="12"/>
          <w:szCs w:val="12"/>
          <w:b w:val="1"/>
          <w:bCs w:val="1"/>
          <w:color w:val="auto"/>
        </w:rPr>
        <w:t>Amount to be</w:t>
      </w:r>
    </w:p>
    <w:p>
      <w:pPr>
        <w:spacing w:after="0" w:line="24" w:lineRule="exact"/>
        <w:rPr>
          <w:sz w:val="20"/>
          <w:szCs w:val="20"/>
          <w:color w:val="auto"/>
        </w:rPr>
      </w:pPr>
    </w:p>
    <w:p>
      <w:pPr>
        <w:jc w:val="center"/>
        <w:ind w:right="1880"/>
        <w:spacing w:after="0"/>
        <w:rPr>
          <w:sz w:val="20"/>
          <w:szCs w:val="20"/>
          <w:color w:val="auto"/>
        </w:rPr>
      </w:pPr>
      <w:r>
        <w:rPr>
          <w:rFonts w:ascii="Arial" w:cs="Arial" w:eastAsia="Arial" w:hAnsi="Arial"/>
          <w:sz w:val="14"/>
          <w:szCs w:val="14"/>
          <w:b w:val="1"/>
          <w:bCs w:val="1"/>
          <w:color w:val="auto"/>
        </w:rPr>
        <w:t>Paid</w:t>
      </w:r>
    </w:p>
    <w:p>
      <w:pPr>
        <w:ind w:left="800" w:hanging="797"/>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p>
    <w:p>
      <w:pPr>
        <w:spacing w:after="0" w:line="7"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6985</wp:posOffset>
            </wp:positionV>
            <wp:extent cx="5060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10" w:lineRule="exact"/>
        <w:rPr>
          <w:sz w:val="20"/>
          <w:szCs w:val="20"/>
          <w:color w:val="auto"/>
        </w:rPr>
      </w:pPr>
    </w:p>
    <w:p>
      <w:pPr>
        <w:ind w:left="720" w:hanging="717"/>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10795</wp:posOffset>
            </wp:positionV>
            <wp:extent cx="5060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27940</wp:posOffset>
            </wp:positionV>
            <wp:extent cx="50609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00" w:space="720"/>
            <w:col w:w="2680"/>
          </w:cols>
          <w:pgMar w:left="240" w:top="459" w:right="459" w:bottom="1440" w:gutter="0" w:footer="0" w:header="0"/>
          <w:type w:val="continuous"/>
        </w:sectPr>
      </w:pPr>
    </w:p>
    <w:p>
      <w:pPr>
        <w:spacing w:after="0" w:line="12" w:lineRule="exact"/>
        <w:rPr>
          <w:sz w:val="20"/>
          <w:szCs w:val="20"/>
          <w:color w:val="auto"/>
        </w:rPr>
      </w:pPr>
    </w:p>
    <w:p>
      <w:pPr>
        <w:ind w:left="640" w:hanging="43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Omitted because the registration fee is being deferred pursuant to Rule 456(b).</w:t>
      </w:r>
    </w:p>
    <w:p>
      <w:pPr>
        <w:spacing w:after="0" w:line="15" w:lineRule="exact"/>
        <w:rPr>
          <w:sz w:val="20"/>
          <w:szCs w:val="20"/>
          <w:color w:val="auto"/>
        </w:rPr>
      </w:pPr>
    </w:p>
    <w:p>
      <w:pPr>
        <w:ind w:left="640" w:hanging="436"/>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These fees are calculated based on the securities offered and the number of issuances and accordingly cannot be estimated at this time.</w:t>
      </w:r>
    </w:p>
    <w:p>
      <w:pPr>
        <w:spacing w:after="0" w:line="303"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Indemnification of Directors and Officers</w:t>
      </w:r>
    </w:p>
    <w:p>
      <w:pPr>
        <w:spacing w:after="0" w:line="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Comcast Corporation</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Indemnification under Pennsylvania Law and Comcast’s Charter and By-laws.</w:t>
      </w:r>
    </w:p>
    <w:p>
      <w:pPr>
        <w:spacing w:after="0" w:line="171" w:lineRule="exact"/>
        <w:rPr>
          <w:sz w:val="20"/>
          <w:szCs w:val="20"/>
          <w:color w:val="auto"/>
        </w:rPr>
      </w:pPr>
    </w:p>
    <w:p>
      <w:pPr>
        <w:ind w:left="200" w:right="200" w:firstLine="441"/>
        <w:spacing w:after="0" w:line="332" w:lineRule="auto"/>
        <w:rPr>
          <w:sz w:val="20"/>
          <w:szCs w:val="20"/>
          <w:color w:val="auto"/>
        </w:rPr>
      </w:pPr>
      <w:r>
        <w:rPr>
          <w:rFonts w:ascii="Arial" w:cs="Arial" w:eastAsia="Arial" w:hAnsi="Arial"/>
          <w:sz w:val="16"/>
          <w:szCs w:val="16"/>
          <w:color w:val="auto"/>
        </w:rPr>
        <w:t>Sections 1741 through 1750 of Subchapter D, Chapter 17, of the Pennsylvania Business Corporation Law of 1988 (“PBCL”) contain provisions for mandatory and discretionary indemnification of a corporation’s directors, officers and other personnel, and related matters.</w:t>
      </w:r>
    </w:p>
    <w:p>
      <w:pPr>
        <w:spacing w:after="0" w:line="85" w:lineRule="exact"/>
        <w:rPr>
          <w:sz w:val="20"/>
          <w:szCs w:val="20"/>
          <w:color w:val="auto"/>
        </w:rPr>
      </w:pPr>
    </w:p>
    <w:p>
      <w:pPr>
        <w:ind w:left="200" w:firstLine="441"/>
        <w:spacing w:after="0" w:line="312" w:lineRule="auto"/>
        <w:rPr>
          <w:sz w:val="20"/>
          <w:szCs w:val="20"/>
          <w:color w:val="auto"/>
        </w:rPr>
      </w:pPr>
      <w:r>
        <w:rPr>
          <w:rFonts w:ascii="Arial" w:cs="Arial" w:eastAsia="Arial" w:hAnsi="Arial"/>
          <w:sz w:val="15"/>
          <w:szCs w:val="15"/>
          <w:color w:val="auto"/>
        </w:rPr>
        <w:t>Under Section 1741 of the PBCL, subject to certain limitations, a corporation has the power to indemnify directors and officers under certain prescribed circumstances against expenses (including attorneys’ fees), judgments, fines and amounts paid in settlement actually and reasonably incurred in connection with an action or proceeding, whether civil, criminal, administrative or investigative (other than derivative or corporate actions), to which any such officer or director is a party or is threatened to be made a party by reason of such officer or director being a representative of the corporation or serving at the request of the corporation as a representative of another domestic or foreign corporation for profit or not-for-profit, partnership, joint venture, trust or other enterprise, so long as the director or officer acted in good faith and in a manner reasonably believed to be in, or not opposed to, the best interests of the corporation and, with respect to any criminal proceeding, such officer or director had no reasonable cause to believe his or her conduct was unlawful.</w:t>
      </w:r>
    </w:p>
    <w:p>
      <w:pPr>
        <w:spacing w:after="0" w:line="105"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Section 1742 of the PBCL permits indemnification in derivative and corporate actions if the director or officer acted in good faith and in a manner reasonably believed to be in, or not opposed to, the best interests of the corporation, except in respect of any claim, issue or matter as to which the officer or director has been adjudged to be liable to the corporation unless and only to the extent that the proper court determines upon application that, despite the adjudication of liability but in view of all the circumstances of the case, the officer or director is fairly and reasonably entitled to indemnity for the expenses that the court deems proper.</w:t>
      </w:r>
    </w:p>
    <w:p>
      <w:pPr>
        <w:spacing w:after="0" w:line="143" w:lineRule="exact"/>
        <w:rPr>
          <w:sz w:val="20"/>
          <w:szCs w:val="20"/>
          <w:color w:val="auto"/>
        </w:rPr>
      </w:pPr>
    </w:p>
    <w:p>
      <w:pPr>
        <w:ind w:left="200" w:firstLine="441"/>
        <w:spacing w:after="0" w:line="268" w:lineRule="auto"/>
        <w:rPr>
          <w:sz w:val="20"/>
          <w:szCs w:val="20"/>
          <w:color w:val="auto"/>
        </w:rPr>
      </w:pPr>
      <w:r>
        <w:rPr>
          <w:rFonts w:ascii="Arial" w:cs="Arial" w:eastAsia="Arial" w:hAnsi="Arial"/>
          <w:sz w:val="18"/>
          <w:szCs w:val="18"/>
          <w:color w:val="auto"/>
        </w:rPr>
        <w:t>Under Section 1743 of the PBCL, indemnification is mandatory to the extent that the officer or director has been successful on the merits or otherwise in defense of any action or proceeding referred to in Section 1741 or 1742 of the PBCL.</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00"/>
          </w:cols>
          <w:pgMar w:left="240" w:top="459" w:right="45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Section 1744 of the PBCL provides that, unless ordered by a court, any indemnification under Section 1741 or 1742 of the PBCL shall be made by the corporation only as authorized in the specific case upon a determination that the officer or director met the applicable standard of conduct, and such determination must be made (i) by the board of directors by a majority vote of a quorum of directors not parties to the action or proceeding, (ii) if a quorum is not obtainable, or if obtainable and a majority vote of a quorum of disinterested directors so directs, by independent legal counsel in a written opinion, or (iii) by the shareholders.</w:t>
      </w:r>
    </w:p>
    <w:p>
      <w:pPr>
        <w:spacing w:after="0" w:line="143"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Section 1745 of the PBCL provides that expenses (including attorneys’ fees) incurred by a director or officer in defending any action or proceeding referred to in Subchapter D of Chapter 17 of the PBCL may be paid by the corporation in advance of the final disposition of such action or proceeding upon receipt of an undertaking by or on behalf of such person to repay such amount if it shall ultimately be determined that he or she is not entitled to be indemnified by the corporation. Except as otherwise provided in the corporation’s by-laws, advancement of expenses must be authorized by the board of directors.</w:t>
      </w:r>
    </w:p>
    <w:p>
      <w:pPr>
        <w:spacing w:after="0" w:line="143" w:lineRule="exact"/>
        <w:rPr>
          <w:sz w:val="20"/>
          <w:szCs w:val="20"/>
          <w:color w:val="auto"/>
        </w:rPr>
      </w:pPr>
    </w:p>
    <w:p>
      <w:pPr>
        <w:ind w:left="200" w:right="20" w:firstLine="441"/>
        <w:spacing w:after="0" w:line="294" w:lineRule="auto"/>
        <w:rPr>
          <w:sz w:val="20"/>
          <w:szCs w:val="20"/>
          <w:color w:val="auto"/>
        </w:rPr>
      </w:pPr>
      <w:r>
        <w:rPr>
          <w:rFonts w:ascii="Arial" w:cs="Arial" w:eastAsia="Arial" w:hAnsi="Arial"/>
          <w:sz w:val="16"/>
          <w:szCs w:val="16"/>
          <w:color w:val="auto"/>
        </w:rPr>
        <w:t>Section 1746 of the PBCL provides generally that the indemnification and advancement of expenses provided by Subchapter D of Chapter 17 of the PBCL shall not be deemed exclusive of any other rights to which an officer or director seeking indemnification or advancement of expenses may be entitled under any by-law, agreement, vote of shareholders or disinterested directors or otherwise, both as to action in the officer or director’s official capacity and as to action in another capacity while holding that office. In no event may indemnification be made in any case where the act or failure to act giving rise to the claim for indemnification is determined by a court to have constituted willful misconduct or recklessness.</w:t>
      </w:r>
    </w:p>
    <w:p>
      <w:pPr>
        <w:spacing w:after="0" w:line="116" w:lineRule="exact"/>
        <w:rPr>
          <w:sz w:val="20"/>
          <w:szCs w:val="20"/>
          <w:color w:val="auto"/>
        </w:rPr>
      </w:pPr>
    </w:p>
    <w:p>
      <w:pPr>
        <w:jc w:val="both"/>
        <w:ind w:left="200" w:right="80" w:firstLine="441"/>
        <w:spacing w:after="0" w:line="306" w:lineRule="auto"/>
        <w:rPr>
          <w:sz w:val="20"/>
          <w:szCs w:val="20"/>
          <w:color w:val="auto"/>
        </w:rPr>
      </w:pPr>
      <w:r>
        <w:rPr>
          <w:rFonts w:ascii="Arial" w:cs="Arial" w:eastAsia="Arial" w:hAnsi="Arial"/>
          <w:sz w:val="16"/>
          <w:szCs w:val="16"/>
          <w:color w:val="auto"/>
        </w:rPr>
        <w:t>Section 1747 of the PBCL grants a corporation the power to purchase and maintain insurance on behalf of any director or officer against any liability asserted against the officer or director or incurred by the officer or director in his or her capacity as officer or director, whether or not the corporation would have the power to indemnify the officer or director against that liability under Subchapter D of Chapter 17 of the PBCL.</w:t>
      </w:r>
    </w:p>
    <w:p>
      <w:pPr>
        <w:spacing w:after="0" w:line="107" w:lineRule="exact"/>
        <w:rPr>
          <w:sz w:val="20"/>
          <w:szCs w:val="20"/>
          <w:color w:val="auto"/>
        </w:rPr>
      </w:pPr>
    </w:p>
    <w:p>
      <w:pPr>
        <w:ind w:left="200" w:right="20" w:firstLine="441"/>
        <w:spacing w:after="0" w:line="332" w:lineRule="auto"/>
        <w:rPr>
          <w:sz w:val="20"/>
          <w:szCs w:val="20"/>
          <w:color w:val="auto"/>
        </w:rPr>
      </w:pPr>
      <w:r>
        <w:rPr>
          <w:rFonts w:ascii="Arial" w:cs="Arial" w:eastAsia="Arial" w:hAnsi="Arial"/>
          <w:sz w:val="16"/>
          <w:szCs w:val="16"/>
          <w:color w:val="auto"/>
        </w:rPr>
        <w:t>Sections 1748 and 1749 of the PBCL extend the indemnification and advancement of expenses provisions contained in Subchapter D of Chapter 17 of the PBCL to successor corporations in fundamental changes and to officers and directors serving as fiduciaries of employee benefit plans.</w:t>
      </w:r>
    </w:p>
    <w:p>
      <w:pPr>
        <w:spacing w:after="0" w:line="85"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Section 1750 of the PBCL provides that the indemnification and advancement of expenses provided by, or granted pursuant to, Subchapter D of Chapter 17 of the PBCL shall, unless otherwise provided when authorized or ratified, continue as to a person who has ceased to be a director or officer and shall inure to the benefit of the heirs and personal representatives of such person.</w:t>
      </w:r>
    </w:p>
    <w:p>
      <w:pPr>
        <w:spacing w:after="0" w:line="140" w:lineRule="exact"/>
        <w:rPr>
          <w:sz w:val="20"/>
          <w:szCs w:val="20"/>
          <w:color w:val="auto"/>
        </w:rPr>
      </w:pPr>
    </w:p>
    <w:p>
      <w:pPr>
        <w:ind w:left="200" w:right="180" w:firstLine="441"/>
        <w:spacing w:after="0" w:line="256" w:lineRule="auto"/>
        <w:rPr>
          <w:sz w:val="20"/>
          <w:szCs w:val="20"/>
          <w:color w:val="auto"/>
        </w:rPr>
      </w:pPr>
      <w:r>
        <w:rPr>
          <w:rFonts w:ascii="Arial" w:cs="Arial" w:eastAsia="Arial" w:hAnsi="Arial"/>
          <w:sz w:val="18"/>
          <w:szCs w:val="18"/>
          <w:color w:val="auto"/>
        </w:rPr>
        <w:t>Article Eleventh of the Comcast charter provides that no person who is or was a director of Comcast will be personally liable, as such, for monetary damages (other than under criminal statutes and under laws imposing such liability on directors for the payment of taxes) unless such person’s conduct constitutes self-dealing, willful misconduct or recklessness. Article Twelve of the Comcast charter extends such protection to any person who is or was an officer of Comcast.</w:t>
      </w:r>
    </w:p>
    <w:p>
      <w:pPr>
        <w:spacing w:after="0" w:line="143" w:lineRule="exact"/>
        <w:rPr>
          <w:sz w:val="20"/>
          <w:szCs w:val="20"/>
          <w:color w:val="auto"/>
        </w:rPr>
      </w:pPr>
    </w:p>
    <w:p>
      <w:pPr>
        <w:ind w:left="200" w:right="120" w:firstLine="441"/>
        <w:spacing w:after="0" w:line="289" w:lineRule="auto"/>
        <w:rPr>
          <w:sz w:val="20"/>
          <w:szCs w:val="20"/>
          <w:color w:val="auto"/>
        </w:rPr>
      </w:pPr>
      <w:r>
        <w:rPr>
          <w:rFonts w:ascii="Arial" w:cs="Arial" w:eastAsia="Arial" w:hAnsi="Arial"/>
          <w:sz w:val="16"/>
          <w:szCs w:val="16"/>
          <w:color w:val="auto"/>
        </w:rPr>
        <w:t>Article 7 of the Comcast by-laws provides that each officer and director of Comcast will be indemnified and held harmless by Comcast to the fullest extent permitted by Pennsylvania law against all expense, liability and loss (including, without limitation, attorneys’ fees, judgments, fines, taxes, penalties and amounts paid or to be paid in settlement) reasonably incurred or suffered by such officer or director in connection with any threatened, pending or completed action, suit or proceeding (including, without limitation, an action, suit or proceeding by or in the right of Comcast), whether civil, criminal, administrative or investigative (a “Proceeding”). No indemnification will be made, however, in any case where the act or failure to act giving rise to the claim for indemnification is determined by a court to have constituted willful misconduct or recklessness, or in connection with a Proceeding (or part of a Proceeding) initiated by an officer or director (except in connection with a Proceeding to enforce a right to indemnification or advancement of expenses), unless the Proceeding (or part of</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60"/>
        <w:spacing w:after="0" w:line="294" w:lineRule="auto"/>
        <w:rPr>
          <w:sz w:val="20"/>
          <w:szCs w:val="20"/>
          <w:color w:val="auto"/>
        </w:rPr>
      </w:pPr>
      <w:r>
        <w:rPr>
          <w:rFonts w:ascii="Arial" w:cs="Arial" w:eastAsia="Arial" w:hAnsi="Arial"/>
          <w:sz w:val="16"/>
          <w:szCs w:val="16"/>
          <w:color w:val="auto"/>
        </w:rPr>
        <w:t>the Proceeding) was authorized by the Board of Directors. The right to indemnification includes the right to have the expenses incurred by such director or officer in participating in any Proceeding paid by Comcast in advance of the final disposition of the Proceeding automatically and without any action or approval required by the Board of Directors, provided that, if Pennsylvania law requires, the payment of expenses incurred by such director or officer in advance of the final disposition of a Proceeding shall only be made upon delivery to Comcast of an undertaking, by or on behalf of the director or officer, to repay all advanced amounts without interest if it is ultimately determined that the director or officer is not entitled to be so indemnified.</w:t>
      </w:r>
    </w:p>
    <w:p>
      <w:pPr>
        <w:spacing w:after="0" w:line="116" w:lineRule="exact"/>
        <w:rPr>
          <w:sz w:val="20"/>
          <w:szCs w:val="20"/>
          <w:color w:val="auto"/>
        </w:rPr>
      </w:pPr>
    </w:p>
    <w:p>
      <w:pPr>
        <w:ind w:left="200" w:right="200" w:firstLine="441"/>
        <w:spacing w:after="0" w:line="256" w:lineRule="auto"/>
        <w:rPr>
          <w:sz w:val="20"/>
          <w:szCs w:val="20"/>
          <w:color w:val="auto"/>
        </w:rPr>
      </w:pPr>
      <w:r>
        <w:rPr>
          <w:rFonts w:ascii="Arial" w:cs="Arial" w:eastAsia="Arial" w:hAnsi="Arial"/>
          <w:sz w:val="18"/>
          <w:szCs w:val="18"/>
          <w:color w:val="auto"/>
        </w:rPr>
        <w:t>Article 7 of the Comcast by-laws also provides that Comcast may purchase and maintain insurance, at its expense, for the benefit of any person on behalf of whom insurance is permitted to be purchased by Pennsylvania law against any expense, liability or loss, whether or not Comcast would have the power to indemnify such person under Pennsylvania or any other law. Comcast may also purchase and maintain insurance to insure its indemnification obligations.</w:t>
      </w:r>
    </w:p>
    <w:p>
      <w:pPr>
        <w:spacing w:after="0" w:line="143" w:lineRule="exact"/>
        <w:rPr>
          <w:sz w:val="20"/>
          <w:szCs w:val="20"/>
          <w:color w:val="auto"/>
        </w:rPr>
      </w:pPr>
    </w:p>
    <w:p>
      <w:pPr>
        <w:ind w:left="200" w:right="80" w:firstLine="441"/>
        <w:spacing w:after="0" w:line="332" w:lineRule="auto"/>
        <w:rPr>
          <w:sz w:val="20"/>
          <w:szCs w:val="20"/>
          <w:color w:val="auto"/>
        </w:rPr>
      </w:pPr>
      <w:r>
        <w:rPr>
          <w:rFonts w:ascii="Arial" w:cs="Arial" w:eastAsia="Arial" w:hAnsi="Arial"/>
          <w:sz w:val="16"/>
          <w:szCs w:val="16"/>
          <w:color w:val="auto"/>
        </w:rPr>
        <w:t>In addition, Comcast has entered into indemnification agreements with all of its directors, to indemnify the directors to the fullest extent permitted by applicable law. Comcast also maintains directors and officers insurance to insure such persons against certain liabilities.</w:t>
      </w:r>
    </w:p>
    <w:p>
      <w:pPr>
        <w:spacing w:after="0" w:line="85" w:lineRule="exact"/>
        <w:rPr>
          <w:sz w:val="20"/>
          <w:szCs w:val="20"/>
          <w:color w:val="auto"/>
        </w:rPr>
      </w:pPr>
    </w:p>
    <w:p>
      <w:pPr>
        <w:ind w:left="200" w:right="400" w:firstLine="441"/>
        <w:spacing w:after="0" w:line="268" w:lineRule="auto"/>
        <w:rPr>
          <w:sz w:val="20"/>
          <w:szCs w:val="20"/>
          <w:color w:val="auto"/>
        </w:rPr>
      </w:pPr>
      <w:r>
        <w:rPr>
          <w:rFonts w:ascii="Arial" w:cs="Arial" w:eastAsia="Arial" w:hAnsi="Arial"/>
          <w:sz w:val="18"/>
          <w:szCs w:val="18"/>
          <w:color w:val="auto"/>
        </w:rPr>
        <w:t>The foregoing statements are subject to the detailed provisions of the PBCL and to the applicable provisions of the Comcast charter, by-laws and indemnification agreements.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NBCUniversal Media, LLC</w:t>
      </w:r>
    </w:p>
    <w:p>
      <w:pPr>
        <w:spacing w:after="0" w:line="96" w:lineRule="exact"/>
        <w:rPr>
          <w:sz w:val="20"/>
          <w:szCs w:val="20"/>
          <w:color w:val="auto"/>
        </w:rPr>
      </w:pPr>
    </w:p>
    <w:p>
      <w:pPr>
        <w:jc w:val="both"/>
        <w:ind w:left="200" w:right="120" w:firstLine="441"/>
        <w:spacing w:after="0" w:line="255" w:lineRule="auto"/>
        <w:rPr>
          <w:sz w:val="20"/>
          <w:szCs w:val="20"/>
          <w:color w:val="auto"/>
        </w:rPr>
      </w:pPr>
      <w:r>
        <w:rPr>
          <w:rFonts w:ascii="Arial" w:cs="Arial" w:eastAsia="Arial" w:hAnsi="Arial"/>
          <w:sz w:val="18"/>
          <w:szCs w:val="18"/>
          <w:color w:val="auto"/>
        </w:rPr>
        <w:t>NBCUniversal Media, LLC is a limited liability company organized under the laws of the State of Delaware. Section 18-108 of the Limited Liability Company Act of Delaware permits a limited liability company, subject to any restrictions set forth in its limited liability company agreement, to indemnify its members, managers and officers from and against any and all claims and demands. Members, managers and officers of NBCUniversal Media, LLC are also entitled to mandatory and discretionary indemnification as described above under “Comcast Corporation.” NBCUniversal, LLC is the sole member of NBCUniversal Media, LLC.</w:t>
      </w:r>
    </w:p>
    <w:p>
      <w:pPr>
        <w:spacing w:after="0" w:line="143" w:lineRule="exact"/>
        <w:rPr>
          <w:sz w:val="20"/>
          <w:szCs w:val="20"/>
          <w:color w:val="auto"/>
        </w:rPr>
      </w:pPr>
    </w:p>
    <w:p>
      <w:pPr>
        <w:ind w:left="200" w:right="560" w:firstLine="441"/>
        <w:spacing w:after="0" w:line="259" w:lineRule="auto"/>
        <w:rPr>
          <w:sz w:val="20"/>
          <w:szCs w:val="20"/>
          <w:color w:val="auto"/>
        </w:rPr>
      </w:pPr>
      <w:r>
        <w:rPr>
          <w:rFonts w:ascii="Arial" w:cs="Arial" w:eastAsia="Arial" w:hAnsi="Arial"/>
          <w:sz w:val="18"/>
          <w:szCs w:val="18"/>
          <w:color w:val="auto"/>
        </w:rPr>
        <w:t>Comcast maintains standard policies of insurance on behalf of NBCUniversal Media, LLC and NBCUniversal, LLC under which coverage is provided to their respective officers and NBCUniversal, LLC’s directors against loss arising from claims made by reason of a breach of duty or other wrongful act.</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Comcast Cable Communications, LLC</w:t>
      </w:r>
    </w:p>
    <w:p>
      <w:pPr>
        <w:spacing w:after="0" w:line="96"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Comcast Cable is a limited liability company organized under the laws of the State of Delaware. Section 18-108 of the Delaware Limited Liability Company Act permits a limited liability company, subject to any restrictions that may be set forth in its limited liability company agreement, to indemnify its members, managers and officers from and against any and all claims and demands.</w:t>
      </w:r>
    </w:p>
    <w:p>
      <w:pPr>
        <w:spacing w:after="0" w:line="140"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Section 18.1 of Comcast Cable’s Limited Liability Company Agreement (“LLC Agreement”) provides that Comcast Cable will indemnify the member, Comcast Holdings Corporation, any officer of Comcast Cable and any officer of Comcast Cable who is or was serving as a director, officer, employee or agent of another entity at Comcast Cable’s request (each, an “Indemnified Person”) against expenses (including attorneys’ fees), judgments, fines and amounts paid in settlement, actually and reasonably incurred by such Indemnified Person, to the fullest extent permitted by law in connection with any threatened, pending or contemplated action, suit or proceeding, whether civil, criminal, administrative or investigative (hereinafter, a “proceeding”), brought or threatened to be brought against such Indemnified Person by reason of the fact that he or she is or was serving in any such capacity or in any other capacity on behalf of Comcast Cable, the member or any of Comcast Cable’s subsidiaries. In addition, the member may, by resolution, similarly indemnify any other person (hereinafter, an “Other Person”) for liabilities incurred by him or her in connection with services rendered by him or her for or at the request of Comcast Cable, the member or any of Comcast Cable’s subsidiaries.</w:t>
      </w:r>
    </w:p>
    <w:p>
      <w:pPr>
        <w:spacing w:after="0" w:line="10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60" w:firstLine="441"/>
        <w:spacing w:after="0" w:line="294" w:lineRule="auto"/>
        <w:rPr>
          <w:sz w:val="20"/>
          <w:szCs w:val="20"/>
          <w:color w:val="auto"/>
        </w:rPr>
      </w:pPr>
      <w:r>
        <w:rPr>
          <w:rFonts w:ascii="Arial" w:cs="Arial" w:eastAsia="Arial" w:hAnsi="Arial"/>
          <w:sz w:val="16"/>
          <w:szCs w:val="16"/>
          <w:color w:val="auto"/>
        </w:rPr>
        <w:t>Section 18.2 of Comcast Cable’s LLC Agreement provides that expenses (including attorneys’ fees) incurred by any Indemnified Person in defending a proceeding will be paid by Comcast Cable in advance of the final disposition of such proceeding as authorized by the member upon receipt of an undertaking, by or on behalf of such Indemnified Person, to repay such amount if it is ultimately determined that he or she is not entitled to be indemnified by Comcast Cable as authorized by law. Advance expenses (including attorneys’ fees) incurred by Other Persons may be paid by Comcast Cable if the member deems appropriate and upon such terms and conditions, including the giving of an undertaking, as the member deems appropriate.</w:t>
      </w:r>
    </w:p>
    <w:p>
      <w:pPr>
        <w:spacing w:after="0" w:line="116" w:lineRule="exact"/>
        <w:rPr>
          <w:sz w:val="20"/>
          <w:szCs w:val="20"/>
          <w:color w:val="auto"/>
        </w:rPr>
      </w:pPr>
    </w:p>
    <w:p>
      <w:pPr>
        <w:ind w:left="200" w:firstLine="441"/>
        <w:spacing w:after="0" w:line="306" w:lineRule="auto"/>
        <w:rPr>
          <w:sz w:val="20"/>
          <w:szCs w:val="20"/>
          <w:color w:val="auto"/>
        </w:rPr>
      </w:pPr>
      <w:r>
        <w:rPr>
          <w:rFonts w:ascii="Arial" w:cs="Arial" w:eastAsia="Arial" w:hAnsi="Arial"/>
          <w:sz w:val="16"/>
          <w:szCs w:val="16"/>
          <w:color w:val="auto"/>
        </w:rPr>
        <w:t>Section 18.4 of Comcast Cable’s LLC Agreement provides that Comcast Cable may purchase and maintain insurance on behalf of any person who is or was an Indemnified Person or Other Person against any liability asserted against him or her and incurred by him or her in any such capacity, or arising out of his or her status as such, whether or not Comcast Cable would have the power to indemnify him or her against such liability under applicable law.</w:t>
      </w:r>
    </w:p>
    <w:p>
      <w:pPr>
        <w:spacing w:after="0" w:line="222" w:lineRule="exact"/>
        <w:rPr>
          <w:sz w:val="20"/>
          <w:szCs w:val="20"/>
          <w:color w:val="auto"/>
        </w:rPr>
      </w:pPr>
    </w:p>
    <w:tbl>
      <w:tblPr>
        <w:tblLayout w:type="fixed"/>
        <w:tblInd w:w="200" w:type="dxa"/>
        <w:tblCellMar>
          <w:top w:w="0" w:type="dxa"/>
          <w:left w:w="0" w:type="dxa"/>
          <w:bottom w:w="0" w:type="dxa"/>
          <w:right w:w="0" w:type="dxa"/>
        </w:tblCellMar>
      </w:tblPr>
      <w:tr>
        <w:trPr>
          <w:trHeight w:val="228"/>
        </w:trPr>
        <w:tc>
          <w:tcPr>
            <w:tcW w:w="680" w:type="dxa"/>
            <w:vAlign w:val="bottom"/>
            <w:gridSpan w:val="2"/>
          </w:tcPr>
          <w:p>
            <w:pPr>
              <w:spacing w:after="0"/>
              <w:rPr>
                <w:sz w:val="20"/>
                <w:szCs w:val="20"/>
                <w:color w:val="auto"/>
              </w:rPr>
            </w:pPr>
            <w:r>
              <w:rPr>
                <w:rFonts w:ascii="Arial" w:cs="Arial" w:eastAsia="Arial" w:hAnsi="Arial"/>
                <w:sz w:val="18"/>
                <w:szCs w:val="18"/>
                <w:b w:val="1"/>
                <w:bCs w:val="1"/>
                <w:color w:val="auto"/>
                <w:w w:val="98"/>
              </w:rPr>
              <w:t>Item 16.</w:t>
            </w:r>
          </w:p>
        </w:tc>
        <w:tc>
          <w:tcPr>
            <w:tcW w:w="10300" w:type="dxa"/>
            <w:vAlign w:val="bottom"/>
            <w:gridSpan w:val="15"/>
          </w:tcPr>
          <w:p>
            <w:pPr>
              <w:ind w:left="420"/>
              <w:spacing w:after="0"/>
              <w:rPr>
                <w:sz w:val="20"/>
                <w:szCs w:val="20"/>
                <w:color w:val="auto"/>
              </w:rPr>
            </w:pPr>
            <w:r>
              <w:rPr>
                <w:rFonts w:ascii="Arial" w:cs="Arial" w:eastAsia="Arial" w:hAnsi="Arial"/>
                <w:sz w:val="18"/>
                <w:szCs w:val="18"/>
                <w:b w:val="1"/>
                <w:bCs w:val="1"/>
                <w:i w:val="1"/>
                <w:iCs w:val="1"/>
                <w:color w:val="auto"/>
              </w:rPr>
              <w:t>Exhibits and Financial Statement Schedules</w:t>
            </w:r>
          </w:p>
        </w:tc>
      </w:tr>
      <w:tr>
        <w:trPr>
          <w:trHeight w:val="297"/>
        </w:trPr>
        <w:tc>
          <w:tcPr>
            <w:tcW w:w="20" w:type="dxa"/>
            <w:vAlign w:val="bottom"/>
          </w:tcPr>
          <w:p>
            <w:pPr>
              <w:spacing w:after="0"/>
              <w:rPr>
                <w:sz w:val="24"/>
                <w:szCs w:val="24"/>
                <w:color w:val="auto"/>
              </w:rPr>
            </w:pPr>
          </w:p>
        </w:tc>
        <w:tc>
          <w:tcPr>
            <w:tcW w:w="660" w:type="dxa"/>
            <w:vAlign w:val="bottom"/>
          </w:tcPr>
          <w:p>
            <w:pPr>
              <w:ind w:left="420"/>
              <w:spacing w:after="0"/>
              <w:rPr>
                <w:sz w:val="20"/>
                <w:szCs w:val="20"/>
                <w:color w:val="auto"/>
              </w:rPr>
            </w:pPr>
            <w:r>
              <w:rPr>
                <w:rFonts w:ascii="Arial" w:cs="Arial" w:eastAsia="Arial" w:hAnsi="Arial"/>
                <w:sz w:val="18"/>
                <w:szCs w:val="18"/>
                <w:color w:val="auto"/>
                <w:w w:val="99"/>
              </w:rPr>
              <w:t>(a)</w:t>
            </w:r>
          </w:p>
        </w:tc>
        <w:tc>
          <w:tcPr>
            <w:tcW w:w="10300" w:type="dxa"/>
            <w:vAlign w:val="bottom"/>
            <w:gridSpan w:val="15"/>
          </w:tcPr>
          <w:p>
            <w:pPr>
              <w:ind w:left="300"/>
              <w:spacing w:after="0"/>
              <w:rPr>
                <w:sz w:val="20"/>
                <w:szCs w:val="20"/>
                <w:color w:val="auto"/>
              </w:rPr>
            </w:pPr>
            <w:r>
              <w:rPr>
                <w:rFonts w:ascii="Arial" w:cs="Arial" w:eastAsia="Arial" w:hAnsi="Arial"/>
                <w:sz w:val="18"/>
                <w:szCs w:val="18"/>
                <w:color w:val="auto"/>
              </w:rPr>
              <w:t>The following exhibits are filed as part of this Registration Statement:</w:t>
            </w:r>
          </w:p>
        </w:tc>
      </w:tr>
      <w:tr>
        <w:trPr>
          <w:trHeight w:val="353"/>
        </w:trPr>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90"/>
              </w:rPr>
              <w:t>Exhibit No.</w:t>
            </w:r>
          </w:p>
        </w:tc>
        <w:tc>
          <w:tcPr>
            <w:tcW w:w="7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60" w:type="dxa"/>
            <w:vAlign w:val="bottom"/>
            <w:gridSpan w:val="7"/>
          </w:tcPr>
          <w:p>
            <w:pPr>
              <w:spacing w:after="0"/>
              <w:rPr>
                <w:sz w:val="20"/>
                <w:szCs w:val="20"/>
                <w:color w:val="auto"/>
              </w:rPr>
            </w:pPr>
            <w:r>
              <w:rPr>
                <w:rFonts w:ascii="Arial" w:cs="Arial" w:eastAsia="Arial" w:hAnsi="Arial"/>
                <w:sz w:val="14"/>
                <w:szCs w:val="14"/>
                <w:b w:val="1"/>
                <w:bCs w:val="1"/>
                <w:color w:val="auto"/>
              </w:rPr>
              <w:t>Document</w:t>
            </w:r>
          </w:p>
        </w:tc>
      </w:tr>
      <w:tr>
        <w:trPr>
          <w:trHeight w:val="277"/>
        </w:trPr>
        <w:tc>
          <w:tcPr>
            <w:tcW w:w="20" w:type="dxa"/>
            <w:vAlign w:val="bottom"/>
          </w:tcPr>
          <w:p>
            <w:pPr>
              <w:spacing w:after="0"/>
              <w:rPr>
                <w:sz w:val="24"/>
                <w:szCs w:val="24"/>
                <w:color w:val="auto"/>
              </w:rPr>
            </w:pPr>
          </w:p>
        </w:tc>
        <w:tc>
          <w:tcPr>
            <w:tcW w:w="6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1.1</w:t>
            </w:r>
          </w:p>
        </w:tc>
        <w:tc>
          <w:tcPr>
            <w:tcW w:w="740" w:type="dxa"/>
            <w:vAlign w:val="bottom"/>
          </w:tcPr>
          <w:p>
            <w:pPr>
              <w:spacing w:after="0"/>
              <w:rPr>
                <w:sz w:val="24"/>
                <w:szCs w:val="24"/>
                <w:color w:val="auto"/>
              </w:rPr>
            </w:pPr>
          </w:p>
        </w:tc>
        <w:tc>
          <w:tcPr>
            <w:tcW w:w="372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0"/>
              </w:rPr>
              <w:t>Form of Underwriting Agreement (Debt Securities)*</w:t>
            </w:r>
          </w:p>
        </w:tc>
        <w:tc>
          <w:tcPr>
            <w:tcW w:w="780" w:type="dxa"/>
            <w:vAlign w:val="bottom"/>
            <w:gridSpan w:val="2"/>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460" w:type="dxa"/>
            <w:vAlign w:val="bottom"/>
            <w:gridSpan w:val="6"/>
          </w:tcPr>
          <w:p>
            <w:pPr>
              <w:spacing w:after="0"/>
              <w:rPr>
                <w:sz w:val="24"/>
                <w:szCs w:val="24"/>
                <w:color w:val="auto"/>
              </w:rPr>
            </w:pPr>
          </w:p>
        </w:tc>
      </w:tr>
      <w:tr>
        <w:trPr>
          <w:trHeight w:val="304"/>
        </w:trPr>
        <w:tc>
          <w:tcPr>
            <w:tcW w:w="680" w:type="dxa"/>
            <w:vAlign w:val="bottom"/>
            <w:gridSpan w:val="2"/>
          </w:tcPr>
          <w:p>
            <w:pPr>
              <w:ind w:left="100"/>
              <w:spacing w:after="0"/>
              <w:rPr>
                <w:sz w:val="20"/>
                <w:szCs w:val="20"/>
                <w:color w:val="auto"/>
              </w:rPr>
            </w:pPr>
            <w:r>
              <w:rPr>
                <w:rFonts w:ascii="Arial" w:cs="Arial" w:eastAsia="Arial" w:hAnsi="Arial"/>
                <w:sz w:val="18"/>
                <w:szCs w:val="18"/>
                <w:color w:val="auto"/>
              </w:rPr>
              <w:t>1.2</w:t>
            </w:r>
          </w:p>
        </w:tc>
        <w:tc>
          <w:tcPr>
            <w:tcW w:w="740" w:type="dxa"/>
            <w:vAlign w:val="bottom"/>
          </w:tcPr>
          <w:p>
            <w:pPr>
              <w:spacing w:after="0"/>
              <w:rPr>
                <w:sz w:val="24"/>
                <w:szCs w:val="24"/>
                <w:color w:val="auto"/>
              </w:rPr>
            </w:pPr>
          </w:p>
        </w:tc>
        <w:tc>
          <w:tcPr>
            <w:tcW w:w="9560" w:type="dxa"/>
            <w:vAlign w:val="bottom"/>
            <w:gridSpan w:val="14"/>
          </w:tcPr>
          <w:p>
            <w:pPr>
              <w:spacing w:after="0"/>
              <w:rPr>
                <w:sz w:val="20"/>
                <w:szCs w:val="20"/>
                <w:color w:val="auto"/>
              </w:rPr>
            </w:pPr>
            <w:r>
              <w:rPr>
                <w:rFonts w:ascii="Arial" w:cs="Arial" w:eastAsia="Arial" w:hAnsi="Arial"/>
                <w:sz w:val="18"/>
                <w:szCs w:val="18"/>
                <w:color w:val="0000EE"/>
              </w:rPr>
              <w:t>Form of Underwriting Agreement Standard Provisions (Debt Securities)*</w:t>
            </w:r>
          </w:p>
        </w:tc>
      </w:tr>
      <w:tr>
        <w:trPr>
          <w:trHeight w:val="20"/>
        </w:trPr>
        <w:tc>
          <w:tcPr>
            <w:tcW w:w="6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3"/>
        </w:trPr>
        <w:tc>
          <w:tcPr>
            <w:tcW w:w="680" w:type="dxa"/>
            <w:vAlign w:val="bottom"/>
            <w:gridSpan w:val="2"/>
          </w:tcPr>
          <w:p>
            <w:pPr>
              <w:ind w:left="100"/>
              <w:spacing w:after="0"/>
              <w:rPr>
                <w:sz w:val="20"/>
                <w:szCs w:val="20"/>
                <w:color w:val="auto"/>
              </w:rPr>
            </w:pPr>
            <w:r>
              <w:rPr>
                <w:rFonts w:ascii="Arial" w:cs="Arial" w:eastAsia="Arial" w:hAnsi="Arial"/>
                <w:sz w:val="18"/>
                <w:szCs w:val="18"/>
                <w:color w:val="auto"/>
              </w:rPr>
              <w:t>1.3</w:t>
            </w:r>
          </w:p>
        </w:tc>
        <w:tc>
          <w:tcPr>
            <w:tcW w:w="740" w:type="dxa"/>
            <w:vAlign w:val="bottom"/>
          </w:tcPr>
          <w:p>
            <w:pPr>
              <w:spacing w:after="0"/>
              <w:rPr>
                <w:sz w:val="24"/>
                <w:szCs w:val="24"/>
                <w:color w:val="auto"/>
              </w:rPr>
            </w:pPr>
          </w:p>
        </w:tc>
        <w:tc>
          <w:tcPr>
            <w:tcW w:w="9560" w:type="dxa"/>
            <w:vAlign w:val="bottom"/>
            <w:gridSpan w:val="14"/>
          </w:tcPr>
          <w:p>
            <w:pPr>
              <w:spacing w:after="0"/>
              <w:rPr>
                <w:sz w:val="20"/>
                <w:szCs w:val="20"/>
                <w:color w:val="auto"/>
              </w:rPr>
            </w:pPr>
            <w:r>
              <w:rPr>
                <w:rFonts w:ascii="Arial" w:cs="Arial" w:eastAsia="Arial" w:hAnsi="Arial"/>
                <w:sz w:val="18"/>
                <w:szCs w:val="18"/>
                <w:color w:val="auto"/>
                <w:w w:val="91"/>
              </w:rPr>
              <w:t>Form of Underwriting Agreement (Preferred Stock, Depositary Shares, Common Stock, Warrants, Purchase Contracts and Units)**</w:t>
            </w:r>
          </w:p>
        </w:tc>
      </w:tr>
      <w:tr>
        <w:trPr>
          <w:trHeight w:val="286"/>
        </w:trPr>
        <w:tc>
          <w:tcPr>
            <w:tcW w:w="680" w:type="dxa"/>
            <w:vAlign w:val="bottom"/>
            <w:gridSpan w:val="2"/>
          </w:tcPr>
          <w:p>
            <w:pPr>
              <w:ind w:left="100"/>
              <w:spacing w:after="0"/>
              <w:rPr>
                <w:sz w:val="20"/>
                <w:szCs w:val="20"/>
                <w:color w:val="auto"/>
              </w:rPr>
            </w:pPr>
            <w:r>
              <w:rPr>
                <w:rFonts w:ascii="Arial" w:cs="Arial" w:eastAsia="Arial" w:hAnsi="Arial"/>
                <w:sz w:val="18"/>
                <w:szCs w:val="18"/>
                <w:color w:val="auto"/>
              </w:rPr>
              <w:t>4.1</w:t>
            </w:r>
          </w:p>
        </w:tc>
        <w:tc>
          <w:tcPr>
            <w:tcW w:w="740" w:type="dxa"/>
            <w:vAlign w:val="bottom"/>
          </w:tcPr>
          <w:p>
            <w:pPr>
              <w:spacing w:after="0"/>
              <w:rPr>
                <w:sz w:val="24"/>
                <w:szCs w:val="24"/>
                <w:color w:val="auto"/>
              </w:rPr>
            </w:pPr>
          </w:p>
        </w:tc>
        <w:tc>
          <w:tcPr>
            <w:tcW w:w="9560" w:type="dxa"/>
            <w:vAlign w:val="bottom"/>
            <w:tcBorders>
              <w:bottom w:val="single" w:sz="8" w:color="0000EE"/>
            </w:tcBorders>
            <w:gridSpan w:val="14"/>
          </w:tcPr>
          <w:p>
            <w:pPr>
              <w:spacing w:after="0"/>
              <w:rPr>
                <w:rFonts w:ascii="Arial" w:cs="Arial" w:eastAsia="Arial" w:hAnsi="Arial"/>
                <w:sz w:val="18"/>
                <w:szCs w:val="18"/>
                <w:color w:val="0000EE"/>
                <w:w w:val="88"/>
              </w:rPr>
            </w:pPr>
            <w:hyperlink r:id="rId69">
              <w:r>
                <w:rPr>
                  <w:rFonts w:ascii="Arial" w:cs="Arial" w:eastAsia="Arial" w:hAnsi="Arial"/>
                  <w:sz w:val="18"/>
                  <w:szCs w:val="18"/>
                  <w:color w:val="0000EE"/>
                  <w:w w:val="88"/>
                </w:rPr>
                <w:t>Specimen Class A Common Stock Certificate (incorporated by reference to Comcast’s Annual Report on Form 10-K for the year ended</w:t>
              </w:r>
            </w:hyperlink>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60" w:type="dxa"/>
            <w:vAlign w:val="bottom"/>
            <w:gridSpan w:val="14"/>
          </w:tcPr>
          <w:p>
            <w:pPr>
              <w:spacing w:after="0" w:line="196" w:lineRule="exact"/>
              <w:rPr>
                <w:rFonts w:ascii="Arial" w:cs="Arial" w:eastAsia="Arial" w:hAnsi="Arial"/>
                <w:sz w:val="18"/>
                <w:szCs w:val="18"/>
                <w:color w:val="0000EE"/>
              </w:rPr>
            </w:pPr>
            <w:hyperlink r:id="rId69">
              <w:r>
                <w:rPr>
                  <w:rFonts w:ascii="Arial" w:cs="Arial" w:eastAsia="Arial" w:hAnsi="Arial"/>
                  <w:sz w:val="18"/>
                  <w:szCs w:val="18"/>
                  <w:color w:val="0000EE"/>
                </w:rPr>
                <w:t>December 31, 2002, filed on March 20, 2003)</w:t>
              </w:r>
            </w:hyperlink>
          </w:p>
        </w:tc>
      </w:tr>
      <w:tr>
        <w:trPr>
          <w:trHeight w:val="20"/>
        </w:trPr>
        <w:tc>
          <w:tcPr>
            <w:tcW w:w="6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7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680" w:type="dxa"/>
            <w:vAlign w:val="bottom"/>
            <w:gridSpan w:val="2"/>
          </w:tcPr>
          <w:p>
            <w:pPr>
              <w:ind w:left="100"/>
              <w:spacing w:after="0"/>
              <w:rPr>
                <w:sz w:val="20"/>
                <w:szCs w:val="20"/>
                <w:color w:val="auto"/>
              </w:rPr>
            </w:pPr>
            <w:r>
              <w:rPr>
                <w:rFonts w:ascii="Arial" w:cs="Arial" w:eastAsia="Arial" w:hAnsi="Arial"/>
                <w:sz w:val="18"/>
                <w:szCs w:val="18"/>
                <w:color w:val="auto"/>
              </w:rPr>
              <w:t>4.2</w:t>
            </w:r>
          </w:p>
        </w:tc>
        <w:tc>
          <w:tcPr>
            <w:tcW w:w="740" w:type="dxa"/>
            <w:vAlign w:val="bottom"/>
          </w:tcPr>
          <w:p>
            <w:pPr>
              <w:spacing w:after="0"/>
              <w:rPr>
                <w:sz w:val="24"/>
                <w:szCs w:val="24"/>
                <w:color w:val="auto"/>
              </w:rPr>
            </w:pPr>
          </w:p>
        </w:tc>
        <w:tc>
          <w:tcPr>
            <w:tcW w:w="9560" w:type="dxa"/>
            <w:vAlign w:val="bottom"/>
            <w:gridSpan w:val="14"/>
          </w:tcPr>
          <w:p>
            <w:pPr>
              <w:spacing w:after="0"/>
              <w:rPr>
                <w:rFonts w:ascii="Arial" w:cs="Arial" w:eastAsia="Arial" w:hAnsi="Arial"/>
                <w:sz w:val="18"/>
                <w:szCs w:val="18"/>
                <w:color w:val="0000EE"/>
                <w:w w:val="89"/>
              </w:rPr>
            </w:pPr>
            <w:hyperlink r:id="rId70">
              <w:r>
                <w:rPr>
                  <w:rFonts w:ascii="Arial" w:cs="Arial" w:eastAsia="Arial" w:hAnsi="Arial"/>
                  <w:sz w:val="18"/>
                  <w:szCs w:val="18"/>
                  <w:color w:val="0000EE"/>
                  <w:w w:val="89"/>
                </w:rPr>
                <w:t>Senior Indenture dated September 18, 2013 among the Company, the guarantors party thereto and The Bank of New York Mellon, as</w:t>
              </w:r>
            </w:hyperlink>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7"/>
              </w:rPr>
            </w:pPr>
            <w:hyperlink r:id="rId70">
              <w:r>
                <w:rPr>
                  <w:rFonts w:ascii="Arial" w:cs="Arial" w:eastAsia="Arial" w:hAnsi="Arial"/>
                  <w:sz w:val="18"/>
                  <w:szCs w:val="18"/>
                  <w:color w:val="0000EE"/>
                  <w:w w:val="87"/>
                </w:rPr>
                <w:t>Trustee (incorporated by reference to Comcast’s Registration Statement on Form S-3, as amended, filed on September 18, 2013)</w:t>
              </w:r>
            </w:hyperlink>
          </w:p>
        </w:tc>
        <w:tc>
          <w:tcPr>
            <w:tcW w:w="360" w:type="dxa"/>
            <w:vAlign w:val="bottom"/>
            <w:tcBorders>
              <w:top w:val="single" w:sz="8" w:color="0000EE"/>
            </w:tcBorders>
          </w:tcPr>
          <w:p>
            <w:pPr>
              <w:spacing w:after="0"/>
              <w:rPr>
                <w:sz w:val="17"/>
                <w:szCs w:val="17"/>
                <w:color w:val="auto"/>
              </w:rPr>
            </w:pPr>
          </w:p>
        </w:tc>
        <w:tc>
          <w:tcPr>
            <w:tcW w:w="180" w:type="dxa"/>
            <w:vAlign w:val="bottom"/>
            <w:gridSpan w:val="2"/>
          </w:tcPr>
          <w:p>
            <w:pPr>
              <w:spacing w:after="0"/>
              <w:rPr>
                <w:sz w:val="17"/>
                <w:szCs w:val="17"/>
                <w:color w:val="auto"/>
              </w:rPr>
            </w:pPr>
          </w:p>
        </w:tc>
      </w:tr>
      <w:tr>
        <w:trPr>
          <w:trHeight w:val="304"/>
        </w:trPr>
        <w:tc>
          <w:tcPr>
            <w:tcW w:w="680" w:type="dxa"/>
            <w:vAlign w:val="bottom"/>
            <w:gridSpan w:val="2"/>
          </w:tcPr>
          <w:p>
            <w:pPr>
              <w:ind w:left="100"/>
              <w:spacing w:after="0"/>
              <w:rPr>
                <w:sz w:val="20"/>
                <w:szCs w:val="20"/>
                <w:color w:val="auto"/>
              </w:rPr>
            </w:pPr>
            <w:r>
              <w:rPr>
                <w:rFonts w:ascii="Arial" w:cs="Arial" w:eastAsia="Arial" w:hAnsi="Arial"/>
                <w:sz w:val="18"/>
                <w:szCs w:val="18"/>
                <w:color w:val="auto"/>
              </w:rPr>
              <w:t>4.3</w:t>
            </w:r>
          </w:p>
        </w:tc>
        <w:tc>
          <w:tcPr>
            <w:tcW w:w="740" w:type="dxa"/>
            <w:vAlign w:val="bottom"/>
          </w:tcPr>
          <w:p>
            <w:pPr>
              <w:spacing w:after="0"/>
              <w:rPr>
                <w:sz w:val="24"/>
                <w:szCs w:val="24"/>
                <w:color w:val="auto"/>
              </w:rPr>
            </w:pPr>
          </w:p>
        </w:tc>
        <w:tc>
          <w:tcPr>
            <w:tcW w:w="9560" w:type="dxa"/>
            <w:vAlign w:val="bottom"/>
            <w:gridSpan w:val="14"/>
          </w:tcPr>
          <w:p>
            <w:pPr>
              <w:spacing w:after="0"/>
              <w:rPr>
                <w:rFonts w:ascii="Arial" w:cs="Arial" w:eastAsia="Arial" w:hAnsi="Arial"/>
                <w:sz w:val="18"/>
                <w:szCs w:val="18"/>
                <w:color w:val="0000EE"/>
                <w:w w:val="89"/>
              </w:rPr>
            </w:pPr>
            <w:hyperlink r:id="rId71">
              <w:r>
                <w:rPr>
                  <w:rFonts w:ascii="Arial" w:cs="Arial" w:eastAsia="Arial" w:hAnsi="Arial"/>
                  <w:sz w:val="18"/>
                  <w:szCs w:val="18"/>
                  <w:color w:val="0000EE"/>
                  <w:w w:val="89"/>
                </w:rPr>
                <w:t>First Supplemental Indenture dated November 17, 2015 among the Company, the guarantors party thereto and The Bank of New York</w:t>
              </w:r>
            </w:hyperlink>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60" w:type="dxa"/>
            <w:vAlign w:val="bottom"/>
            <w:tcBorders>
              <w:top w:val="single" w:sz="8" w:color="0000EE"/>
            </w:tcBorders>
            <w:gridSpan w:val="13"/>
          </w:tcPr>
          <w:p>
            <w:pPr>
              <w:spacing w:after="0" w:line="196" w:lineRule="exact"/>
              <w:rPr>
                <w:rFonts w:ascii="Arial" w:cs="Arial" w:eastAsia="Arial" w:hAnsi="Arial"/>
                <w:sz w:val="18"/>
                <w:szCs w:val="18"/>
                <w:color w:val="0000EE"/>
                <w:w w:val="94"/>
              </w:rPr>
            </w:pPr>
            <w:hyperlink r:id="rId71">
              <w:r>
                <w:rPr>
                  <w:rFonts w:ascii="Arial" w:cs="Arial" w:eastAsia="Arial" w:hAnsi="Arial"/>
                  <w:sz w:val="18"/>
                  <w:szCs w:val="18"/>
                  <w:color w:val="0000EE"/>
                  <w:w w:val="94"/>
                </w:rPr>
                <w:t>Mellon, as Trustee (incorporated by reference to Comcast’s Registration Statement on Form S-3, filed on November 23, 2015)</w:t>
              </w:r>
            </w:hyperlink>
          </w:p>
        </w:tc>
        <w:tc>
          <w:tcPr>
            <w:tcW w:w="100" w:type="dxa"/>
            <w:vAlign w:val="bottom"/>
          </w:tcPr>
          <w:p>
            <w:pPr>
              <w:spacing w:after="0"/>
              <w:rPr>
                <w:sz w:val="17"/>
                <w:szCs w:val="17"/>
                <w:color w:val="auto"/>
              </w:rPr>
            </w:pPr>
          </w:p>
        </w:tc>
      </w:tr>
      <w:tr>
        <w:trPr>
          <w:trHeight w:val="304"/>
        </w:trPr>
        <w:tc>
          <w:tcPr>
            <w:tcW w:w="680" w:type="dxa"/>
            <w:vAlign w:val="bottom"/>
            <w:gridSpan w:val="2"/>
          </w:tcPr>
          <w:p>
            <w:pPr>
              <w:ind w:left="100"/>
              <w:spacing w:after="0"/>
              <w:rPr>
                <w:sz w:val="20"/>
                <w:szCs w:val="20"/>
                <w:color w:val="auto"/>
              </w:rPr>
            </w:pPr>
            <w:r>
              <w:rPr>
                <w:rFonts w:ascii="Arial" w:cs="Arial" w:eastAsia="Arial" w:hAnsi="Arial"/>
                <w:sz w:val="18"/>
                <w:szCs w:val="18"/>
                <w:color w:val="auto"/>
              </w:rPr>
              <w:t>4.4</w:t>
            </w:r>
          </w:p>
        </w:tc>
        <w:tc>
          <w:tcPr>
            <w:tcW w:w="740" w:type="dxa"/>
            <w:vAlign w:val="bottom"/>
          </w:tcPr>
          <w:p>
            <w:pPr>
              <w:spacing w:after="0"/>
              <w:rPr>
                <w:sz w:val="24"/>
                <w:szCs w:val="24"/>
                <w:color w:val="auto"/>
              </w:rPr>
            </w:pPr>
          </w:p>
        </w:tc>
        <w:tc>
          <w:tcPr>
            <w:tcW w:w="218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90"/>
              </w:rPr>
              <w:t>Form of Senior Debt Security*</w:t>
            </w:r>
          </w:p>
        </w:tc>
        <w:tc>
          <w:tcPr>
            <w:tcW w:w="6740" w:type="dxa"/>
            <w:vAlign w:val="bottom"/>
            <w:tcBorders>
              <w:top w:val="single" w:sz="8" w:color="0000EE"/>
            </w:tcBorders>
            <w:gridSpan w:val="9"/>
          </w:tcPr>
          <w:p>
            <w:pPr>
              <w:spacing w:after="0"/>
              <w:rPr>
                <w:sz w:val="24"/>
                <w:szCs w:val="24"/>
                <w:color w:val="auto"/>
              </w:rPr>
            </w:pPr>
          </w:p>
        </w:tc>
        <w:tc>
          <w:tcPr>
            <w:tcW w:w="640" w:type="dxa"/>
            <w:vAlign w:val="bottom"/>
            <w:gridSpan w:val="4"/>
          </w:tcPr>
          <w:p>
            <w:pPr>
              <w:spacing w:after="0"/>
              <w:rPr>
                <w:sz w:val="24"/>
                <w:szCs w:val="24"/>
                <w:color w:val="auto"/>
              </w:rPr>
            </w:pPr>
          </w:p>
        </w:tc>
      </w:tr>
      <w:tr>
        <w:trPr>
          <w:trHeight w:val="343"/>
        </w:trPr>
        <w:tc>
          <w:tcPr>
            <w:tcW w:w="680" w:type="dxa"/>
            <w:vAlign w:val="bottom"/>
            <w:gridSpan w:val="2"/>
          </w:tcPr>
          <w:p>
            <w:pPr>
              <w:ind w:left="100"/>
              <w:spacing w:after="0"/>
              <w:rPr>
                <w:sz w:val="20"/>
                <w:szCs w:val="20"/>
                <w:color w:val="auto"/>
              </w:rPr>
            </w:pPr>
            <w:r>
              <w:rPr>
                <w:rFonts w:ascii="Arial" w:cs="Arial" w:eastAsia="Arial" w:hAnsi="Arial"/>
                <w:sz w:val="18"/>
                <w:szCs w:val="18"/>
                <w:color w:val="auto"/>
              </w:rPr>
              <w:t>4.5</w:t>
            </w:r>
          </w:p>
        </w:tc>
        <w:tc>
          <w:tcPr>
            <w:tcW w:w="740" w:type="dxa"/>
            <w:vAlign w:val="bottom"/>
          </w:tcPr>
          <w:p>
            <w:pPr>
              <w:spacing w:after="0"/>
              <w:rPr>
                <w:sz w:val="24"/>
                <w:szCs w:val="24"/>
                <w:color w:val="auto"/>
              </w:rPr>
            </w:pPr>
          </w:p>
        </w:tc>
        <w:tc>
          <w:tcPr>
            <w:tcW w:w="9560" w:type="dxa"/>
            <w:vAlign w:val="bottom"/>
            <w:gridSpan w:val="14"/>
          </w:tcPr>
          <w:p>
            <w:pPr>
              <w:spacing w:after="0"/>
              <w:rPr>
                <w:sz w:val="20"/>
                <w:szCs w:val="20"/>
                <w:color w:val="auto"/>
              </w:rPr>
            </w:pPr>
            <w:r>
              <w:rPr>
                <w:rFonts w:ascii="Arial" w:cs="Arial" w:eastAsia="Arial" w:hAnsi="Arial"/>
                <w:sz w:val="18"/>
                <w:szCs w:val="18"/>
                <w:color w:val="auto"/>
              </w:rPr>
              <w:t>Form of Purchase Contract Agreement relating to Purchase Contracts**</w:t>
            </w:r>
          </w:p>
        </w:tc>
      </w:tr>
      <w:tr>
        <w:trPr>
          <w:trHeight w:val="324"/>
        </w:trPr>
        <w:tc>
          <w:tcPr>
            <w:tcW w:w="680" w:type="dxa"/>
            <w:vAlign w:val="bottom"/>
            <w:gridSpan w:val="2"/>
          </w:tcPr>
          <w:p>
            <w:pPr>
              <w:ind w:left="100"/>
              <w:spacing w:after="0"/>
              <w:rPr>
                <w:sz w:val="20"/>
                <w:szCs w:val="20"/>
                <w:color w:val="auto"/>
              </w:rPr>
            </w:pPr>
            <w:r>
              <w:rPr>
                <w:rFonts w:ascii="Arial" w:cs="Arial" w:eastAsia="Arial" w:hAnsi="Arial"/>
                <w:sz w:val="18"/>
                <w:szCs w:val="18"/>
                <w:color w:val="auto"/>
              </w:rPr>
              <w:t>4.6</w:t>
            </w:r>
          </w:p>
        </w:tc>
        <w:tc>
          <w:tcPr>
            <w:tcW w:w="740" w:type="dxa"/>
            <w:vAlign w:val="bottom"/>
          </w:tcPr>
          <w:p>
            <w:pPr>
              <w:spacing w:after="0"/>
              <w:rPr>
                <w:sz w:val="24"/>
                <w:szCs w:val="24"/>
                <w:color w:val="auto"/>
              </w:rPr>
            </w:pPr>
          </w:p>
        </w:tc>
        <w:tc>
          <w:tcPr>
            <w:tcW w:w="9560" w:type="dxa"/>
            <w:vAlign w:val="bottom"/>
            <w:gridSpan w:val="14"/>
          </w:tcPr>
          <w:p>
            <w:pPr>
              <w:spacing w:after="0"/>
              <w:rPr>
                <w:sz w:val="20"/>
                <w:szCs w:val="20"/>
                <w:color w:val="auto"/>
              </w:rPr>
            </w:pPr>
            <w:r>
              <w:rPr>
                <w:rFonts w:ascii="Arial" w:cs="Arial" w:eastAsia="Arial" w:hAnsi="Arial"/>
                <w:sz w:val="18"/>
                <w:szCs w:val="18"/>
                <w:color w:val="auto"/>
              </w:rPr>
              <w:t>Form of Unit Agreement**</w:t>
            </w:r>
          </w:p>
        </w:tc>
      </w:tr>
      <w:tr>
        <w:trPr>
          <w:trHeight w:val="324"/>
        </w:trPr>
        <w:tc>
          <w:tcPr>
            <w:tcW w:w="680" w:type="dxa"/>
            <w:vAlign w:val="bottom"/>
            <w:gridSpan w:val="2"/>
          </w:tcPr>
          <w:p>
            <w:pPr>
              <w:ind w:left="100"/>
              <w:spacing w:after="0"/>
              <w:rPr>
                <w:sz w:val="20"/>
                <w:szCs w:val="20"/>
                <w:color w:val="auto"/>
              </w:rPr>
            </w:pPr>
            <w:r>
              <w:rPr>
                <w:rFonts w:ascii="Arial" w:cs="Arial" w:eastAsia="Arial" w:hAnsi="Arial"/>
                <w:sz w:val="18"/>
                <w:szCs w:val="18"/>
                <w:color w:val="auto"/>
              </w:rPr>
              <w:t>4.7</w:t>
            </w:r>
          </w:p>
        </w:tc>
        <w:tc>
          <w:tcPr>
            <w:tcW w:w="740" w:type="dxa"/>
            <w:vAlign w:val="bottom"/>
          </w:tcPr>
          <w:p>
            <w:pPr>
              <w:spacing w:after="0"/>
              <w:rPr>
                <w:sz w:val="24"/>
                <w:szCs w:val="24"/>
                <w:color w:val="auto"/>
              </w:rPr>
            </w:pPr>
          </w:p>
        </w:tc>
        <w:tc>
          <w:tcPr>
            <w:tcW w:w="9560" w:type="dxa"/>
            <w:vAlign w:val="bottom"/>
            <w:gridSpan w:val="14"/>
          </w:tcPr>
          <w:p>
            <w:pPr>
              <w:spacing w:after="0"/>
              <w:rPr>
                <w:sz w:val="20"/>
                <w:szCs w:val="20"/>
                <w:color w:val="auto"/>
              </w:rPr>
            </w:pPr>
            <w:r>
              <w:rPr>
                <w:rFonts w:ascii="Arial" w:cs="Arial" w:eastAsia="Arial" w:hAnsi="Arial"/>
                <w:sz w:val="18"/>
                <w:szCs w:val="18"/>
                <w:color w:val="auto"/>
              </w:rPr>
              <w:t>Form of Warrant Agreement for Warrants sold separately**</w:t>
            </w:r>
          </w:p>
        </w:tc>
      </w:tr>
      <w:tr>
        <w:trPr>
          <w:trHeight w:val="324"/>
        </w:trPr>
        <w:tc>
          <w:tcPr>
            <w:tcW w:w="680" w:type="dxa"/>
            <w:vAlign w:val="bottom"/>
            <w:gridSpan w:val="2"/>
          </w:tcPr>
          <w:p>
            <w:pPr>
              <w:ind w:left="100"/>
              <w:spacing w:after="0"/>
              <w:rPr>
                <w:sz w:val="20"/>
                <w:szCs w:val="20"/>
                <w:color w:val="auto"/>
              </w:rPr>
            </w:pPr>
            <w:r>
              <w:rPr>
                <w:rFonts w:ascii="Arial" w:cs="Arial" w:eastAsia="Arial" w:hAnsi="Arial"/>
                <w:sz w:val="18"/>
                <w:szCs w:val="18"/>
                <w:color w:val="auto"/>
              </w:rPr>
              <w:t>4.8</w:t>
            </w:r>
          </w:p>
        </w:tc>
        <w:tc>
          <w:tcPr>
            <w:tcW w:w="740" w:type="dxa"/>
            <w:vAlign w:val="bottom"/>
          </w:tcPr>
          <w:p>
            <w:pPr>
              <w:spacing w:after="0"/>
              <w:rPr>
                <w:sz w:val="24"/>
                <w:szCs w:val="24"/>
                <w:color w:val="auto"/>
              </w:rPr>
            </w:pPr>
          </w:p>
        </w:tc>
        <w:tc>
          <w:tcPr>
            <w:tcW w:w="9560" w:type="dxa"/>
            <w:vAlign w:val="bottom"/>
            <w:gridSpan w:val="14"/>
          </w:tcPr>
          <w:p>
            <w:pPr>
              <w:spacing w:after="0"/>
              <w:rPr>
                <w:sz w:val="20"/>
                <w:szCs w:val="20"/>
                <w:color w:val="auto"/>
              </w:rPr>
            </w:pPr>
            <w:r>
              <w:rPr>
                <w:rFonts w:ascii="Arial" w:cs="Arial" w:eastAsia="Arial" w:hAnsi="Arial"/>
                <w:sz w:val="18"/>
                <w:szCs w:val="18"/>
                <w:color w:val="auto"/>
              </w:rPr>
              <w:t>Form of Warrant for Warrants sold separately**</w:t>
            </w:r>
          </w:p>
        </w:tc>
      </w:tr>
      <w:tr>
        <w:trPr>
          <w:trHeight w:val="324"/>
        </w:trPr>
        <w:tc>
          <w:tcPr>
            <w:tcW w:w="680" w:type="dxa"/>
            <w:vAlign w:val="bottom"/>
            <w:gridSpan w:val="2"/>
          </w:tcPr>
          <w:p>
            <w:pPr>
              <w:ind w:left="100"/>
              <w:spacing w:after="0"/>
              <w:rPr>
                <w:sz w:val="20"/>
                <w:szCs w:val="20"/>
                <w:color w:val="auto"/>
              </w:rPr>
            </w:pPr>
            <w:r>
              <w:rPr>
                <w:rFonts w:ascii="Arial" w:cs="Arial" w:eastAsia="Arial" w:hAnsi="Arial"/>
                <w:sz w:val="18"/>
                <w:szCs w:val="18"/>
                <w:color w:val="auto"/>
              </w:rPr>
              <w:t>4.9</w:t>
            </w:r>
          </w:p>
        </w:tc>
        <w:tc>
          <w:tcPr>
            <w:tcW w:w="740" w:type="dxa"/>
            <w:vAlign w:val="bottom"/>
          </w:tcPr>
          <w:p>
            <w:pPr>
              <w:spacing w:after="0"/>
              <w:rPr>
                <w:sz w:val="24"/>
                <w:szCs w:val="24"/>
                <w:color w:val="auto"/>
              </w:rPr>
            </w:pPr>
          </w:p>
        </w:tc>
        <w:tc>
          <w:tcPr>
            <w:tcW w:w="9560" w:type="dxa"/>
            <w:vAlign w:val="bottom"/>
            <w:gridSpan w:val="14"/>
          </w:tcPr>
          <w:p>
            <w:pPr>
              <w:spacing w:after="0"/>
              <w:rPr>
                <w:sz w:val="20"/>
                <w:szCs w:val="20"/>
                <w:color w:val="auto"/>
              </w:rPr>
            </w:pPr>
            <w:r>
              <w:rPr>
                <w:rFonts w:ascii="Arial" w:cs="Arial" w:eastAsia="Arial" w:hAnsi="Arial"/>
                <w:sz w:val="18"/>
                <w:szCs w:val="18"/>
                <w:color w:val="auto"/>
              </w:rPr>
              <w:t>Form of Warrant Agreement for Warrants sold attached to other Securities**</w:t>
            </w:r>
          </w:p>
        </w:tc>
      </w:tr>
      <w:tr>
        <w:trPr>
          <w:trHeight w:val="324"/>
        </w:trPr>
        <w:tc>
          <w:tcPr>
            <w:tcW w:w="680" w:type="dxa"/>
            <w:vAlign w:val="bottom"/>
            <w:gridSpan w:val="2"/>
          </w:tcPr>
          <w:p>
            <w:pPr>
              <w:ind w:left="100"/>
              <w:spacing w:after="0"/>
              <w:rPr>
                <w:sz w:val="20"/>
                <w:szCs w:val="20"/>
                <w:color w:val="auto"/>
              </w:rPr>
            </w:pPr>
            <w:r>
              <w:rPr>
                <w:rFonts w:ascii="Arial" w:cs="Arial" w:eastAsia="Arial" w:hAnsi="Arial"/>
                <w:sz w:val="18"/>
                <w:szCs w:val="18"/>
                <w:color w:val="auto"/>
              </w:rPr>
              <w:t>4.10</w:t>
            </w:r>
          </w:p>
        </w:tc>
        <w:tc>
          <w:tcPr>
            <w:tcW w:w="740" w:type="dxa"/>
            <w:vAlign w:val="bottom"/>
          </w:tcPr>
          <w:p>
            <w:pPr>
              <w:spacing w:after="0"/>
              <w:rPr>
                <w:sz w:val="24"/>
                <w:szCs w:val="24"/>
                <w:color w:val="auto"/>
              </w:rPr>
            </w:pPr>
          </w:p>
        </w:tc>
        <w:tc>
          <w:tcPr>
            <w:tcW w:w="9560" w:type="dxa"/>
            <w:vAlign w:val="bottom"/>
            <w:gridSpan w:val="14"/>
          </w:tcPr>
          <w:p>
            <w:pPr>
              <w:spacing w:after="0"/>
              <w:rPr>
                <w:sz w:val="20"/>
                <w:szCs w:val="20"/>
                <w:color w:val="auto"/>
              </w:rPr>
            </w:pPr>
            <w:r>
              <w:rPr>
                <w:rFonts w:ascii="Arial" w:cs="Arial" w:eastAsia="Arial" w:hAnsi="Arial"/>
                <w:sz w:val="18"/>
                <w:szCs w:val="18"/>
                <w:color w:val="auto"/>
              </w:rPr>
              <w:t>Form of Warrant for Warrants sold attached to other Securities**</w:t>
            </w:r>
          </w:p>
        </w:tc>
      </w:tr>
      <w:tr>
        <w:trPr>
          <w:trHeight w:val="324"/>
        </w:trPr>
        <w:tc>
          <w:tcPr>
            <w:tcW w:w="680" w:type="dxa"/>
            <w:vAlign w:val="bottom"/>
            <w:gridSpan w:val="2"/>
          </w:tcPr>
          <w:p>
            <w:pPr>
              <w:ind w:left="100"/>
              <w:spacing w:after="0"/>
              <w:rPr>
                <w:sz w:val="20"/>
                <w:szCs w:val="20"/>
                <w:color w:val="auto"/>
              </w:rPr>
            </w:pPr>
            <w:r>
              <w:rPr>
                <w:rFonts w:ascii="Arial" w:cs="Arial" w:eastAsia="Arial" w:hAnsi="Arial"/>
                <w:sz w:val="18"/>
                <w:szCs w:val="18"/>
                <w:color w:val="auto"/>
              </w:rPr>
              <w:t>4.11</w:t>
            </w:r>
          </w:p>
        </w:tc>
        <w:tc>
          <w:tcPr>
            <w:tcW w:w="740" w:type="dxa"/>
            <w:vAlign w:val="bottom"/>
          </w:tcPr>
          <w:p>
            <w:pPr>
              <w:spacing w:after="0"/>
              <w:rPr>
                <w:sz w:val="24"/>
                <w:szCs w:val="24"/>
                <w:color w:val="auto"/>
              </w:rPr>
            </w:pPr>
          </w:p>
        </w:tc>
        <w:tc>
          <w:tcPr>
            <w:tcW w:w="9560" w:type="dxa"/>
            <w:vAlign w:val="bottom"/>
            <w:gridSpan w:val="14"/>
          </w:tcPr>
          <w:p>
            <w:pPr>
              <w:spacing w:after="0"/>
              <w:rPr>
                <w:sz w:val="20"/>
                <w:szCs w:val="20"/>
                <w:color w:val="auto"/>
              </w:rPr>
            </w:pPr>
            <w:r>
              <w:rPr>
                <w:rFonts w:ascii="Arial" w:cs="Arial" w:eastAsia="Arial" w:hAnsi="Arial"/>
                <w:sz w:val="18"/>
                <w:szCs w:val="18"/>
                <w:color w:val="auto"/>
              </w:rPr>
              <w:t>Form of Pledge Agreement**</w:t>
            </w:r>
          </w:p>
        </w:tc>
      </w:tr>
      <w:tr>
        <w:trPr>
          <w:trHeight w:val="324"/>
        </w:trPr>
        <w:tc>
          <w:tcPr>
            <w:tcW w:w="680" w:type="dxa"/>
            <w:vAlign w:val="bottom"/>
            <w:gridSpan w:val="2"/>
          </w:tcPr>
          <w:p>
            <w:pPr>
              <w:ind w:left="100"/>
              <w:spacing w:after="0"/>
              <w:rPr>
                <w:sz w:val="20"/>
                <w:szCs w:val="20"/>
                <w:color w:val="auto"/>
              </w:rPr>
            </w:pPr>
            <w:r>
              <w:rPr>
                <w:rFonts w:ascii="Arial" w:cs="Arial" w:eastAsia="Arial" w:hAnsi="Arial"/>
                <w:sz w:val="18"/>
                <w:szCs w:val="18"/>
                <w:color w:val="auto"/>
              </w:rPr>
              <w:t>4.12</w:t>
            </w:r>
          </w:p>
        </w:tc>
        <w:tc>
          <w:tcPr>
            <w:tcW w:w="740" w:type="dxa"/>
            <w:vAlign w:val="bottom"/>
          </w:tcPr>
          <w:p>
            <w:pPr>
              <w:spacing w:after="0"/>
              <w:rPr>
                <w:sz w:val="24"/>
                <w:szCs w:val="24"/>
                <w:color w:val="auto"/>
              </w:rPr>
            </w:pPr>
          </w:p>
        </w:tc>
        <w:tc>
          <w:tcPr>
            <w:tcW w:w="9560" w:type="dxa"/>
            <w:vAlign w:val="bottom"/>
            <w:gridSpan w:val="14"/>
          </w:tcPr>
          <w:p>
            <w:pPr>
              <w:spacing w:after="0"/>
              <w:rPr>
                <w:sz w:val="20"/>
                <w:szCs w:val="20"/>
                <w:color w:val="auto"/>
              </w:rPr>
            </w:pPr>
            <w:r>
              <w:rPr>
                <w:rFonts w:ascii="Arial" w:cs="Arial" w:eastAsia="Arial" w:hAnsi="Arial"/>
                <w:sz w:val="18"/>
                <w:szCs w:val="18"/>
                <w:color w:val="auto"/>
              </w:rPr>
              <w:t>Form of Deposit Agreement**</w:t>
            </w:r>
          </w:p>
        </w:tc>
      </w:tr>
      <w:tr>
        <w:trPr>
          <w:trHeight w:val="324"/>
        </w:trPr>
        <w:tc>
          <w:tcPr>
            <w:tcW w:w="680" w:type="dxa"/>
            <w:vAlign w:val="bottom"/>
            <w:gridSpan w:val="2"/>
          </w:tcPr>
          <w:p>
            <w:pPr>
              <w:ind w:left="100"/>
              <w:spacing w:after="0"/>
              <w:rPr>
                <w:sz w:val="20"/>
                <w:szCs w:val="20"/>
                <w:color w:val="auto"/>
              </w:rPr>
            </w:pPr>
            <w:r>
              <w:rPr>
                <w:rFonts w:ascii="Arial" w:cs="Arial" w:eastAsia="Arial" w:hAnsi="Arial"/>
                <w:sz w:val="18"/>
                <w:szCs w:val="18"/>
                <w:color w:val="auto"/>
              </w:rPr>
              <w:t>4.13</w:t>
            </w:r>
          </w:p>
        </w:tc>
        <w:tc>
          <w:tcPr>
            <w:tcW w:w="740" w:type="dxa"/>
            <w:vAlign w:val="bottom"/>
          </w:tcPr>
          <w:p>
            <w:pPr>
              <w:spacing w:after="0"/>
              <w:rPr>
                <w:sz w:val="24"/>
                <w:szCs w:val="24"/>
                <w:color w:val="auto"/>
              </w:rPr>
            </w:pPr>
          </w:p>
        </w:tc>
        <w:tc>
          <w:tcPr>
            <w:tcW w:w="9560" w:type="dxa"/>
            <w:vAlign w:val="bottom"/>
            <w:gridSpan w:val="14"/>
          </w:tcPr>
          <w:p>
            <w:pPr>
              <w:spacing w:after="0"/>
              <w:rPr>
                <w:sz w:val="20"/>
                <w:szCs w:val="20"/>
                <w:color w:val="auto"/>
              </w:rPr>
            </w:pPr>
            <w:r>
              <w:rPr>
                <w:rFonts w:ascii="Arial" w:cs="Arial" w:eastAsia="Arial" w:hAnsi="Arial"/>
                <w:sz w:val="18"/>
                <w:szCs w:val="18"/>
                <w:color w:val="auto"/>
              </w:rPr>
              <w:t>Form of Depositary Share**</w:t>
            </w:r>
          </w:p>
        </w:tc>
      </w:tr>
      <w:tr>
        <w:trPr>
          <w:trHeight w:val="324"/>
        </w:trPr>
        <w:tc>
          <w:tcPr>
            <w:tcW w:w="680" w:type="dxa"/>
            <w:vAlign w:val="bottom"/>
            <w:gridSpan w:val="2"/>
          </w:tcPr>
          <w:p>
            <w:pPr>
              <w:ind w:left="100"/>
              <w:spacing w:after="0"/>
              <w:rPr>
                <w:sz w:val="20"/>
                <w:szCs w:val="20"/>
                <w:color w:val="auto"/>
              </w:rPr>
            </w:pPr>
            <w:r>
              <w:rPr>
                <w:rFonts w:ascii="Arial" w:cs="Arial" w:eastAsia="Arial" w:hAnsi="Arial"/>
                <w:sz w:val="18"/>
                <w:szCs w:val="18"/>
                <w:color w:val="auto"/>
              </w:rPr>
              <w:t>4.14</w:t>
            </w:r>
          </w:p>
        </w:tc>
        <w:tc>
          <w:tcPr>
            <w:tcW w:w="740" w:type="dxa"/>
            <w:vAlign w:val="bottom"/>
          </w:tcPr>
          <w:p>
            <w:pPr>
              <w:spacing w:after="0"/>
              <w:rPr>
                <w:sz w:val="24"/>
                <w:szCs w:val="24"/>
                <w:color w:val="auto"/>
              </w:rPr>
            </w:pPr>
          </w:p>
        </w:tc>
        <w:tc>
          <w:tcPr>
            <w:tcW w:w="9560" w:type="dxa"/>
            <w:vAlign w:val="bottom"/>
            <w:gridSpan w:val="14"/>
          </w:tcPr>
          <w:p>
            <w:pPr>
              <w:spacing w:after="0"/>
              <w:rPr>
                <w:sz w:val="20"/>
                <w:szCs w:val="20"/>
                <w:color w:val="auto"/>
              </w:rPr>
            </w:pPr>
            <w:r>
              <w:rPr>
                <w:rFonts w:ascii="Arial" w:cs="Arial" w:eastAsia="Arial" w:hAnsi="Arial"/>
                <w:sz w:val="18"/>
                <w:szCs w:val="18"/>
                <w:color w:val="auto"/>
              </w:rPr>
              <w:t>Form of Guarantee (Warrants, Purchase Contracts and Units)**</w:t>
            </w:r>
          </w:p>
        </w:tc>
      </w:tr>
      <w:tr>
        <w:trPr>
          <w:trHeight w:val="286"/>
        </w:trPr>
        <w:tc>
          <w:tcPr>
            <w:tcW w:w="680" w:type="dxa"/>
            <w:vAlign w:val="bottom"/>
            <w:gridSpan w:val="2"/>
          </w:tcPr>
          <w:p>
            <w:pPr>
              <w:ind w:left="100"/>
              <w:spacing w:after="0"/>
              <w:rPr>
                <w:sz w:val="20"/>
                <w:szCs w:val="20"/>
                <w:color w:val="auto"/>
              </w:rPr>
            </w:pPr>
            <w:r>
              <w:rPr>
                <w:rFonts w:ascii="Arial" w:cs="Arial" w:eastAsia="Arial" w:hAnsi="Arial"/>
                <w:sz w:val="18"/>
                <w:szCs w:val="18"/>
                <w:color w:val="auto"/>
              </w:rPr>
              <w:t>5.1</w:t>
            </w:r>
          </w:p>
        </w:tc>
        <w:tc>
          <w:tcPr>
            <w:tcW w:w="740" w:type="dxa"/>
            <w:vAlign w:val="bottom"/>
          </w:tcPr>
          <w:p>
            <w:pPr>
              <w:spacing w:after="0"/>
              <w:rPr>
                <w:sz w:val="24"/>
                <w:szCs w:val="24"/>
                <w:color w:val="auto"/>
              </w:rPr>
            </w:pPr>
          </w:p>
        </w:tc>
        <w:tc>
          <w:tcPr>
            <w:tcW w:w="9560" w:type="dxa"/>
            <w:vAlign w:val="bottom"/>
            <w:gridSpan w:val="14"/>
          </w:tcPr>
          <w:p>
            <w:pPr>
              <w:spacing w:after="0"/>
              <w:rPr>
                <w:sz w:val="20"/>
                <w:szCs w:val="20"/>
                <w:color w:val="auto"/>
              </w:rPr>
            </w:pPr>
            <w:r>
              <w:rPr>
                <w:rFonts w:ascii="Arial" w:cs="Arial" w:eastAsia="Arial" w:hAnsi="Arial"/>
                <w:sz w:val="18"/>
                <w:szCs w:val="18"/>
                <w:color w:val="0000EE"/>
              </w:rPr>
              <w:t>Opinion of Elizabeth Wideman, Esquire*</w:t>
            </w:r>
          </w:p>
        </w:tc>
      </w:tr>
      <w:tr>
        <w:trPr>
          <w:trHeight w:val="20"/>
        </w:trPr>
        <w:tc>
          <w:tcPr>
            <w:tcW w:w="6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9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5340" w:type="dxa"/>
            <w:vAlign w:val="bottom"/>
            <w:gridSpan w:val="8"/>
          </w:tcPr>
          <w:p>
            <w:pPr>
              <w:spacing w:after="0" w:line="20" w:lineRule="exact"/>
              <w:rPr>
                <w:sz w:val="1"/>
                <w:szCs w:val="1"/>
                <w:color w:val="auto"/>
              </w:rPr>
            </w:pPr>
          </w:p>
        </w:tc>
      </w:tr>
      <w:tr>
        <w:trPr>
          <w:trHeight w:val="304"/>
        </w:trPr>
        <w:tc>
          <w:tcPr>
            <w:tcW w:w="680" w:type="dxa"/>
            <w:vAlign w:val="bottom"/>
            <w:gridSpan w:val="2"/>
          </w:tcPr>
          <w:p>
            <w:pPr>
              <w:ind w:left="100"/>
              <w:spacing w:after="0"/>
              <w:rPr>
                <w:sz w:val="20"/>
                <w:szCs w:val="20"/>
                <w:color w:val="auto"/>
              </w:rPr>
            </w:pPr>
            <w:r>
              <w:rPr>
                <w:rFonts w:ascii="Arial" w:cs="Arial" w:eastAsia="Arial" w:hAnsi="Arial"/>
                <w:sz w:val="18"/>
                <w:szCs w:val="18"/>
                <w:color w:val="auto"/>
              </w:rPr>
              <w:t>5.2</w:t>
            </w:r>
          </w:p>
        </w:tc>
        <w:tc>
          <w:tcPr>
            <w:tcW w:w="740" w:type="dxa"/>
            <w:vAlign w:val="bottom"/>
          </w:tcPr>
          <w:p>
            <w:pPr>
              <w:spacing w:after="0"/>
              <w:rPr>
                <w:sz w:val="24"/>
                <w:szCs w:val="24"/>
                <w:color w:val="auto"/>
              </w:rPr>
            </w:pPr>
          </w:p>
        </w:tc>
        <w:tc>
          <w:tcPr>
            <w:tcW w:w="294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3"/>
              </w:rPr>
              <w:t>Opinion of Davis Polk &amp; Wardwell LLP*</w:t>
            </w:r>
          </w:p>
        </w:tc>
        <w:tc>
          <w:tcPr>
            <w:tcW w:w="6620" w:type="dxa"/>
            <w:vAlign w:val="bottom"/>
            <w:gridSpan w:val="11"/>
          </w:tcPr>
          <w:p>
            <w:pPr>
              <w:spacing w:after="0"/>
              <w:rPr>
                <w:sz w:val="24"/>
                <w:szCs w:val="24"/>
                <w:color w:val="auto"/>
              </w:rPr>
            </w:pPr>
          </w:p>
        </w:tc>
      </w:tr>
      <w:tr>
        <w:trPr>
          <w:trHeight w:val="304"/>
        </w:trPr>
        <w:tc>
          <w:tcPr>
            <w:tcW w:w="680" w:type="dxa"/>
            <w:vAlign w:val="bottom"/>
            <w:gridSpan w:val="2"/>
          </w:tcPr>
          <w:p>
            <w:pPr>
              <w:spacing w:after="0"/>
              <w:rPr>
                <w:sz w:val="20"/>
                <w:szCs w:val="20"/>
                <w:color w:val="auto"/>
              </w:rPr>
            </w:pPr>
            <w:r>
              <w:rPr>
                <w:rFonts w:ascii="Arial" w:cs="Arial" w:eastAsia="Arial" w:hAnsi="Arial"/>
                <w:sz w:val="18"/>
                <w:szCs w:val="18"/>
                <w:color w:val="auto"/>
              </w:rPr>
              <w:t>23.1</w:t>
            </w:r>
          </w:p>
        </w:tc>
        <w:tc>
          <w:tcPr>
            <w:tcW w:w="740" w:type="dxa"/>
            <w:vAlign w:val="bottom"/>
          </w:tcPr>
          <w:p>
            <w:pPr>
              <w:spacing w:after="0"/>
              <w:rPr>
                <w:sz w:val="24"/>
                <w:szCs w:val="24"/>
                <w:color w:val="auto"/>
              </w:rPr>
            </w:pPr>
          </w:p>
        </w:tc>
        <w:tc>
          <w:tcPr>
            <w:tcW w:w="9560" w:type="dxa"/>
            <w:vAlign w:val="bottom"/>
            <w:gridSpan w:val="14"/>
          </w:tcPr>
          <w:p>
            <w:pPr>
              <w:spacing w:after="0"/>
              <w:rPr>
                <w:sz w:val="20"/>
                <w:szCs w:val="20"/>
                <w:color w:val="auto"/>
              </w:rPr>
            </w:pPr>
            <w:r>
              <w:rPr>
                <w:rFonts w:ascii="Arial" w:cs="Arial" w:eastAsia="Arial" w:hAnsi="Arial"/>
                <w:sz w:val="18"/>
                <w:szCs w:val="18"/>
                <w:color w:val="0000EE"/>
              </w:rPr>
              <w:t>Consent of Deloitte &amp; Touche LLP (Comcast Corporation)*</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340" w:type="dxa"/>
            <w:vAlign w:val="bottom"/>
            <w:gridSpan w:val="8"/>
          </w:tcPr>
          <w:p>
            <w:pPr>
              <w:spacing w:after="0" w:line="20" w:lineRule="exact"/>
              <w:rPr>
                <w:sz w:val="1"/>
                <w:szCs w:val="1"/>
                <w:color w:val="auto"/>
              </w:rPr>
            </w:pPr>
          </w:p>
        </w:tc>
      </w:tr>
      <w:tr>
        <w:trPr>
          <w:trHeight w:val="383"/>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40" w:type="dxa"/>
            <w:vAlign w:val="bottom"/>
            <w:gridSpan w:val="9"/>
          </w:tcPr>
          <w:p>
            <w:pPr>
              <w:ind w:left="240"/>
              <w:spacing w:after="0"/>
              <w:rPr>
                <w:sz w:val="20"/>
                <w:szCs w:val="20"/>
                <w:color w:val="auto"/>
              </w:rPr>
            </w:pPr>
            <w:r>
              <w:rPr>
                <w:rFonts w:ascii="Arial" w:cs="Arial" w:eastAsia="Arial" w:hAnsi="Arial"/>
                <w:sz w:val="18"/>
                <w:szCs w:val="18"/>
                <w:color w:val="auto"/>
              </w:rPr>
              <w:t>II-4</w:t>
            </w:r>
          </w:p>
        </w:tc>
      </w:tr>
    </w:tbl>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680" w:type="dxa"/>
            <w:vAlign w:val="bottom"/>
          </w:tcPr>
          <w:p>
            <w:pPr>
              <w:spacing w:after="0"/>
              <w:rPr>
                <w:sz w:val="20"/>
                <w:szCs w:val="20"/>
                <w:color w:val="auto"/>
              </w:rPr>
            </w:pPr>
            <w:r>
              <w:rPr>
                <w:rFonts w:ascii="Arial" w:cs="Arial" w:eastAsia="Arial" w:hAnsi="Arial"/>
                <w:sz w:val="14"/>
                <w:szCs w:val="14"/>
                <w:b w:val="1"/>
                <w:bCs w:val="1"/>
                <w:color w:val="auto"/>
                <w:w w:val="90"/>
              </w:rPr>
              <w:t>Exhibit No.</w:t>
            </w:r>
          </w:p>
        </w:tc>
        <w:tc>
          <w:tcPr>
            <w:tcW w:w="8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000" w:type="dxa"/>
            <w:vAlign w:val="bottom"/>
            <w:gridSpan w:val="7"/>
          </w:tcPr>
          <w:p>
            <w:pPr>
              <w:ind w:left="220"/>
              <w:spacing w:after="0"/>
              <w:rPr>
                <w:sz w:val="20"/>
                <w:szCs w:val="20"/>
                <w:color w:val="auto"/>
              </w:rPr>
            </w:pPr>
            <w:r>
              <w:rPr>
                <w:rFonts w:ascii="Arial" w:cs="Arial" w:eastAsia="Arial" w:hAnsi="Arial"/>
                <w:sz w:val="14"/>
                <w:szCs w:val="14"/>
                <w:b w:val="1"/>
                <w:bCs w:val="1"/>
                <w:color w:val="auto"/>
              </w:rPr>
              <w:t>Document</w:t>
            </w:r>
          </w:p>
        </w:tc>
      </w:tr>
      <w:tr>
        <w:trPr>
          <w:trHeight w:val="20"/>
        </w:trPr>
        <w:tc>
          <w:tcPr>
            <w:tcW w:w="6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680" w:type="dxa"/>
            <w:vAlign w:val="bottom"/>
          </w:tcPr>
          <w:p>
            <w:pPr>
              <w:spacing w:after="0"/>
              <w:rPr>
                <w:sz w:val="20"/>
                <w:szCs w:val="20"/>
                <w:color w:val="auto"/>
              </w:rPr>
            </w:pPr>
            <w:r>
              <w:rPr>
                <w:rFonts w:ascii="Arial" w:cs="Arial" w:eastAsia="Arial" w:hAnsi="Arial"/>
                <w:sz w:val="18"/>
                <w:szCs w:val="18"/>
                <w:color w:val="auto"/>
              </w:rPr>
              <w:t>23.2</w:t>
            </w:r>
          </w:p>
        </w:tc>
        <w:tc>
          <w:tcPr>
            <w:tcW w:w="840" w:type="dxa"/>
            <w:vAlign w:val="bottom"/>
          </w:tcPr>
          <w:p>
            <w:pPr>
              <w:spacing w:after="0"/>
              <w:rPr>
                <w:sz w:val="24"/>
                <w:szCs w:val="24"/>
                <w:color w:val="auto"/>
              </w:rPr>
            </w:pPr>
          </w:p>
        </w:tc>
        <w:tc>
          <w:tcPr>
            <w:tcW w:w="9240" w:type="dxa"/>
            <w:vAlign w:val="bottom"/>
            <w:gridSpan w:val="10"/>
          </w:tcPr>
          <w:p>
            <w:pPr>
              <w:spacing w:after="0"/>
              <w:rPr>
                <w:sz w:val="20"/>
                <w:szCs w:val="20"/>
                <w:color w:val="auto"/>
              </w:rPr>
            </w:pPr>
            <w:r>
              <w:rPr>
                <w:rFonts w:ascii="Arial" w:cs="Arial" w:eastAsia="Arial" w:hAnsi="Arial"/>
                <w:sz w:val="18"/>
                <w:szCs w:val="18"/>
                <w:color w:val="0000EE"/>
              </w:rPr>
              <w:t>Consent of Deloitte &amp; Touche LLP (NBCUniversal Media, LLC)*</w:t>
            </w: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23.3</w:t>
            </w:r>
          </w:p>
        </w:tc>
        <w:tc>
          <w:tcPr>
            <w:tcW w:w="840" w:type="dxa"/>
            <w:vAlign w:val="bottom"/>
          </w:tcPr>
          <w:p>
            <w:pPr>
              <w:spacing w:after="0"/>
              <w:rPr>
                <w:sz w:val="24"/>
                <w:szCs w:val="24"/>
                <w:color w:val="auto"/>
              </w:rPr>
            </w:pPr>
          </w:p>
        </w:tc>
        <w:tc>
          <w:tcPr>
            <w:tcW w:w="466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0000EE"/>
              </w:rPr>
              <w:t>Consent of Deloitte LLP (Sky plc)*</w:t>
            </w:r>
          </w:p>
        </w:tc>
        <w:tc>
          <w:tcPr>
            <w:tcW w:w="4580" w:type="dxa"/>
            <w:vAlign w:val="bottom"/>
            <w:gridSpan w:val="3"/>
          </w:tcPr>
          <w:p>
            <w:pPr>
              <w:spacing w:after="0"/>
              <w:rPr>
                <w:sz w:val="24"/>
                <w:szCs w:val="24"/>
                <w:color w:val="auto"/>
              </w:rPr>
            </w:pPr>
          </w:p>
        </w:tc>
      </w:tr>
      <w:tr>
        <w:trPr>
          <w:trHeight w:val="20"/>
        </w:trPr>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23.4</w:t>
            </w:r>
          </w:p>
        </w:tc>
        <w:tc>
          <w:tcPr>
            <w:tcW w:w="840" w:type="dxa"/>
            <w:vAlign w:val="bottom"/>
          </w:tcPr>
          <w:p>
            <w:pPr>
              <w:spacing w:after="0"/>
              <w:rPr>
                <w:sz w:val="24"/>
                <w:szCs w:val="24"/>
                <w:color w:val="auto"/>
              </w:rPr>
            </w:pPr>
          </w:p>
        </w:tc>
        <w:tc>
          <w:tcPr>
            <w:tcW w:w="9240" w:type="dxa"/>
            <w:vAlign w:val="bottom"/>
            <w:gridSpan w:val="10"/>
          </w:tcPr>
          <w:p>
            <w:pPr>
              <w:spacing w:after="0"/>
              <w:rPr>
                <w:sz w:val="20"/>
                <w:szCs w:val="20"/>
                <w:color w:val="auto"/>
              </w:rPr>
            </w:pPr>
            <w:r>
              <w:rPr>
                <w:rFonts w:ascii="Arial" w:cs="Arial" w:eastAsia="Arial" w:hAnsi="Arial"/>
                <w:sz w:val="18"/>
                <w:szCs w:val="18"/>
                <w:color w:val="0000EE"/>
              </w:rPr>
              <w:t>Consent of Elizabeth Wideman, Esquire (included in Exhibit 5.1)</w:t>
            </w:r>
          </w:p>
        </w:tc>
      </w:tr>
      <w:tr>
        <w:trPr>
          <w:trHeight w:val="20"/>
        </w:trPr>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23.5</w:t>
            </w:r>
          </w:p>
        </w:tc>
        <w:tc>
          <w:tcPr>
            <w:tcW w:w="840" w:type="dxa"/>
            <w:vAlign w:val="bottom"/>
          </w:tcPr>
          <w:p>
            <w:pPr>
              <w:spacing w:after="0"/>
              <w:rPr>
                <w:sz w:val="24"/>
                <w:szCs w:val="24"/>
                <w:color w:val="auto"/>
              </w:rPr>
            </w:pPr>
          </w:p>
        </w:tc>
        <w:tc>
          <w:tcPr>
            <w:tcW w:w="9240" w:type="dxa"/>
            <w:vAlign w:val="bottom"/>
            <w:gridSpan w:val="10"/>
          </w:tcPr>
          <w:p>
            <w:pPr>
              <w:spacing w:after="0"/>
              <w:rPr>
                <w:sz w:val="20"/>
                <w:szCs w:val="20"/>
                <w:color w:val="auto"/>
              </w:rPr>
            </w:pPr>
            <w:r>
              <w:rPr>
                <w:rFonts w:ascii="Arial" w:cs="Arial" w:eastAsia="Arial" w:hAnsi="Arial"/>
                <w:sz w:val="18"/>
                <w:szCs w:val="18"/>
                <w:color w:val="0000EE"/>
              </w:rPr>
              <w:t>Consent of Davis Polk &amp; Wardwell LLP (included in Exhibit 5.2)</w:t>
            </w: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24.1</w:t>
            </w:r>
          </w:p>
        </w:tc>
        <w:tc>
          <w:tcPr>
            <w:tcW w:w="840" w:type="dxa"/>
            <w:vAlign w:val="bottom"/>
          </w:tcPr>
          <w:p>
            <w:pPr>
              <w:spacing w:after="0"/>
              <w:rPr>
                <w:sz w:val="24"/>
                <w:szCs w:val="24"/>
                <w:color w:val="auto"/>
              </w:rPr>
            </w:pPr>
          </w:p>
        </w:tc>
        <w:tc>
          <w:tcPr>
            <w:tcW w:w="42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37">
              <w:r>
                <w:rPr>
                  <w:rFonts w:ascii="Arial" w:cs="Arial" w:eastAsia="Arial" w:hAnsi="Arial"/>
                  <w:sz w:val="18"/>
                  <w:szCs w:val="18"/>
                  <w:color w:val="0000EE"/>
                  <w:w w:val="87"/>
                </w:rPr>
                <w:t>Powers of Attorney (included on the signature pages hereof)</w:t>
              </w:r>
            </w:hyperlink>
          </w:p>
        </w:tc>
        <w:tc>
          <w:tcPr>
            <w:tcW w:w="360" w:type="dxa"/>
            <w:vAlign w:val="bottom"/>
            <w:tcBorders>
              <w:top w:val="single" w:sz="8" w:color="0000EE"/>
            </w:tcBorders>
            <w:gridSpan w:val="3"/>
          </w:tcPr>
          <w:p>
            <w:pPr>
              <w:spacing w:after="0"/>
              <w:rPr>
                <w:sz w:val="24"/>
                <w:szCs w:val="24"/>
                <w:color w:val="auto"/>
              </w:rPr>
            </w:pPr>
          </w:p>
        </w:tc>
        <w:tc>
          <w:tcPr>
            <w:tcW w:w="4640" w:type="dxa"/>
            <w:vAlign w:val="bottom"/>
            <w:gridSpan w:val="4"/>
          </w:tcPr>
          <w:p>
            <w:pPr>
              <w:spacing w:after="0"/>
              <w:rPr>
                <w:sz w:val="24"/>
                <w:szCs w:val="24"/>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25.1</w:t>
            </w:r>
          </w:p>
        </w:tc>
        <w:tc>
          <w:tcPr>
            <w:tcW w:w="840" w:type="dxa"/>
            <w:vAlign w:val="bottom"/>
          </w:tcPr>
          <w:p>
            <w:pPr>
              <w:spacing w:after="0"/>
              <w:rPr>
                <w:sz w:val="24"/>
                <w:szCs w:val="24"/>
                <w:color w:val="auto"/>
              </w:rPr>
            </w:pPr>
          </w:p>
        </w:tc>
        <w:tc>
          <w:tcPr>
            <w:tcW w:w="9240" w:type="dxa"/>
            <w:vAlign w:val="bottom"/>
            <w:tcBorders>
              <w:bottom w:val="single" w:sz="8" w:color="0000EE"/>
            </w:tcBorders>
            <w:gridSpan w:val="10"/>
          </w:tcPr>
          <w:p>
            <w:pPr>
              <w:spacing w:after="0"/>
              <w:rPr>
                <w:rFonts w:ascii="Arial" w:cs="Arial" w:eastAsia="Arial" w:hAnsi="Arial"/>
                <w:sz w:val="18"/>
                <w:szCs w:val="18"/>
                <w:color w:val="0000EE"/>
                <w:w w:val="89"/>
              </w:rPr>
            </w:pPr>
            <w:hyperlink r:id="rId70">
              <w:r>
                <w:rPr>
                  <w:rFonts w:ascii="Arial" w:cs="Arial" w:eastAsia="Arial" w:hAnsi="Arial"/>
                  <w:sz w:val="18"/>
                  <w:szCs w:val="18"/>
                  <w:color w:val="0000EE"/>
                  <w:w w:val="89"/>
                </w:rPr>
                <w:t>Statement of Eligibility under the Trust Indenture Act of 1939, as amended, of The Bank of New York Mellon, as Trustee under the</w:t>
              </w:r>
            </w:hyperlink>
          </w:p>
        </w:tc>
      </w:tr>
      <w:tr>
        <w:trPr>
          <w:trHeight w:val="196"/>
        </w:trPr>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40" w:type="dxa"/>
            <w:vAlign w:val="bottom"/>
            <w:gridSpan w:val="10"/>
          </w:tcPr>
          <w:p>
            <w:pPr>
              <w:spacing w:after="0" w:line="196" w:lineRule="exact"/>
              <w:rPr>
                <w:rFonts w:ascii="Arial" w:cs="Arial" w:eastAsia="Arial" w:hAnsi="Arial"/>
                <w:sz w:val="18"/>
                <w:szCs w:val="18"/>
                <w:color w:val="0000EE"/>
                <w:w w:val="88"/>
              </w:rPr>
            </w:pPr>
            <w:hyperlink r:id="rId70">
              <w:r>
                <w:rPr>
                  <w:rFonts w:ascii="Arial" w:cs="Arial" w:eastAsia="Arial" w:hAnsi="Arial"/>
                  <w:sz w:val="18"/>
                  <w:szCs w:val="18"/>
                  <w:color w:val="0000EE"/>
                  <w:w w:val="88"/>
                </w:rPr>
                <w:t>Senior Indenture, dated as of September 18, 2013 (incorporated by reference to Comcast’s Registration Statement on Form S-3, as</w:t>
              </w:r>
            </w:hyperlink>
          </w:p>
        </w:tc>
      </w:tr>
      <w:tr>
        <w:trPr>
          <w:trHeight w:val="196"/>
        </w:trPr>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7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r:id="rId70">
              <w:r>
                <w:rPr>
                  <w:rFonts w:ascii="Arial" w:cs="Arial" w:eastAsia="Arial" w:hAnsi="Arial"/>
                  <w:sz w:val="18"/>
                  <w:szCs w:val="18"/>
                  <w:color w:val="0000EE"/>
                  <w:w w:val="87"/>
                </w:rPr>
                <w:t>amended, filed on September 18, 2013)</w:t>
              </w:r>
            </w:hyperlink>
          </w:p>
        </w:tc>
        <w:tc>
          <w:tcPr>
            <w:tcW w:w="6360" w:type="dxa"/>
            <w:vAlign w:val="bottom"/>
            <w:tcBorders>
              <w:top w:val="single" w:sz="8" w:color="0000EE"/>
            </w:tcBorders>
            <w:gridSpan w:val="7"/>
          </w:tcPr>
          <w:p>
            <w:pPr>
              <w:spacing w:after="0"/>
              <w:rPr>
                <w:sz w:val="17"/>
                <w:szCs w:val="17"/>
                <w:color w:val="auto"/>
              </w:rPr>
            </w:pPr>
          </w:p>
        </w:tc>
        <w:tc>
          <w:tcPr>
            <w:tcW w:w="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3">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47" w:lineRule="exact"/>
        <w:rPr>
          <w:sz w:val="20"/>
          <w:szCs w:val="20"/>
          <w:color w:val="auto"/>
        </w:rPr>
      </w:pPr>
    </w:p>
    <w:p>
      <w:pPr>
        <w:ind w:left="640" w:hanging="43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640" w:hanging="43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be filed by Current Report on Form 8-K.</w:t>
      </w:r>
    </w:p>
    <w:p>
      <w:pPr>
        <w:spacing w:after="0" w:line="280"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i w:val="1"/>
          <w:iCs w:val="1"/>
          <w:color w:val="auto"/>
        </w:rPr>
        <w:t>Undertakings</w:t>
      </w:r>
    </w:p>
    <w:p>
      <w:pPr>
        <w:spacing w:after="0" w:line="96" w:lineRule="exact"/>
        <w:rPr>
          <w:sz w:val="20"/>
          <w:szCs w:val="20"/>
          <w:color w:val="auto"/>
        </w:rPr>
      </w:pPr>
    </w:p>
    <w:p>
      <w:pPr>
        <w:ind w:left="1180" w:hanging="544"/>
        <w:spacing w:after="0"/>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undersigned registrants hereby undertake:</w:t>
      </w:r>
    </w:p>
    <w:p>
      <w:pPr>
        <w:spacing w:after="0" w:line="90" w:lineRule="exact"/>
        <w:rPr>
          <w:rFonts w:ascii="Arial" w:cs="Arial" w:eastAsia="Arial" w:hAnsi="Arial"/>
          <w:sz w:val="18"/>
          <w:szCs w:val="18"/>
          <w:color w:val="auto"/>
        </w:rPr>
      </w:pPr>
    </w:p>
    <w:p>
      <w:pPr>
        <w:ind w:left="1320" w:hanging="252"/>
        <w:spacing w:after="0"/>
        <w:tabs>
          <w:tab w:leader="none" w:pos="13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90" w:lineRule="exact"/>
        <w:rPr>
          <w:rFonts w:ascii="Arial" w:cs="Arial" w:eastAsia="Arial" w:hAnsi="Arial"/>
          <w:sz w:val="18"/>
          <w:szCs w:val="18"/>
          <w:color w:val="auto"/>
        </w:rPr>
      </w:pPr>
    </w:p>
    <w:p>
      <w:pPr>
        <w:ind w:left="1800" w:hanging="203"/>
        <w:spacing w:after="0"/>
        <w:tabs>
          <w:tab w:leader="none" w:pos="1800" w:val="left"/>
        </w:tabs>
        <w:numPr>
          <w:ilvl w:val="2"/>
          <w:numId w:val="3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90" w:lineRule="exact"/>
        <w:rPr>
          <w:rFonts w:ascii="Arial" w:cs="Arial" w:eastAsia="Arial" w:hAnsi="Arial"/>
          <w:sz w:val="18"/>
          <w:szCs w:val="18"/>
          <w:color w:val="auto"/>
        </w:rPr>
      </w:pPr>
    </w:p>
    <w:p>
      <w:pPr>
        <w:ind w:left="1200" w:right="20" w:firstLine="397"/>
        <w:spacing w:after="0" w:line="290" w:lineRule="auto"/>
        <w:tabs>
          <w:tab w:leader="none" w:pos="1859" w:val="left"/>
        </w:tabs>
        <w:numPr>
          <w:ilvl w:val="2"/>
          <w:numId w:val="36"/>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37" w:lineRule="exact"/>
        <w:rPr>
          <w:rFonts w:ascii="Arial" w:cs="Arial" w:eastAsia="Arial" w:hAnsi="Arial"/>
          <w:sz w:val="16"/>
          <w:szCs w:val="16"/>
          <w:color w:val="auto"/>
        </w:rPr>
      </w:pPr>
    </w:p>
    <w:p>
      <w:pPr>
        <w:ind w:left="1200" w:right="120" w:firstLine="397"/>
        <w:spacing w:after="0" w:line="268" w:lineRule="auto"/>
        <w:tabs>
          <w:tab w:leader="none" w:pos="1908" w:val="left"/>
        </w:tabs>
        <w:numPr>
          <w:ilvl w:val="2"/>
          <w:numId w:val="3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32" w:lineRule="exact"/>
        <w:rPr>
          <w:sz w:val="20"/>
          <w:szCs w:val="20"/>
          <w:color w:val="auto"/>
        </w:rPr>
      </w:pPr>
    </w:p>
    <w:p>
      <w:pPr>
        <w:jc w:val="both"/>
        <w:ind w:left="200" w:right="20"/>
        <w:spacing w:after="0" w:line="256" w:lineRule="auto"/>
        <w:rPr>
          <w:sz w:val="20"/>
          <w:szCs w:val="20"/>
          <w:color w:val="auto"/>
        </w:rPr>
      </w:pPr>
      <w:r>
        <w:rPr>
          <w:rFonts w:ascii="Arial" w:cs="Arial" w:eastAsia="Arial" w:hAnsi="Arial"/>
          <w:sz w:val="18"/>
          <w:szCs w:val="18"/>
          <w:color w:val="auto"/>
        </w:rPr>
        <w:t>provided, however, that paragraphs (a)(1)(i), (a)(1)(ii) and (a)(1)(iii) of this section do not apply if the information required to be included in a post-effective amendment by those paragraphs is contained in reports filed with or furnished to the Commission by the registrants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62" w:lineRule="exact"/>
        <w:rPr>
          <w:sz w:val="20"/>
          <w:szCs w:val="20"/>
          <w:color w:val="auto"/>
        </w:rPr>
      </w:pPr>
    </w:p>
    <w:p>
      <w:pPr>
        <w:ind w:left="640" w:firstLine="428"/>
        <w:spacing w:after="0" w:line="259" w:lineRule="auto"/>
        <w:tabs>
          <w:tab w:leader="none" w:pos="1312"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59" w:lineRule="exact"/>
        <w:rPr>
          <w:rFonts w:ascii="Arial" w:cs="Arial" w:eastAsia="Arial" w:hAnsi="Arial"/>
          <w:sz w:val="18"/>
          <w:szCs w:val="18"/>
          <w:color w:val="auto"/>
        </w:rPr>
      </w:pPr>
    </w:p>
    <w:p>
      <w:pPr>
        <w:ind w:left="640" w:right="460" w:firstLine="428"/>
        <w:spacing w:after="0" w:line="268" w:lineRule="auto"/>
        <w:tabs>
          <w:tab w:leader="none" w:pos="1312"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50" w:lineRule="exact"/>
        <w:rPr>
          <w:rFonts w:ascii="Arial" w:cs="Arial" w:eastAsia="Arial" w:hAnsi="Arial"/>
          <w:sz w:val="18"/>
          <w:szCs w:val="18"/>
          <w:color w:val="auto"/>
        </w:rPr>
      </w:pPr>
    </w:p>
    <w:p>
      <w:pPr>
        <w:ind w:left="1320" w:hanging="252"/>
        <w:spacing w:after="0"/>
        <w:tabs>
          <w:tab w:leader="none" w:pos="1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90" w:lineRule="exact"/>
        <w:rPr>
          <w:rFonts w:ascii="Arial" w:cs="Arial" w:eastAsia="Arial" w:hAnsi="Arial"/>
          <w:sz w:val="18"/>
          <w:szCs w:val="18"/>
          <w:color w:val="auto"/>
        </w:rPr>
      </w:pPr>
    </w:p>
    <w:p>
      <w:pPr>
        <w:ind w:left="1200" w:right="200" w:firstLine="397"/>
        <w:spacing w:after="0" w:line="268" w:lineRule="auto"/>
        <w:tabs>
          <w:tab w:leader="none" w:pos="1811" w:val="left"/>
        </w:tabs>
        <w:numPr>
          <w:ilvl w:val="1"/>
          <w:numId w:val="37"/>
        </w:numPr>
        <w:rPr>
          <w:rFonts w:ascii="Arial" w:cs="Arial" w:eastAsia="Arial" w:hAnsi="Arial"/>
          <w:sz w:val="18"/>
          <w:szCs w:val="18"/>
          <w:color w:val="auto"/>
        </w:rPr>
      </w:pPr>
      <w:r>
        <w:rPr>
          <w:rFonts w:ascii="Arial" w:cs="Arial" w:eastAsia="Arial" w:hAnsi="Arial"/>
          <w:sz w:val="18"/>
          <w:szCs w:val="18"/>
          <w:color w:val="auto"/>
        </w:rPr>
        <w:t>Each prospectus filed by the registrants pursuant to Rule 424(b)(3) shall be deemed to be part of the registration statement as of the date the filed prospectus was deemed part of and included in the registration statement; and</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200" w:firstLine="397"/>
        <w:spacing w:after="0" w:line="307" w:lineRule="auto"/>
        <w:tabs>
          <w:tab w:leader="none" w:pos="1859" w:val="left"/>
        </w:tabs>
        <w:numPr>
          <w:ilvl w:val="1"/>
          <w:numId w:val="38"/>
        </w:numPr>
        <w:rPr>
          <w:rFonts w:ascii="Arial" w:cs="Arial" w:eastAsia="Arial" w:hAnsi="Arial"/>
          <w:sz w:val="15"/>
          <w:szCs w:val="15"/>
          <w:color w:val="auto"/>
        </w:rPr>
      </w:pPr>
      <w:r>
        <w:rPr>
          <w:rFonts w:ascii="Arial" w:cs="Arial" w:eastAsia="Arial" w:hAnsi="Arial"/>
          <w:sz w:val="15"/>
          <w:szCs w:val="15"/>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30" w:lineRule="exact"/>
        <w:rPr>
          <w:rFonts w:ascii="Arial" w:cs="Arial" w:eastAsia="Arial" w:hAnsi="Arial"/>
          <w:sz w:val="15"/>
          <w:szCs w:val="15"/>
          <w:color w:val="auto"/>
        </w:rPr>
      </w:pPr>
    </w:p>
    <w:p>
      <w:pPr>
        <w:ind w:left="640" w:firstLine="428"/>
        <w:spacing w:after="0" w:line="268" w:lineRule="auto"/>
        <w:tabs>
          <w:tab w:leader="none" w:pos="1312"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registrants under the Securities Act of 1933 to any purchaser in the initial distribution of the securities:</w:t>
      </w:r>
    </w:p>
    <w:p>
      <w:pPr>
        <w:spacing w:after="0" w:line="51" w:lineRule="exact"/>
        <w:rPr>
          <w:sz w:val="20"/>
          <w:szCs w:val="20"/>
          <w:color w:val="auto"/>
        </w:rPr>
      </w:pPr>
    </w:p>
    <w:p>
      <w:pPr>
        <w:ind w:left="1200" w:right="40" w:firstLine="401"/>
        <w:spacing w:after="0" w:line="256" w:lineRule="auto"/>
        <w:rPr>
          <w:sz w:val="20"/>
          <w:szCs w:val="20"/>
          <w:color w:val="auto"/>
        </w:rPr>
      </w:pPr>
      <w:r>
        <w:rPr>
          <w:rFonts w:ascii="Arial" w:cs="Arial" w:eastAsia="Arial" w:hAnsi="Arial"/>
          <w:sz w:val="18"/>
          <w:szCs w:val="18"/>
          <w:color w:val="auto"/>
        </w:rPr>
        <w:t>The undersigned registrants undertake that in a primary offering of securities of the undersigned registrants pursuant to this registration statement, regardless of the underwriting method used to sell the securities to the purchaser, if the securities are offered or sold to such purchaser by means of any of the following communications, the undersigned registrants will be sellers to the purchaser and will be considered to offer or sell such securities to such purchaser:</w:t>
      </w:r>
    </w:p>
    <w:p>
      <w:pPr>
        <w:spacing w:after="0" w:line="62"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(i) Any preliminary prospectus or prospectus of the undersigned registrants relating to the offering required to be filed pursuant to Rule</w:t>
      </w:r>
    </w:p>
    <w:p>
      <w:pPr>
        <w:spacing w:after="0" w:line="38"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424;</w:t>
      </w:r>
    </w:p>
    <w:p>
      <w:pPr>
        <w:spacing w:after="0" w:line="84" w:lineRule="exact"/>
        <w:rPr>
          <w:sz w:val="20"/>
          <w:szCs w:val="20"/>
          <w:color w:val="auto"/>
        </w:rPr>
      </w:pPr>
    </w:p>
    <w:p>
      <w:pPr>
        <w:ind w:left="1200" w:right="60" w:firstLine="397"/>
        <w:spacing w:after="0" w:line="268" w:lineRule="auto"/>
        <w:tabs>
          <w:tab w:leader="none" w:pos="1859"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registrants or used or referred to by the undersigned registrants;</w:t>
      </w:r>
    </w:p>
    <w:p>
      <w:pPr>
        <w:spacing w:after="0" w:line="50" w:lineRule="exact"/>
        <w:rPr>
          <w:rFonts w:ascii="Arial" w:cs="Arial" w:eastAsia="Arial" w:hAnsi="Arial"/>
          <w:sz w:val="18"/>
          <w:szCs w:val="18"/>
          <w:color w:val="auto"/>
        </w:rPr>
      </w:pPr>
    </w:p>
    <w:p>
      <w:pPr>
        <w:ind w:left="1200" w:right="360" w:firstLine="397"/>
        <w:spacing w:after="0" w:line="268" w:lineRule="auto"/>
        <w:tabs>
          <w:tab w:leader="none" w:pos="1908"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registrants or their securities provided by or on behalf of the undersigned registrants; and</w:t>
      </w:r>
    </w:p>
    <w:p>
      <w:pPr>
        <w:spacing w:after="0" w:line="50" w:lineRule="exact"/>
        <w:rPr>
          <w:rFonts w:ascii="Arial" w:cs="Arial" w:eastAsia="Arial" w:hAnsi="Arial"/>
          <w:sz w:val="18"/>
          <w:szCs w:val="18"/>
          <w:color w:val="auto"/>
        </w:rPr>
      </w:pPr>
    </w:p>
    <w:p>
      <w:pPr>
        <w:ind w:left="1900" w:hanging="303"/>
        <w:spacing w:after="0"/>
        <w:tabs>
          <w:tab w:leader="none" w:pos="1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registrants to the purchaser.</w:t>
      </w:r>
    </w:p>
    <w:p>
      <w:pPr>
        <w:spacing w:after="0" w:line="90" w:lineRule="exact"/>
        <w:rPr>
          <w:rFonts w:ascii="Arial" w:cs="Arial" w:eastAsia="Arial" w:hAnsi="Arial"/>
          <w:sz w:val="18"/>
          <w:szCs w:val="18"/>
          <w:color w:val="auto"/>
        </w:rPr>
      </w:pPr>
    </w:p>
    <w:p>
      <w:pPr>
        <w:ind w:left="1180" w:right="160" w:hanging="544"/>
        <w:spacing w:after="0" w:line="294" w:lineRule="auto"/>
        <w:tabs>
          <w:tab w:leader="none" w:pos="11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undersigned registrants hereby undertake that, for purposes of determining any liability under the Securities Act of 1933, each filing of Comcast Corporation’s or NBCUniversal’s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34" w:lineRule="exact"/>
        <w:rPr>
          <w:rFonts w:ascii="Arial" w:cs="Arial" w:eastAsia="Arial" w:hAnsi="Arial"/>
          <w:sz w:val="16"/>
          <w:szCs w:val="16"/>
          <w:color w:val="auto"/>
        </w:rPr>
      </w:pPr>
    </w:p>
    <w:p>
      <w:pPr>
        <w:ind w:left="1180" w:hanging="544"/>
        <w:spacing w:after="0" w:line="290" w:lineRule="auto"/>
        <w:tabs>
          <w:tab w:leader="none" w:pos="11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registrants pursuant to the foregoing provisions, or otherwise, the registrants have been advised that in the opinion of the Commission such indemnification is against public policy as expressed in the Securities Act of 1933 and is, therefore, unenforceable. In the event that a claim for indemnification against such liabilities (other than the payment by the registrants of expenses incurred or paid by a director, officer or controlling person of the registrants in the successful defense of any action, suit or proceeding) is asserted by such director, officer or controlling person in connection with the securities being registered, the registrants will, unless in the opinion of their counsel the matter has been settled by controlling precedent, submit to a</w:t>
      </w:r>
    </w:p>
    <w:p>
      <w:pPr>
        <w:spacing w:after="0" w:line="10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140"/>
          </w:cols>
          <w:pgMar w:left="240" w:top="459" w:right="5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80"/>
        <w:spacing w:after="0" w:line="268" w:lineRule="auto"/>
        <w:rPr>
          <w:sz w:val="20"/>
          <w:szCs w:val="20"/>
          <w:color w:val="auto"/>
        </w:rPr>
      </w:pPr>
      <w:r>
        <w:rPr>
          <w:rFonts w:ascii="Arial" w:cs="Arial" w:eastAsia="Arial" w:hAnsi="Arial"/>
          <w:sz w:val="18"/>
          <w:szCs w:val="18"/>
          <w:color w:val="auto"/>
        </w:rPr>
        <w:t>court of appropriate jurisdiction the question whether such indemnification by it is against public policy as expressed in the Securities Act of 1933 and will be governed by the final adjudication of such issue.</w:t>
      </w:r>
    </w:p>
    <w:p>
      <w:pPr>
        <w:spacing w:after="0" w:line="51" w:lineRule="exact"/>
        <w:rPr>
          <w:sz w:val="20"/>
          <w:szCs w:val="20"/>
          <w:color w:val="auto"/>
        </w:rPr>
      </w:pPr>
    </w:p>
    <w:p>
      <w:pPr>
        <w:ind w:left="1180" w:right="120" w:hanging="544"/>
        <w:spacing w:after="0" w:line="259" w:lineRule="auto"/>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undersigned registrant hereby undertakes to file an application for the purpose of determining the eligibility of the trustee to act under subsection (a) of section 310 of the Trust Indenture Act (“Act”) in accordance with the rules and regulations prescribed by the Commission under section 305(b)(2) of the Act.</w:t>
      </w:r>
    </w:p>
    <w:p>
      <w:pPr>
        <w:spacing w:after="0" w:line="12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080"/>
          </w:cols>
          <w:pgMar w:left="240" w:top="459" w:right="5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 AND POWER OF ATTORNEY FOR COMCAST CORPORATION</w:t>
      </w:r>
    </w:p>
    <w:p>
      <w:pPr>
        <w:spacing w:after="0" w:line="177"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Pursuant to the requirements of the Securities Act of 1933, Comcast Corporation certifies that it has reasonable grounds to believe that it meets all of the requirements for filing on Form S-3 and has duly caused this Registration Statement to be signed on its behalf by the undersigned, thereunto duly authorized, in the City of Philadelphia, Commonwealth of Pennsylvania, on August 1, 2019.</w:t>
      </w:r>
    </w:p>
    <w:p>
      <w:pPr>
        <w:spacing w:after="0" w:line="181"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tbl>
      <w:tblPr>
        <w:tblLayout w:type="fixed"/>
        <w:tblInd w:w="682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/s/   T</w:t>
            </w:r>
            <w:r>
              <w:rPr>
                <w:rFonts w:ascii="Arial" w:cs="Arial" w:eastAsia="Arial" w:hAnsi="Arial"/>
                <w:sz w:val="14"/>
                <w:szCs w:val="14"/>
                <w:color w:val="auto"/>
              </w:rPr>
              <w:t>HOMAS</w:t>
            </w:r>
            <w:r>
              <w:rPr>
                <w:rFonts w:ascii="Arial" w:cs="Arial" w:eastAsia="Arial" w:hAnsi="Arial"/>
                <w:sz w:val="18"/>
                <w:szCs w:val="18"/>
                <w:color w:val="auto"/>
              </w:rPr>
              <w:t xml:space="preserve"> J. R</w:t>
            </w:r>
            <w:r>
              <w:rPr>
                <w:rFonts w:ascii="Arial" w:cs="Arial" w:eastAsia="Arial" w:hAnsi="Arial"/>
                <w:sz w:val="14"/>
                <w:szCs w:val="14"/>
                <w:color w:val="auto"/>
              </w:rPr>
              <w:t>EID</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jc w:val="center"/>
              <w:spacing w:after="0"/>
              <w:rPr>
                <w:sz w:val="20"/>
                <w:szCs w:val="20"/>
                <w:color w:val="auto"/>
              </w:rPr>
            </w:pPr>
            <w:r>
              <w:rPr>
                <w:rFonts w:ascii="Arial" w:cs="Arial" w:eastAsia="Arial" w:hAnsi="Arial"/>
                <w:sz w:val="14"/>
                <w:szCs w:val="14"/>
                <w:b w:val="1"/>
                <w:bCs w:val="1"/>
                <w:color w:val="auto"/>
                <w:w w:val="86"/>
              </w:rPr>
              <w:t>Thomas J. Reid</w:t>
            </w:r>
          </w:p>
        </w:tc>
      </w:tr>
      <w:tr>
        <w:trPr>
          <w:trHeight w:val="21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jc w:val="center"/>
              <w:spacing w:after="0"/>
              <w:rPr>
                <w:sz w:val="20"/>
                <w:szCs w:val="20"/>
                <w:color w:val="auto"/>
              </w:rPr>
            </w:pPr>
            <w:r>
              <w:rPr>
                <w:rFonts w:ascii="Arial" w:cs="Arial" w:eastAsia="Arial" w:hAnsi="Arial"/>
                <w:sz w:val="14"/>
                <w:szCs w:val="14"/>
                <w:b w:val="1"/>
                <w:bCs w:val="1"/>
                <w:color w:val="auto"/>
                <w:w w:val="85"/>
              </w:rPr>
              <w:t>Senior Executive Vice President,</w:t>
            </w:r>
          </w:p>
        </w:tc>
      </w:tr>
      <w:tr>
        <w:trPr>
          <w:trHeight w:val="174"/>
        </w:trPr>
        <w:tc>
          <w:tcPr>
            <w:tcW w:w="580" w:type="dxa"/>
            <w:vAlign w:val="bottom"/>
          </w:tcPr>
          <w:p>
            <w:pPr>
              <w:spacing w:after="0"/>
              <w:rPr>
                <w:sz w:val="15"/>
                <w:szCs w:val="15"/>
                <w:color w:val="auto"/>
              </w:rPr>
            </w:pPr>
          </w:p>
        </w:tc>
        <w:tc>
          <w:tcPr>
            <w:tcW w:w="3840" w:type="dxa"/>
            <w:vAlign w:val="bottom"/>
          </w:tcPr>
          <w:p>
            <w:pPr>
              <w:jc w:val="center"/>
              <w:spacing w:after="0"/>
              <w:rPr>
                <w:sz w:val="20"/>
                <w:szCs w:val="20"/>
                <w:color w:val="auto"/>
              </w:rPr>
            </w:pPr>
            <w:r>
              <w:rPr>
                <w:rFonts w:ascii="Arial" w:cs="Arial" w:eastAsia="Arial" w:hAnsi="Arial"/>
                <w:sz w:val="14"/>
                <w:szCs w:val="14"/>
                <w:b w:val="1"/>
                <w:bCs w:val="1"/>
                <w:color w:val="auto"/>
                <w:w w:val="86"/>
              </w:rPr>
              <w:t>General Counsel and Secretary</w:t>
            </w:r>
          </w:p>
        </w:tc>
      </w:tr>
    </w:tbl>
    <w:p>
      <w:pPr>
        <w:spacing w:after="0" w:line="141"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5"/>
          <w:szCs w:val="15"/>
          <w:color w:val="auto"/>
        </w:rPr>
        <w:t>KNOW ALL MEN BY THESE PRESENTS, that each person whose signature appears below hereby constitutes and appoints Brian L. Roberts, Michael J. Cavanagh, Daniel C. Murdock and Thomas J. Reid and each of them, his or her true and lawful attorneys-in-fact and agents, with full power of substitution and resubstitution, for him or her and in his or her name, place and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 or substitutes, may lawfully do or cause to be done by virtue hereof.</w:t>
      </w:r>
    </w:p>
    <w:p>
      <w:pPr>
        <w:spacing w:after="0" w:line="105" w:lineRule="exact"/>
        <w:rPr>
          <w:sz w:val="20"/>
          <w:szCs w:val="20"/>
          <w:color w:val="auto"/>
        </w:rPr>
      </w:pPr>
    </w:p>
    <w:p>
      <w:pPr>
        <w:ind w:left="200" w:right="240" w:firstLine="441"/>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8"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16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400" w:type="dxa"/>
            <w:vAlign w:val="bottom"/>
          </w:tcPr>
          <w:p>
            <w:pPr>
              <w:spacing w:after="0"/>
              <w:rPr>
                <w:sz w:val="14"/>
                <w:szCs w:val="14"/>
                <w:color w:val="auto"/>
              </w:rPr>
            </w:pPr>
          </w:p>
        </w:tc>
      </w:tr>
      <w:tr>
        <w:trPr>
          <w:trHeight w:val="424"/>
        </w:trPr>
        <w:tc>
          <w:tcPr>
            <w:tcW w:w="110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w w:val="83"/>
              </w:rPr>
              <w:t>/s/</w:t>
            </w:r>
          </w:p>
        </w:tc>
        <w:tc>
          <w:tcPr>
            <w:tcW w:w="2780" w:type="dxa"/>
            <w:vAlign w:val="bottom"/>
            <w:tcBorders>
              <w:bottom w:val="single" w:sz="8" w:color="auto"/>
            </w:tcBorders>
            <w:gridSpan w:val="3"/>
          </w:tcPr>
          <w:p>
            <w:pPr>
              <w:jc w:val="center"/>
              <w:ind w:right="1080"/>
              <w:spacing w:after="0"/>
              <w:rPr>
                <w:sz w:val="20"/>
                <w:szCs w:val="20"/>
                <w:color w:val="auto"/>
              </w:rPr>
            </w:pPr>
            <w:r>
              <w:rPr>
                <w:rFonts w:ascii="Arial" w:cs="Arial" w:eastAsia="Arial" w:hAnsi="Arial"/>
                <w:sz w:val="18"/>
                <w:szCs w:val="18"/>
                <w:color w:val="auto"/>
                <w:w w:val="97"/>
              </w:rPr>
              <w:t>B</w:t>
            </w:r>
            <w:r>
              <w:rPr>
                <w:rFonts w:ascii="Arial" w:cs="Arial" w:eastAsia="Arial" w:hAnsi="Arial"/>
                <w:sz w:val="14"/>
                <w:szCs w:val="14"/>
                <w:color w:val="auto"/>
                <w:w w:val="97"/>
              </w:rPr>
              <w:t>RIAN</w:t>
            </w:r>
            <w:r>
              <w:rPr>
                <w:rFonts w:ascii="Arial" w:cs="Arial" w:eastAsia="Arial" w:hAnsi="Arial"/>
                <w:sz w:val="18"/>
                <w:szCs w:val="18"/>
                <w:color w:val="auto"/>
                <w:w w:val="97"/>
              </w:rPr>
              <w:t xml:space="preserve"> L. R</w:t>
            </w:r>
            <w:r>
              <w:rPr>
                <w:rFonts w:ascii="Arial" w:cs="Arial" w:eastAsia="Arial" w:hAnsi="Arial"/>
                <w:sz w:val="14"/>
                <w:szCs w:val="14"/>
                <w:color w:val="auto"/>
                <w:w w:val="97"/>
              </w:rPr>
              <w:t>OBERTS</w:t>
            </w:r>
          </w:p>
        </w:tc>
        <w:tc>
          <w:tcPr>
            <w:tcW w:w="4780" w:type="dxa"/>
            <w:vAlign w:val="bottom"/>
            <w:gridSpan w:val="3"/>
          </w:tcPr>
          <w:p>
            <w:pPr>
              <w:jc w:val="center"/>
              <w:ind w:left="132"/>
              <w:spacing w:after="0"/>
              <w:rPr>
                <w:sz w:val="20"/>
                <w:szCs w:val="20"/>
                <w:color w:val="auto"/>
              </w:rPr>
            </w:pPr>
            <w:r>
              <w:rPr>
                <w:rFonts w:ascii="Arial" w:cs="Arial" w:eastAsia="Arial" w:hAnsi="Arial"/>
                <w:sz w:val="18"/>
                <w:szCs w:val="18"/>
                <w:color w:val="auto"/>
                <w:w w:val="90"/>
              </w:rPr>
              <w:t>Chairman and CEO; Director</w:t>
            </w:r>
          </w:p>
        </w:tc>
        <w:tc>
          <w:tcPr>
            <w:tcW w:w="1880" w:type="dxa"/>
            <w:vAlign w:val="bottom"/>
            <w:gridSpan w:val="3"/>
          </w:tcPr>
          <w:p>
            <w:pPr>
              <w:jc w:val="center"/>
              <w:ind w:left="712"/>
              <w:spacing w:after="0"/>
              <w:rPr>
                <w:sz w:val="20"/>
                <w:szCs w:val="20"/>
                <w:color w:val="auto"/>
              </w:rPr>
            </w:pPr>
            <w:r>
              <w:rPr>
                <w:rFonts w:ascii="Arial" w:cs="Arial" w:eastAsia="Arial" w:hAnsi="Arial"/>
                <w:sz w:val="18"/>
                <w:szCs w:val="18"/>
                <w:color w:val="auto"/>
                <w:w w:val="89"/>
              </w:rPr>
              <w:t>August 1, 2019</w:t>
            </w:r>
          </w:p>
        </w:tc>
      </w:tr>
      <w:tr>
        <w:trPr>
          <w:trHeight w:val="202"/>
        </w:trPr>
        <w:tc>
          <w:tcPr>
            <w:tcW w:w="1100" w:type="dxa"/>
            <w:vAlign w:val="bottom"/>
          </w:tcPr>
          <w:p>
            <w:pPr>
              <w:spacing w:after="0"/>
              <w:rPr>
                <w:sz w:val="17"/>
                <w:szCs w:val="17"/>
                <w:color w:val="auto"/>
              </w:rPr>
            </w:pPr>
          </w:p>
        </w:tc>
        <w:tc>
          <w:tcPr>
            <w:tcW w:w="2780" w:type="dxa"/>
            <w:vAlign w:val="bottom"/>
            <w:gridSpan w:val="3"/>
          </w:tcPr>
          <w:p>
            <w:pPr>
              <w:jc w:val="center"/>
              <w:ind w:right="1120"/>
              <w:spacing w:after="0"/>
              <w:rPr>
                <w:sz w:val="20"/>
                <w:szCs w:val="20"/>
                <w:color w:val="auto"/>
              </w:rPr>
            </w:pPr>
            <w:r>
              <w:rPr>
                <w:rFonts w:ascii="Arial" w:cs="Arial" w:eastAsia="Arial" w:hAnsi="Arial"/>
                <w:sz w:val="14"/>
                <w:szCs w:val="14"/>
                <w:b w:val="1"/>
                <w:bCs w:val="1"/>
                <w:color w:val="auto"/>
                <w:w w:val="89"/>
              </w:rPr>
              <w:t>Brian L. Roberts</w:t>
            </w:r>
          </w:p>
        </w:tc>
        <w:tc>
          <w:tcPr>
            <w:tcW w:w="4780" w:type="dxa"/>
            <w:vAlign w:val="bottom"/>
            <w:gridSpan w:val="3"/>
          </w:tcPr>
          <w:p>
            <w:pPr>
              <w:jc w:val="center"/>
              <w:ind w:left="132"/>
              <w:spacing w:after="0" w:line="202" w:lineRule="exact"/>
              <w:rPr>
                <w:sz w:val="20"/>
                <w:szCs w:val="20"/>
                <w:color w:val="auto"/>
              </w:rPr>
            </w:pPr>
            <w:r>
              <w:rPr>
                <w:rFonts w:ascii="Arial" w:cs="Arial" w:eastAsia="Arial" w:hAnsi="Arial"/>
                <w:sz w:val="18"/>
                <w:szCs w:val="18"/>
                <w:color w:val="auto"/>
                <w:w w:val="91"/>
              </w:rPr>
              <w:t>(Principal Executive Officer)</w:t>
            </w: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426"/>
        </w:trPr>
        <w:tc>
          <w:tcPr>
            <w:tcW w:w="110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/s/</w:t>
            </w:r>
          </w:p>
        </w:tc>
        <w:tc>
          <w:tcPr>
            <w:tcW w:w="2780" w:type="dxa"/>
            <w:vAlign w:val="bottom"/>
            <w:tcBorders>
              <w:bottom w:val="single" w:sz="8" w:color="auto"/>
            </w:tcBorders>
            <w:gridSpan w:val="3"/>
          </w:tcPr>
          <w:p>
            <w:pPr>
              <w:jc w:val="center"/>
              <w:ind w:right="1080"/>
              <w:spacing w:after="0"/>
              <w:rPr>
                <w:sz w:val="20"/>
                <w:szCs w:val="20"/>
                <w:color w:val="auto"/>
              </w:rPr>
            </w:pPr>
            <w:r>
              <w:rPr>
                <w:rFonts w:ascii="Arial" w:cs="Arial" w:eastAsia="Arial" w:hAnsi="Arial"/>
                <w:sz w:val="18"/>
                <w:szCs w:val="18"/>
                <w:color w:val="auto"/>
                <w:w w:val="99"/>
              </w:rPr>
              <w:t>M</w:t>
            </w:r>
            <w:r>
              <w:rPr>
                <w:rFonts w:ascii="Arial" w:cs="Arial" w:eastAsia="Arial" w:hAnsi="Arial"/>
                <w:sz w:val="14"/>
                <w:szCs w:val="14"/>
                <w:color w:val="auto"/>
                <w:w w:val="99"/>
              </w:rPr>
              <w:t>ICHAEL</w:t>
            </w:r>
            <w:r>
              <w:rPr>
                <w:rFonts w:ascii="Arial" w:cs="Arial" w:eastAsia="Arial" w:hAnsi="Arial"/>
                <w:sz w:val="18"/>
                <w:szCs w:val="18"/>
                <w:color w:val="auto"/>
                <w:w w:val="99"/>
              </w:rPr>
              <w:t xml:space="preserve"> J. C</w:t>
            </w:r>
            <w:r>
              <w:rPr>
                <w:rFonts w:ascii="Arial" w:cs="Arial" w:eastAsia="Arial" w:hAnsi="Arial"/>
                <w:sz w:val="14"/>
                <w:szCs w:val="14"/>
                <w:color w:val="auto"/>
                <w:w w:val="99"/>
              </w:rPr>
              <w:t>AVANAGH</w:t>
            </w:r>
          </w:p>
        </w:tc>
        <w:tc>
          <w:tcPr>
            <w:tcW w:w="4780" w:type="dxa"/>
            <w:vAlign w:val="bottom"/>
            <w:gridSpan w:val="3"/>
          </w:tcPr>
          <w:p>
            <w:pPr>
              <w:jc w:val="center"/>
              <w:ind w:left="132"/>
              <w:spacing w:after="0"/>
              <w:rPr>
                <w:sz w:val="20"/>
                <w:szCs w:val="20"/>
                <w:color w:val="auto"/>
              </w:rPr>
            </w:pPr>
            <w:r>
              <w:rPr>
                <w:rFonts w:ascii="Arial" w:cs="Arial" w:eastAsia="Arial" w:hAnsi="Arial"/>
                <w:sz w:val="18"/>
                <w:szCs w:val="18"/>
                <w:color w:val="auto"/>
                <w:w w:val="88"/>
              </w:rPr>
              <w:t>Senior Executive Vice President and CFO</w:t>
            </w:r>
          </w:p>
        </w:tc>
        <w:tc>
          <w:tcPr>
            <w:tcW w:w="1880" w:type="dxa"/>
            <w:vAlign w:val="bottom"/>
            <w:gridSpan w:val="3"/>
          </w:tcPr>
          <w:p>
            <w:pPr>
              <w:jc w:val="center"/>
              <w:ind w:left="712"/>
              <w:spacing w:after="0"/>
              <w:rPr>
                <w:sz w:val="20"/>
                <w:szCs w:val="20"/>
                <w:color w:val="auto"/>
              </w:rPr>
            </w:pPr>
            <w:r>
              <w:rPr>
                <w:rFonts w:ascii="Arial" w:cs="Arial" w:eastAsia="Arial" w:hAnsi="Arial"/>
                <w:sz w:val="18"/>
                <w:szCs w:val="18"/>
                <w:color w:val="auto"/>
                <w:w w:val="89"/>
              </w:rPr>
              <w:t>August 1, 2019</w:t>
            </w:r>
          </w:p>
        </w:tc>
      </w:tr>
      <w:tr>
        <w:trPr>
          <w:trHeight w:val="202"/>
        </w:trPr>
        <w:tc>
          <w:tcPr>
            <w:tcW w:w="1100" w:type="dxa"/>
            <w:vAlign w:val="bottom"/>
          </w:tcPr>
          <w:p>
            <w:pPr>
              <w:spacing w:after="0"/>
              <w:rPr>
                <w:sz w:val="17"/>
                <w:szCs w:val="17"/>
                <w:color w:val="auto"/>
              </w:rPr>
            </w:pPr>
          </w:p>
        </w:tc>
        <w:tc>
          <w:tcPr>
            <w:tcW w:w="2780" w:type="dxa"/>
            <w:vAlign w:val="bottom"/>
            <w:gridSpan w:val="3"/>
          </w:tcPr>
          <w:p>
            <w:pPr>
              <w:jc w:val="center"/>
              <w:ind w:right="1120"/>
              <w:spacing w:after="0"/>
              <w:rPr>
                <w:sz w:val="20"/>
                <w:szCs w:val="20"/>
                <w:color w:val="auto"/>
              </w:rPr>
            </w:pPr>
            <w:r>
              <w:rPr>
                <w:rFonts w:ascii="Arial" w:cs="Arial" w:eastAsia="Arial" w:hAnsi="Arial"/>
                <w:sz w:val="14"/>
                <w:szCs w:val="14"/>
                <w:b w:val="1"/>
                <w:bCs w:val="1"/>
                <w:color w:val="auto"/>
                <w:w w:val="88"/>
              </w:rPr>
              <w:t>Michael J. Cavanagh</w:t>
            </w:r>
          </w:p>
        </w:tc>
        <w:tc>
          <w:tcPr>
            <w:tcW w:w="4780" w:type="dxa"/>
            <w:vAlign w:val="bottom"/>
            <w:gridSpan w:val="3"/>
          </w:tcPr>
          <w:p>
            <w:pPr>
              <w:jc w:val="center"/>
              <w:ind w:left="132"/>
              <w:spacing w:after="0" w:line="202" w:lineRule="exact"/>
              <w:rPr>
                <w:sz w:val="20"/>
                <w:szCs w:val="20"/>
                <w:color w:val="auto"/>
              </w:rPr>
            </w:pPr>
            <w:r>
              <w:rPr>
                <w:rFonts w:ascii="Arial" w:cs="Arial" w:eastAsia="Arial" w:hAnsi="Arial"/>
                <w:sz w:val="18"/>
                <w:szCs w:val="18"/>
                <w:color w:val="auto"/>
                <w:w w:val="92"/>
              </w:rPr>
              <w:t>(Principal Financial Officer)</w:t>
            </w: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426"/>
        </w:trPr>
        <w:tc>
          <w:tcPr>
            <w:tcW w:w="110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/s/</w:t>
            </w:r>
          </w:p>
        </w:tc>
        <w:tc>
          <w:tcPr>
            <w:tcW w:w="2780" w:type="dxa"/>
            <w:vAlign w:val="bottom"/>
            <w:tcBorders>
              <w:bottom w:val="single" w:sz="8" w:color="auto"/>
            </w:tcBorders>
            <w:gridSpan w:val="3"/>
          </w:tcPr>
          <w:p>
            <w:pPr>
              <w:jc w:val="center"/>
              <w:ind w:right="108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ANIEL</w:t>
            </w:r>
            <w:r>
              <w:rPr>
                <w:rFonts w:ascii="Arial" w:cs="Arial" w:eastAsia="Arial" w:hAnsi="Arial"/>
                <w:sz w:val="18"/>
                <w:szCs w:val="18"/>
                <w:color w:val="auto"/>
              </w:rPr>
              <w:t xml:space="preserve"> C. M</w:t>
            </w:r>
            <w:r>
              <w:rPr>
                <w:rFonts w:ascii="Arial" w:cs="Arial" w:eastAsia="Arial" w:hAnsi="Arial"/>
                <w:sz w:val="14"/>
                <w:szCs w:val="14"/>
                <w:color w:val="auto"/>
              </w:rPr>
              <w:t>URDOCK</w:t>
            </w:r>
          </w:p>
        </w:tc>
        <w:tc>
          <w:tcPr>
            <w:tcW w:w="4780" w:type="dxa"/>
            <w:vAlign w:val="bottom"/>
            <w:gridSpan w:val="3"/>
          </w:tcPr>
          <w:p>
            <w:pPr>
              <w:jc w:val="center"/>
              <w:ind w:left="112"/>
              <w:spacing w:after="0"/>
              <w:rPr>
                <w:sz w:val="20"/>
                <w:szCs w:val="20"/>
                <w:color w:val="auto"/>
              </w:rPr>
            </w:pPr>
            <w:r>
              <w:rPr>
                <w:rFonts w:ascii="Arial" w:cs="Arial" w:eastAsia="Arial" w:hAnsi="Arial"/>
                <w:sz w:val="18"/>
                <w:szCs w:val="18"/>
                <w:color w:val="auto"/>
                <w:w w:val="89"/>
              </w:rPr>
              <w:t>Senior Vice President, Chief Accounting</w:t>
            </w:r>
          </w:p>
        </w:tc>
        <w:tc>
          <w:tcPr>
            <w:tcW w:w="1880" w:type="dxa"/>
            <w:vAlign w:val="bottom"/>
            <w:gridSpan w:val="3"/>
          </w:tcPr>
          <w:p>
            <w:pPr>
              <w:jc w:val="center"/>
              <w:ind w:left="712"/>
              <w:spacing w:after="0"/>
              <w:rPr>
                <w:sz w:val="20"/>
                <w:szCs w:val="20"/>
                <w:color w:val="auto"/>
              </w:rPr>
            </w:pPr>
            <w:r>
              <w:rPr>
                <w:rFonts w:ascii="Arial" w:cs="Arial" w:eastAsia="Arial" w:hAnsi="Arial"/>
                <w:sz w:val="18"/>
                <w:szCs w:val="18"/>
                <w:color w:val="auto"/>
                <w:w w:val="89"/>
              </w:rPr>
              <w:t>August 1, 2019</w:t>
            </w:r>
          </w:p>
        </w:tc>
      </w:tr>
      <w:tr>
        <w:trPr>
          <w:trHeight w:val="190"/>
        </w:trPr>
        <w:tc>
          <w:tcPr>
            <w:tcW w:w="1100" w:type="dxa"/>
            <w:vAlign w:val="bottom"/>
          </w:tcPr>
          <w:p>
            <w:pPr>
              <w:spacing w:after="0"/>
              <w:rPr>
                <w:sz w:val="16"/>
                <w:szCs w:val="16"/>
                <w:color w:val="auto"/>
              </w:rPr>
            </w:pPr>
          </w:p>
        </w:tc>
        <w:tc>
          <w:tcPr>
            <w:tcW w:w="2780" w:type="dxa"/>
            <w:vAlign w:val="bottom"/>
            <w:gridSpan w:val="3"/>
          </w:tcPr>
          <w:p>
            <w:pPr>
              <w:jc w:val="center"/>
              <w:ind w:right="1120"/>
              <w:spacing w:after="0"/>
              <w:rPr>
                <w:sz w:val="20"/>
                <w:szCs w:val="20"/>
                <w:color w:val="auto"/>
              </w:rPr>
            </w:pPr>
            <w:r>
              <w:rPr>
                <w:rFonts w:ascii="Arial" w:cs="Arial" w:eastAsia="Arial" w:hAnsi="Arial"/>
                <w:sz w:val="14"/>
                <w:szCs w:val="14"/>
                <w:b w:val="1"/>
                <w:bCs w:val="1"/>
                <w:color w:val="auto"/>
                <w:w w:val="90"/>
              </w:rPr>
              <w:t>Daniel C. Murdock</w:t>
            </w:r>
          </w:p>
        </w:tc>
        <w:tc>
          <w:tcPr>
            <w:tcW w:w="4780" w:type="dxa"/>
            <w:vAlign w:val="bottom"/>
            <w:gridSpan w:val="3"/>
          </w:tcPr>
          <w:p>
            <w:pPr>
              <w:jc w:val="center"/>
              <w:ind w:left="132"/>
              <w:spacing w:after="0" w:line="190" w:lineRule="exact"/>
              <w:rPr>
                <w:sz w:val="20"/>
                <w:szCs w:val="20"/>
                <w:color w:val="auto"/>
              </w:rPr>
            </w:pPr>
            <w:r>
              <w:rPr>
                <w:rFonts w:ascii="Arial" w:cs="Arial" w:eastAsia="Arial" w:hAnsi="Arial"/>
                <w:sz w:val="18"/>
                <w:szCs w:val="18"/>
                <w:color w:val="auto"/>
                <w:w w:val="91"/>
              </w:rPr>
              <w:t>Officer and Controller</w:t>
            </w: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222"/>
        </w:trPr>
        <w:tc>
          <w:tcPr>
            <w:tcW w:w="1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4780" w:type="dxa"/>
            <w:vAlign w:val="bottom"/>
            <w:gridSpan w:val="3"/>
          </w:tcPr>
          <w:p>
            <w:pPr>
              <w:jc w:val="center"/>
              <w:ind w:left="132"/>
              <w:spacing w:after="0"/>
              <w:rPr>
                <w:sz w:val="20"/>
                <w:szCs w:val="20"/>
                <w:color w:val="auto"/>
              </w:rPr>
            </w:pPr>
            <w:r>
              <w:rPr>
                <w:rFonts w:ascii="Arial" w:cs="Arial" w:eastAsia="Arial" w:hAnsi="Arial"/>
                <w:sz w:val="18"/>
                <w:szCs w:val="18"/>
                <w:color w:val="auto"/>
                <w:w w:val="92"/>
              </w:rPr>
              <w:t>(Principal Accounting Officer)</w:t>
            </w: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33"/>
        </w:trPr>
        <w:tc>
          <w:tcPr>
            <w:tcW w:w="110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w w:val="94"/>
              </w:rPr>
              <w:t>/s/</w:t>
            </w:r>
          </w:p>
        </w:tc>
        <w:tc>
          <w:tcPr>
            <w:tcW w:w="2780" w:type="dxa"/>
            <w:vAlign w:val="bottom"/>
            <w:tcBorders>
              <w:bottom w:val="single" w:sz="8" w:color="auto"/>
            </w:tcBorders>
            <w:gridSpan w:val="3"/>
          </w:tcPr>
          <w:p>
            <w:pPr>
              <w:jc w:val="center"/>
              <w:ind w:right="1060"/>
              <w:spacing w:after="0"/>
              <w:rPr>
                <w:sz w:val="20"/>
                <w:szCs w:val="20"/>
                <w:color w:val="auto"/>
              </w:rPr>
            </w:pPr>
            <w:r>
              <w:rPr>
                <w:rFonts w:ascii="Arial" w:cs="Arial" w:eastAsia="Arial" w:hAnsi="Arial"/>
                <w:sz w:val="18"/>
                <w:szCs w:val="18"/>
                <w:color w:val="auto"/>
                <w:w w:val="98"/>
              </w:rPr>
              <w:t>K</w:t>
            </w:r>
            <w:r>
              <w:rPr>
                <w:rFonts w:ascii="Arial" w:cs="Arial" w:eastAsia="Arial" w:hAnsi="Arial"/>
                <w:sz w:val="14"/>
                <w:szCs w:val="14"/>
                <w:color w:val="auto"/>
                <w:w w:val="98"/>
              </w:rPr>
              <w:t>ENNETH</w:t>
            </w:r>
            <w:r>
              <w:rPr>
                <w:rFonts w:ascii="Arial" w:cs="Arial" w:eastAsia="Arial" w:hAnsi="Arial"/>
                <w:sz w:val="18"/>
                <w:szCs w:val="18"/>
                <w:color w:val="auto"/>
                <w:w w:val="98"/>
              </w:rPr>
              <w:t xml:space="preserve"> J. B</w:t>
            </w:r>
            <w:r>
              <w:rPr>
                <w:rFonts w:ascii="Arial" w:cs="Arial" w:eastAsia="Arial" w:hAnsi="Arial"/>
                <w:sz w:val="14"/>
                <w:szCs w:val="14"/>
                <w:color w:val="auto"/>
                <w:w w:val="98"/>
              </w:rPr>
              <w:t>ACON</w:t>
            </w:r>
          </w:p>
        </w:tc>
        <w:tc>
          <w:tcPr>
            <w:tcW w:w="4780" w:type="dxa"/>
            <w:vAlign w:val="bottom"/>
            <w:gridSpan w:val="3"/>
          </w:tcPr>
          <w:p>
            <w:pPr>
              <w:jc w:val="center"/>
              <w:ind w:left="132"/>
              <w:spacing w:after="0"/>
              <w:rPr>
                <w:sz w:val="20"/>
                <w:szCs w:val="20"/>
                <w:color w:val="auto"/>
              </w:rPr>
            </w:pPr>
            <w:r>
              <w:rPr>
                <w:rFonts w:ascii="Arial" w:cs="Arial" w:eastAsia="Arial" w:hAnsi="Arial"/>
                <w:sz w:val="18"/>
                <w:szCs w:val="18"/>
                <w:color w:val="auto"/>
                <w:w w:val="95"/>
              </w:rPr>
              <w:t>Director</w:t>
            </w:r>
          </w:p>
        </w:tc>
        <w:tc>
          <w:tcPr>
            <w:tcW w:w="1880" w:type="dxa"/>
            <w:vAlign w:val="bottom"/>
            <w:gridSpan w:val="3"/>
          </w:tcPr>
          <w:p>
            <w:pPr>
              <w:jc w:val="center"/>
              <w:ind w:left="712"/>
              <w:spacing w:after="0"/>
              <w:rPr>
                <w:sz w:val="20"/>
                <w:szCs w:val="20"/>
                <w:color w:val="auto"/>
              </w:rPr>
            </w:pPr>
            <w:r>
              <w:rPr>
                <w:rFonts w:ascii="Arial" w:cs="Arial" w:eastAsia="Arial" w:hAnsi="Arial"/>
                <w:sz w:val="18"/>
                <w:szCs w:val="18"/>
                <w:color w:val="auto"/>
                <w:w w:val="89"/>
              </w:rPr>
              <w:t>August 1, 2019</w:t>
            </w:r>
          </w:p>
        </w:tc>
      </w:tr>
      <w:tr>
        <w:trPr>
          <w:trHeight w:val="169"/>
        </w:trPr>
        <w:tc>
          <w:tcPr>
            <w:tcW w:w="1100" w:type="dxa"/>
            <w:vAlign w:val="bottom"/>
          </w:tcPr>
          <w:p>
            <w:pPr>
              <w:spacing w:after="0"/>
              <w:rPr>
                <w:sz w:val="14"/>
                <w:szCs w:val="14"/>
                <w:color w:val="auto"/>
              </w:rPr>
            </w:pPr>
          </w:p>
        </w:tc>
        <w:tc>
          <w:tcPr>
            <w:tcW w:w="2780" w:type="dxa"/>
            <w:vAlign w:val="bottom"/>
            <w:gridSpan w:val="3"/>
          </w:tcPr>
          <w:p>
            <w:pPr>
              <w:jc w:val="center"/>
              <w:ind w:right="1120"/>
              <w:spacing w:after="0"/>
              <w:rPr>
                <w:sz w:val="20"/>
                <w:szCs w:val="20"/>
                <w:color w:val="auto"/>
              </w:rPr>
            </w:pPr>
            <w:r>
              <w:rPr>
                <w:rFonts w:ascii="Arial" w:cs="Arial" w:eastAsia="Arial" w:hAnsi="Arial"/>
                <w:sz w:val="14"/>
                <w:szCs w:val="14"/>
                <w:b w:val="1"/>
                <w:bCs w:val="1"/>
                <w:color w:val="auto"/>
                <w:w w:val="86"/>
              </w:rPr>
              <w:t>Kenneth J. Bacon</w:t>
            </w:r>
          </w:p>
        </w:tc>
        <w:tc>
          <w:tcPr>
            <w:tcW w:w="2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419"/>
        </w:trPr>
        <w:tc>
          <w:tcPr>
            <w:tcW w:w="110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w w:val="83"/>
              </w:rPr>
              <w:t>/s/</w:t>
            </w:r>
          </w:p>
        </w:tc>
        <w:tc>
          <w:tcPr>
            <w:tcW w:w="2780" w:type="dxa"/>
            <w:vAlign w:val="bottom"/>
            <w:tcBorders>
              <w:bottom w:val="single" w:sz="8" w:color="auto"/>
            </w:tcBorders>
            <w:gridSpan w:val="3"/>
          </w:tcPr>
          <w:p>
            <w:pPr>
              <w:jc w:val="center"/>
              <w:ind w:right="106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ADELINE</w:t>
            </w:r>
            <w:r>
              <w:rPr>
                <w:rFonts w:ascii="Arial" w:cs="Arial" w:eastAsia="Arial" w:hAnsi="Arial"/>
                <w:sz w:val="18"/>
                <w:szCs w:val="18"/>
                <w:color w:val="auto"/>
              </w:rPr>
              <w:t xml:space="preserve"> S. B</w:t>
            </w:r>
            <w:r>
              <w:rPr>
                <w:rFonts w:ascii="Arial" w:cs="Arial" w:eastAsia="Arial" w:hAnsi="Arial"/>
                <w:sz w:val="14"/>
                <w:szCs w:val="14"/>
                <w:color w:val="auto"/>
              </w:rPr>
              <w:t>ELL</w:t>
            </w:r>
          </w:p>
        </w:tc>
        <w:tc>
          <w:tcPr>
            <w:tcW w:w="4780" w:type="dxa"/>
            <w:vAlign w:val="bottom"/>
            <w:gridSpan w:val="3"/>
          </w:tcPr>
          <w:p>
            <w:pPr>
              <w:jc w:val="center"/>
              <w:ind w:left="132"/>
              <w:spacing w:after="0"/>
              <w:rPr>
                <w:sz w:val="20"/>
                <w:szCs w:val="20"/>
                <w:color w:val="auto"/>
              </w:rPr>
            </w:pPr>
            <w:r>
              <w:rPr>
                <w:rFonts w:ascii="Arial" w:cs="Arial" w:eastAsia="Arial" w:hAnsi="Arial"/>
                <w:sz w:val="18"/>
                <w:szCs w:val="18"/>
                <w:color w:val="auto"/>
                <w:w w:val="95"/>
              </w:rPr>
              <w:t>Director</w:t>
            </w:r>
          </w:p>
        </w:tc>
        <w:tc>
          <w:tcPr>
            <w:tcW w:w="1880" w:type="dxa"/>
            <w:vAlign w:val="bottom"/>
            <w:gridSpan w:val="3"/>
          </w:tcPr>
          <w:p>
            <w:pPr>
              <w:jc w:val="center"/>
              <w:ind w:left="712"/>
              <w:spacing w:after="0"/>
              <w:rPr>
                <w:sz w:val="20"/>
                <w:szCs w:val="20"/>
                <w:color w:val="auto"/>
              </w:rPr>
            </w:pPr>
            <w:r>
              <w:rPr>
                <w:rFonts w:ascii="Arial" w:cs="Arial" w:eastAsia="Arial" w:hAnsi="Arial"/>
                <w:sz w:val="18"/>
                <w:szCs w:val="18"/>
                <w:color w:val="auto"/>
                <w:w w:val="89"/>
              </w:rPr>
              <w:t>August 1, 2019</w:t>
            </w:r>
          </w:p>
        </w:tc>
      </w:tr>
      <w:tr>
        <w:trPr>
          <w:trHeight w:val="169"/>
        </w:trPr>
        <w:tc>
          <w:tcPr>
            <w:tcW w:w="1100" w:type="dxa"/>
            <w:vAlign w:val="bottom"/>
          </w:tcPr>
          <w:p>
            <w:pPr>
              <w:spacing w:after="0"/>
              <w:rPr>
                <w:sz w:val="14"/>
                <w:szCs w:val="14"/>
                <w:color w:val="auto"/>
              </w:rPr>
            </w:pPr>
          </w:p>
        </w:tc>
        <w:tc>
          <w:tcPr>
            <w:tcW w:w="2780" w:type="dxa"/>
            <w:vAlign w:val="bottom"/>
            <w:gridSpan w:val="3"/>
          </w:tcPr>
          <w:p>
            <w:pPr>
              <w:jc w:val="center"/>
              <w:ind w:right="1120"/>
              <w:spacing w:after="0"/>
              <w:rPr>
                <w:sz w:val="20"/>
                <w:szCs w:val="20"/>
                <w:color w:val="auto"/>
              </w:rPr>
            </w:pPr>
            <w:r>
              <w:rPr>
                <w:rFonts w:ascii="Arial" w:cs="Arial" w:eastAsia="Arial" w:hAnsi="Arial"/>
                <w:sz w:val="14"/>
                <w:szCs w:val="14"/>
                <w:b w:val="1"/>
                <w:bCs w:val="1"/>
                <w:color w:val="auto"/>
                <w:w w:val="88"/>
              </w:rPr>
              <w:t>Madeline S. Bell</w:t>
            </w:r>
          </w:p>
        </w:tc>
        <w:tc>
          <w:tcPr>
            <w:tcW w:w="2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419"/>
        </w:trPr>
        <w:tc>
          <w:tcPr>
            <w:tcW w:w="3880" w:type="dxa"/>
            <w:vAlign w:val="bottom"/>
            <w:tcBorders>
              <w:bottom w:val="single" w:sz="8" w:color="auto"/>
            </w:tcBorders>
            <w:gridSpan w:val="4"/>
          </w:tcPr>
          <w:p>
            <w:pPr>
              <w:ind w:left="740"/>
              <w:spacing w:after="0"/>
              <w:rPr>
                <w:sz w:val="20"/>
                <w:szCs w:val="20"/>
                <w:color w:val="auto"/>
              </w:rPr>
            </w:pPr>
            <w:r>
              <w:rPr>
                <w:rFonts w:ascii="Arial" w:cs="Arial" w:eastAsia="Arial" w:hAnsi="Arial"/>
                <w:sz w:val="18"/>
                <w:szCs w:val="18"/>
                <w:color w:val="auto"/>
              </w:rPr>
              <w:t>/s/  S</w:t>
            </w:r>
            <w:r>
              <w:rPr>
                <w:rFonts w:ascii="Arial" w:cs="Arial" w:eastAsia="Arial" w:hAnsi="Arial"/>
                <w:sz w:val="14"/>
                <w:szCs w:val="14"/>
                <w:color w:val="auto"/>
              </w:rPr>
              <w:t>HELDON</w:t>
            </w:r>
            <w:r>
              <w:rPr>
                <w:rFonts w:ascii="Arial" w:cs="Arial" w:eastAsia="Arial" w:hAnsi="Arial"/>
                <w:sz w:val="18"/>
                <w:szCs w:val="18"/>
                <w:color w:val="auto"/>
              </w:rPr>
              <w:t xml:space="preserve"> M. B</w:t>
            </w:r>
            <w:r>
              <w:rPr>
                <w:rFonts w:ascii="Arial" w:cs="Arial" w:eastAsia="Arial" w:hAnsi="Arial"/>
                <w:sz w:val="14"/>
                <w:szCs w:val="14"/>
                <w:color w:val="auto"/>
              </w:rPr>
              <w:t>ONOVITZ</w:t>
            </w:r>
          </w:p>
        </w:tc>
        <w:tc>
          <w:tcPr>
            <w:tcW w:w="4780" w:type="dxa"/>
            <w:vAlign w:val="bottom"/>
            <w:gridSpan w:val="3"/>
          </w:tcPr>
          <w:p>
            <w:pPr>
              <w:jc w:val="center"/>
              <w:ind w:left="132"/>
              <w:spacing w:after="0"/>
              <w:rPr>
                <w:sz w:val="20"/>
                <w:szCs w:val="20"/>
                <w:color w:val="auto"/>
              </w:rPr>
            </w:pPr>
            <w:r>
              <w:rPr>
                <w:rFonts w:ascii="Arial" w:cs="Arial" w:eastAsia="Arial" w:hAnsi="Arial"/>
                <w:sz w:val="18"/>
                <w:szCs w:val="18"/>
                <w:color w:val="auto"/>
                <w:w w:val="95"/>
              </w:rPr>
              <w:t>Director</w:t>
            </w:r>
          </w:p>
        </w:tc>
        <w:tc>
          <w:tcPr>
            <w:tcW w:w="1880" w:type="dxa"/>
            <w:vAlign w:val="bottom"/>
            <w:gridSpan w:val="3"/>
          </w:tcPr>
          <w:p>
            <w:pPr>
              <w:jc w:val="center"/>
              <w:ind w:left="712"/>
              <w:spacing w:after="0"/>
              <w:rPr>
                <w:sz w:val="20"/>
                <w:szCs w:val="20"/>
                <w:color w:val="auto"/>
              </w:rPr>
            </w:pPr>
            <w:r>
              <w:rPr>
                <w:rFonts w:ascii="Arial" w:cs="Arial" w:eastAsia="Arial" w:hAnsi="Arial"/>
                <w:sz w:val="18"/>
                <w:szCs w:val="18"/>
                <w:color w:val="auto"/>
                <w:w w:val="89"/>
              </w:rPr>
              <w:t>August 1, 2019</w:t>
            </w:r>
          </w:p>
        </w:tc>
      </w:tr>
      <w:tr>
        <w:trPr>
          <w:trHeight w:val="169"/>
        </w:trPr>
        <w:tc>
          <w:tcPr>
            <w:tcW w:w="1100" w:type="dxa"/>
            <w:vAlign w:val="bottom"/>
          </w:tcPr>
          <w:p>
            <w:pPr>
              <w:spacing w:after="0"/>
              <w:rPr>
                <w:sz w:val="14"/>
                <w:szCs w:val="14"/>
                <w:color w:val="auto"/>
              </w:rPr>
            </w:pPr>
          </w:p>
        </w:tc>
        <w:tc>
          <w:tcPr>
            <w:tcW w:w="2780" w:type="dxa"/>
            <w:vAlign w:val="bottom"/>
            <w:gridSpan w:val="3"/>
          </w:tcPr>
          <w:p>
            <w:pPr>
              <w:jc w:val="center"/>
              <w:ind w:right="1120"/>
              <w:spacing w:after="0"/>
              <w:rPr>
                <w:sz w:val="20"/>
                <w:szCs w:val="20"/>
                <w:color w:val="auto"/>
              </w:rPr>
            </w:pPr>
            <w:r>
              <w:rPr>
                <w:rFonts w:ascii="Arial" w:cs="Arial" w:eastAsia="Arial" w:hAnsi="Arial"/>
                <w:sz w:val="14"/>
                <w:szCs w:val="14"/>
                <w:b w:val="1"/>
                <w:bCs w:val="1"/>
                <w:color w:val="auto"/>
                <w:w w:val="88"/>
              </w:rPr>
              <w:t>Sheldon M. Bonovitz</w:t>
            </w:r>
          </w:p>
        </w:tc>
        <w:tc>
          <w:tcPr>
            <w:tcW w:w="2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419"/>
        </w:trPr>
        <w:tc>
          <w:tcPr>
            <w:tcW w:w="110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w w:val="83"/>
              </w:rPr>
              <w:t>/s/</w:t>
            </w:r>
          </w:p>
        </w:tc>
        <w:tc>
          <w:tcPr>
            <w:tcW w:w="2780" w:type="dxa"/>
            <w:vAlign w:val="bottom"/>
            <w:tcBorders>
              <w:bottom w:val="single" w:sz="8" w:color="auto"/>
            </w:tcBorders>
            <w:gridSpan w:val="3"/>
          </w:tcPr>
          <w:p>
            <w:pPr>
              <w:jc w:val="center"/>
              <w:ind w:right="1060"/>
              <w:spacing w:after="0"/>
              <w:rPr>
                <w:sz w:val="20"/>
                <w:szCs w:val="20"/>
                <w:color w:val="auto"/>
              </w:rPr>
            </w:pPr>
            <w:r>
              <w:rPr>
                <w:rFonts w:ascii="Arial" w:cs="Arial" w:eastAsia="Arial" w:hAnsi="Arial"/>
                <w:sz w:val="18"/>
                <w:szCs w:val="18"/>
                <w:color w:val="auto"/>
                <w:w w:val="97"/>
              </w:rPr>
              <w:t>E</w:t>
            </w:r>
            <w:r>
              <w:rPr>
                <w:rFonts w:ascii="Arial" w:cs="Arial" w:eastAsia="Arial" w:hAnsi="Arial"/>
                <w:sz w:val="14"/>
                <w:szCs w:val="14"/>
                <w:color w:val="auto"/>
                <w:w w:val="97"/>
              </w:rPr>
              <w:t>DWARD</w:t>
            </w:r>
            <w:r>
              <w:rPr>
                <w:rFonts w:ascii="Arial" w:cs="Arial" w:eastAsia="Arial" w:hAnsi="Arial"/>
                <w:sz w:val="18"/>
                <w:szCs w:val="18"/>
                <w:color w:val="auto"/>
                <w:w w:val="97"/>
              </w:rPr>
              <w:t xml:space="preserve"> D. B</w:t>
            </w:r>
            <w:r>
              <w:rPr>
                <w:rFonts w:ascii="Arial" w:cs="Arial" w:eastAsia="Arial" w:hAnsi="Arial"/>
                <w:sz w:val="14"/>
                <w:szCs w:val="14"/>
                <w:color w:val="auto"/>
                <w:w w:val="97"/>
              </w:rPr>
              <w:t>REEN</w:t>
            </w:r>
          </w:p>
        </w:tc>
        <w:tc>
          <w:tcPr>
            <w:tcW w:w="4780" w:type="dxa"/>
            <w:vAlign w:val="bottom"/>
            <w:gridSpan w:val="3"/>
          </w:tcPr>
          <w:p>
            <w:pPr>
              <w:jc w:val="center"/>
              <w:ind w:left="132"/>
              <w:spacing w:after="0"/>
              <w:rPr>
                <w:sz w:val="20"/>
                <w:szCs w:val="20"/>
                <w:color w:val="auto"/>
              </w:rPr>
            </w:pPr>
            <w:r>
              <w:rPr>
                <w:rFonts w:ascii="Arial" w:cs="Arial" w:eastAsia="Arial" w:hAnsi="Arial"/>
                <w:sz w:val="18"/>
                <w:szCs w:val="18"/>
                <w:color w:val="auto"/>
                <w:w w:val="95"/>
              </w:rPr>
              <w:t>Director</w:t>
            </w:r>
          </w:p>
        </w:tc>
        <w:tc>
          <w:tcPr>
            <w:tcW w:w="1880" w:type="dxa"/>
            <w:vAlign w:val="bottom"/>
            <w:gridSpan w:val="3"/>
          </w:tcPr>
          <w:p>
            <w:pPr>
              <w:jc w:val="center"/>
              <w:ind w:left="712"/>
              <w:spacing w:after="0"/>
              <w:rPr>
                <w:sz w:val="20"/>
                <w:szCs w:val="20"/>
                <w:color w:val="auto"/>
              </w:rPr>
            </w:pPr>
            <w:r>
              <w:rPr>
                <w:rFonts w:ascii="Arial" w:cs="Arial" w:eastAsia="Arial" w:hAnsi="Arial"/>
                <w:sz w:val="18"/>
                <w:szCs w:val="18"/>
                <w:color w:val="auto"/>
                <w:w w:val="89"/>
              </w:rPr>
              <w:t>August 1, 2019</w:t>
            </w:r>
          </w:p>
        </w:tc>
      </w:tr>
      <w:tr>
        <w:trPr>
          <w:trHeight w:val="169"/>
        </w:trPr>
        <w:tc>
          <w:tcPr>
            <w:tcW w:w="1100" w:type="dxa"/>
            <w:vAlign w:val="bottom"/>
          </w:tcPr>
          <w:p>
            <w:pPr>
              <w:spacing w:after="0"/>
              <w:rPr>
                <w:sz w:val="14"/>
                <w:szCs w:val="14"/>
                <w:color w:val="auto"/>
              </w:rPr>
            </w:pPr>
          </w:p>
        </w:tc>
        <w:tc>
          <w:tcPr>
            <w:tcW w:w="2780" w:type="dxa"/>
            <w:vAlign w:val="bottom"/>
            <w:gridSpan w:val="3"/>
          </w:tcPr>
          <w:p>
            <w:pPr>
              <w:jc w:val="center"/>
              <w:ind w:right="1120"/>
              <w:spacing w:after="0"/>
              <w:rPr>
                <w:sz w:val="20"/>
                <w:szCs w:val="20"/>
                <w:color w:val="auto"/>
              </w:rPr>
            </w:pPr>
            <w:r>
              <w:rPr>
                <w:rFonts w:ascii="Arial" w:cs="Arial" w:eastAsia="Arial" w:hAnsi="Arial"/>
                <w:sz w:val="14"/>
                <w:szCs w:val="14"/>
                <w:b w:val="1"/>
                <w:bCs w:val="1"/>
                <w:color w:val="auto"/>
                <w:w w:val="91"/>
              </w:rPr>
              <w:t>Edward D. Breen</w:t>
            </w:r>
          </w:p>
        </w:tc>
        <w:tc>
          <w:tcPr>
            <w:tcW w:w="2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r>
    </w:tbl>
    <w:p>
      <w:pPr>
        <w:spacing w:after="0" w:line="12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1240"/>
          </w:cols>
          <w:pgMar w:left="240" w:top="459" w:right="4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16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5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400" w:type="dxa"/>
            <w:vAlign w:val="bottom"/>
          </w:tcPr>
          <w:p>
            <w:pPr>
              <w:spacing w:after="0"/>
              <w:rPr>
                <w:sz w:val="14"/>
                <w:szCs w:val="14"/>
                <w:color w:val="auto"/>
              </w:rPr>
            </w:pPr>
          </w:p>
        </w:tc>
      </w:tr>
      <w:tr>
        <w:trPr>
          <w:trHeight w:val="425"/>
        </w:trPr>
        <w:tc>
          <w:tcPr>
            <w:tcW w:w="110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/s/</w:t>
            </w:r>
          </w:p>
        </w:tc>
        <w:tc>
          <w:tcPr>
            <w:tcW w:w="2780" w:type="dxa"/>
            <w:vAlign w:val="bottom"/>
            <w:tcBorders>
              <w:bottom w:val="single" w:sz="8" w:color="auto"/>
            </w:tcBorders>
            <w:gridSpan w:val="3"/>
          </w:tcPr>
          <w:p>
            <w:pPr>
              <w:jc w:val="center"/>
              <w:ind w:right="1060"/>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ERALD</w:t>
            </w:r>
            <w:r>
              <w:rPr>
                <w:rFonts w:ascii="Arial" w:cs="Arial" w:eastAsia="Arial" w:hAnsi="Arial"/>
                <w:sz w:val="18"/>
                <w:szCs w:val="18"/>
                <w:color w:val="auto"/>
              </w:rPr>
              <w:t xml:space="preserve"> L. H</w:t>
            </w:r>
            <w:r>
              <w:rPr>
                <w:rFonts w:ascii="Arial" w:cs="Arial" w:eastAsia="Arial" w:hAnsi="Arial"/>
                <w:sz w:val="14"/>
                <w:szCs w:val="14"/>
                <w:color w:val="auto"/>
              </w:rPr>
              <w:t>ASSELL</w:t>
            </w:r>
          </w:p>
        </w:tc>
        <w:tc>
          <w:tcPr>
            <w:tcW w:w="4180" w:type="dxa"/>
            <w:vAlign w:val="bottom"/>
            <w:gridSpan w:val="3"/>
          </w:tcPr>
          <w:p>
            <w:pPr>
              <w:jc w:val="center"/>
              <w:ind w:left="732"/>
              <w:spacing w:after="0"/>
              <w:rPr>
                <w:sz w:val="20"/>
                <w:szCs w:val="20"/>
                <w:color w:val="auto"/>
              </w:rPr>
            </w:pPr>
            <w:r>
              <w:rPr>
                <w:rFonts w:ascii="Arial" w:cs="Arial" w:eastAsia="Arial" w:hAnsi="Arial"/>
                <w:sz w:val="18"/>
                <w:szCs w:val="18"/>
                <w:color w:val="auto"/>
                <w:w w:val="95"/>
              </w:rPr>
              <w:t>Director</w:t>
            </w:r>
          </w:p>
        </w:tc>
        <w:tc>
          <w:tcPr>
            <w:tcW w:w="2480" w:type="dxa"/>
            <w:vAlign w:val="bottom"/>
            <w:gridSpan w:val="3"/>
          </w:tcPr>
          <w:p>
            <w:pPr>
              <w:jc w:val="center"/>
              <w:ind w:left="1312"/>
              <w:spacing w:after="0"/>
              <w:rPr>
                <w:sz w:val="20"/>
                <w:szCs w:val="20"/>
                <w:color w:val="auto"/>
              </w:rPr>
            </w:pPr>
            <w:r>
              <w:rPr>
                <w:rFonts w:ascii="Arial" w:cs="Arial" w:eastAsia="Arial" w:hAnsi="Arial"/>
                <w:sz w:val="18"/>
                <w:szCs w:val="18"/>
                <w:color w:val="auto"/>
                <w:w w:val="89"/>
              </w:rPr>
              <w:t>August 1, 2019</w:t>
            </w:r>
          </w:p>
        </w:tc>
      </w:tr>
      <w:tr>
        <w:trPr>
          <w:trHeight w:val="169"/>
        </w:trPr>
        <w:tc>
          <w:tcPr>
            <w:tcW w:w="1100" w:type="dxa"/>
            <w:vAlign w:val="bottom"/>
          </w:tcPr>
          <w:p>
            <w:pPr>
              <w:spacing w:after="0"/>
              <w:rPr>
                <w:sz w:val="14"/>
                <w:szCs w:val="14"/>
                <w:color w:val="auto"/>
              </w:rPr>
            </w:pPr>
          </w:p>
        </w:tc>
        <w:tc>
          <w:tcPr>
            <w:tcW w:w="2780" w:type="dxa"/>
            <w:vAlign w:val="bottom"/>
            <w:gridSpan w:val="3"/>
          </w:tcPr>
          <w:p>
            <w:pPr>
              <w:jc w:val="center"/>
              <w:ind w:right="1120"/>
              <w:spacing w:after="0"/>
              <w:rPr>
                <w:sz w:val="20"/>
                <w:szCs w:val="20"/>
                <w:color w:val="auto"/>
              </w:rPr>
            </w:pPr>
            <w:r>
              <w:rPr>
                <w:rFonts w:ascii="Arial" w:cs="Arial" w:eastAsia="Arial" w:hAnsi="Arial"/>
                <w:sz w:val="14"/>
                <w:szCs w:val="14"/>
                <w:b w:val="1"/>
                <w:bCs w:val="1"/>
                <w:color w:val="auto"/>
                <w:w w:val="89"/>
              </w:rPr>
              <w:t>Gerald L. Hassell</w:t>
            </w:r>
          </w:p>
        </w:tc>
        <w:tc>
          <w:tcPr>
            <w:tcW w:w="2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419"/>
        </w:trPr>
        <w:tc>
          <w:tcPr>
            <w:tcW w:w="388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EFFREY</w:t>
            </w:r>
            <w:r>
              <w:rPr>
                <w:rFonts w:ascii="Arial" w:cs="Arial" w:eastAsia="Arial" w:hAnsi="Arial"/>
                <w:sz w:val="18"/>
                <w:szCs w:val="18"/>
                <w:color w:val="auto"/>
              </w:rPr>
              <w:t xml:space="preserve"> A. H</w:t>
            </w:r>
            <w:r>
              <w:rPr>
                <w:rFonts w:ascii="Arial" w:cs="Arial" w:eastAsia="Arial" w:hAnsi="Arial"/>
                <w:sz w:val="14"/>
                <w:szCs w:val="14"/>
                <w:color w:val="auto"/>
              </w:rPr>
              <w:t>ONICKMAN</w:t>
            </w:r>
          </w:p>
        </w:tc>
        <w:tc>
          <w:tcPr>
            <w:tcW w:w="4180" w:type="dxa"/>
            <w:vAlign w:val="bottom"/>
            <w:gridSpan w:val="3"/>
          </w:tcPr>
          <w:p>
            <w:pPr>
              <w:jc w:val="center"/>
              <w:ind w:left="732"/>
              <w:spacing w:after="0"/>
              <w:rPr>
                <w:sz w:val="20"/>
                <w:szCs w:val="20"/>
                <w:color w:val="auto"/>
              </w:rPr>
            </w:pPr>
            <w:r>
              <w:rPr>
                <w:rFonts w:ascii="Arial" w:cs="Arial" w:eastAsia="Arial" w:hAnsi="Arial"/>
                <w:sz w:val="18"/>
                <w:szCs w:val="18"/>
                <w:color w:val="auto"/>
                <w:w w:val="95"/>
              </w:rPr>
              <w:t>Director</w:t>
            </w:r>
          </w:p>
        </w:tc>
        <w:tc>
          <w:tcPr>
            <w:tcW w:w="2480" w:type="dxa"/>
            <w:vAlign w:val="bottom"/>
            <w:gridSpan w:val="3"/>
          </w:tcPr>
          <w:p>
            <w:pPr>
              <w:jc w:val="center"/>
              <w:ind w:left="1312"/>
              <w:spacing w:after="0"/>
              <w:rPr>
                <w:sz w:val="20"/>
                <w:szCs w:val="20"/>
                <w:color w:val="auto"/>
              </w:rPr>
            </w:pPr>
            <w:r>
              <w:rPr>
                <w:rFonts w:ascii="Arial" w:cs="Arial" w:eastAsia="Arial" w:hAnsi="Arial"/>
                <w:sz w:val="18"/>
                <w:szCs w:val="18"/>
                <w:color w:val="auto"/>
                <w:w w:val="89"/>
              </w:rPr>
              <w:t>August 1, 2019</w:t>
            </w:r>
          </w:p>
        </w:tc>
      </w:tr>
      <w:tr>
        <w:trPr>
          <w:trHeight w:val="169"/>
        </w:trPr>
        <w:tc>
          <w:tcPr>
            <w:tcW w:w="1100" w:type="dxa"/>
            <w:vAlign w:val="bottom"/>
          </w:tcPr>
          <w:p>
            <w:pPr>
              <w:spacing w:after="0"/>
              <w:rPr>
                <w:sz w:val="14"/>
                <w:szCs w:val="14"/>
                <w:color w:val="auto"/>
              </w:rPr>
            </w:pPr>
          </w:p>
        </w:tc>
        <w:tc>
          <w:tcPr>
            <w:tcW w:w="2780" w:type="dxa"/>
            <w:vAlign w:val="bottom"/>
            <w:gridSpan w:val="3"/>
          </w:tcPr>
          <w:p>
            <w:pPr>
              <w:jc w:val="center"/>
              <w:ind w:right="1120"/>
              <w:spacing w:after="0"/>
              <w:rPr>
                <w:sz w:val="20"/>
                <w:szCs w:val="20"/>
                <w:color w:val="auto"/>
              </w:rPr>
            </w:pPr>
            <w:r>
              <w:rPr>
                <w:rFonts w:ascii="Arial" w:cs="Arial" w:eastAsia="Arial" w:hAnsi="Arial"/>
                <w:sz w:val="14"/>
                <w:szCs w:val="14"/>
                <w:b w:val="1"/>
                <w:bCs w:val="1"/>
                <w:color w:val="auto"/>
                <w:w w:val="87"/>
              </w:rPr>
              <w:t>Jeffrey A. Honickman</w:t>
            </w:r>
          </w:p>
        </w:tc>
        <w:tc>
          <w:tcPr>
            <w:tcW w:w="2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419"/>
        </w:trPr>
        <w:tc>
          <w:tcPr>
            <w:tcW w:w="110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/s/</w:t>
            </w:r>
          </w:p>
        </w:tc>
        <w:tc>
          <w:tcPr>
            <w:tcW w:w="2780" w:type="dxa"/>
            <w:vAlign w:val="bottom"/>
            <w:tcBorders>
              <w:bottom w:val="single" w:sz="8" w:color="auto"/>
            </w:tcBorders>
            <w:gridSpan w:val="3"/>
          </w:tcPr>
          <w:p>
            <w:pPr>
              <w:jc w:val="center"/>
              <w:ind w:right="106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ARITZA</w:t>
            </w:r>
            <w:r>
              <w:rPr>
                <w:rFonts w:ascii="Arial" w:cs="Arial" w:eastAsia="Arial" w:hAnsi="Arial"/>
                <w:sz w:val="18"/>
                <w:szCs w:val="18"/>
                <w:color w:val="auto"/>
              </w:rPr>
              <w:t xml:space="preserve"> G. M</w:t>
            </w:r>
            <w:r>
              <w:rPr>
                <w:rFonts w:ascii="Arial" w:cs="Arial" w:eastAsia="Arial" w:hAnsi="Arial"/>
                <w:sz w:val="14"/>
                <w:szCs w:val="14"/>
                <w:color w:val="auto"/>
              </w:rPr>
              <w:t>ONTIEL</w:t>
            </w:r>
          </w:p>
        </w:tc>
        <w:tc>
          <w:tcPr>
            <w:tcW w:w="4180" w:type="dxa"/>
            <w:vAlign w:val="bottom"/>
            <w:gridSpan w:val="3"/>
          </w:tcPr>
          <w:p>
            <w:pPr>
              <w:jc w:val="center"/>
              <w:ind w:left="732"/>
              <w:spacing w:after="0"/>
              <w:rPr>
                <w:sz w:val="20"/>
                <w:szCs w:val="20"/>
                <w:color w:val="auto"/>
              </w:rPr>
            </w:pPr>
            <w:r>
              <w:rPr>
                <w:rFonts w:ascii="Arial" w:cs="Arial" w:eastAsia="Arial" w:hAnsi="Arial"/>
                <w:sz w:val="18"/>
                <w:szCs w:val="18"/>
                <w:color w:val="auto"/>
                <w:w w:val="95"/>
              </w:rPr>
              <w:t>Director</w:t>
            </w:r>
          </w:p>
        </w:tc>
        <w:tc>
          <w:tcPr>
            <w:tcW w:w="2480" w:type="dxa"/>
            <w:vAlign w:val="bottom"/>
            <w:gridSpan w:val="3"/>
          </w:tcPr>
          <w:p>
            <w:pPr>
              <w:jc w:val="center"/>
              <w:ind w:left="1312"/>
              <w:spacing w:after="0"/>
              <w:rPr>
                <w:sz w:val="20"/>
                <w:szCs w:val="20"/>
                <w:color w:val="auto"/>
              </w:rPr>
            </w:pPr>
            <w:r>
              <w:rPr>
                <w:rFonts w:ascii="Arial" w:cs="Arial" w:eastAsia="Arial" w:hAnsi="Arial"/>
                <w:sz w:val="18"/>
                <w:szCs w:val="18"/>
                <w:color w:val="auto"/>
                <w:w w:val="89"/>
              </w:rPr>
              <w:t>August 1, 2019</w:t>
            </w:r>
          </w:p>
        </w:tc>
      </w:tr>
      <w:tr>
        <w:trPr>
          <w:trHeight w:val="169"/>
        </w:trPr>
        <w:tc>
          <w:tcPr>
            <w:tcW w:w="1100" w:type="dxa"/>
            <w:vAlign w:val="bottom"/>
          </w:tcPr>
          <w:p>
            <w:pPr>
              <w:spacing w:after="0"/>
              <w:rPr>
                <w:sz w:val="14"/>
                <w:szCs w:val="14"/>
                <w:color w:val="auto"/>
              </w:rPr>
            </w:pPr>
          </w:p>
        </w:tc>
        <w:tc>
          <w:tcPr>
            <w:tcW w:w="2780" w:type="dxa"/>
            <w:vAlign w:val="bottom"/>
            <w:gridSpan w:val="3"/>
          </w:tcPr>
          <w:p>
            <w:pPr>
              <w:jc w:val="center"/>
              <w:ind w:right="1140"/>
              <w:spacing w:after="0"/>
              <w:rPr>
                <w:sz w:val="20"/>
                <w:szCs w:val="20"/>
                <w:color w:val="auto"/>
              </w:rPr>
            </w:pPr>
            <w:r>
              <w:rPr>
                <w:rFonts w:ascii="Arial" w:cs="Arial" w:eastAsia="Arial" w:hAnsi="Arial"/>
                <w:sz w:val="14"/>
                <w:szCs w:val="14"/>
                <w:b w:val="1"/>
                <w:bCs w:val="1"/>
                <w:color w:val="auto"/>
                <w:w w:val="93"/>
              </w:rPr>
              <w:t>Maritza G. Montiel</w:t>
            </w:r>
          </w:p>
        </w:tc>
        <w:tc>
          <w:tcPr>
            <w:tcW w:w="2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419"/>
        </w:trPr>
        <w:tc>
          <w:tcPr>
            <w:tcW w:w="110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w w:val="94"/>
              </w:rPr>
              <w:t>/s/</w:t>
            </w:r>
          </w:p>
        </w:tc>
        <w:tc>
          <w:tcPr>
            <w:tcW w:w="2780" w:type="dxa"/>
            <w:vAlign w:val="bottom"/>
            <w:tcBorders>
              <w:bottom w:val="single" w:sz="8" w:color="auto"/>
            </w:tcBorders>
            <w:gridSpan w:val="3"/>
          </w:tcPr>
          <w:p>
            <w:pPr>
              <w:jc w:val="center"/>
              <w:ind w:right="108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SUKA</w:t>
            </w:r>
            <w:r>
              <w:rPr>
                <w:rFonts w:ascii="Arial" w:cs="Arial" w:eastAsia="Arial" w:hAnsi="Arial"/>
                <w:sz w:val="18"/>
                <w:szCs w:val="18"/>
                <w:color w:val="auto"/>
              </w:rPr>
              <w:t xml:space="preserve"> N</w:t>
            </w:r>
            <w:r>
              <w:rPr>
                <w:rFonts w:ascii="Arial" w:cs="Arial" w:eastAsia="Arial" w:hAnsi="Arial"/>
                <w:sz w:val="14"/>
                <w:szCs w:val="14"/>
                <w:color w:val="auto"/>
              </w:rPr>
              <w:t>AKAHARA</w:t>
            </w:r>
          </w:p>
        </w:tc>
        <w:tc>
          <w:tcPr>
            <w:tcW w:w="4180" w:type="dxa"/>
            <w:vAlign w:val="bottom"/>
            <w:gridSpan w:val="3"/>
          </w:tcPr>
          <w:p>
            <w:pPr>
              <w:jc w:val="center"/>
              <w:ind w:left="732"/>
              <w:spacing w:after="0"/>
              <w:rPr>
                <w:sz w:val="20"/>
                <w:szCs w:val="20"/>
                <w:color w:val="auto"/>
              </w:rPr>
            </w:pPr>
            <w:r>
              <w:rPr>
                <w:rFonts w:ascii="Arial" w:cs="Arial" w:eastAsia="Arial" w:hAnsi="Arial"/>
                <w:sz w:val="18"/>
                <w:szCs w:val="18"/>
                <w:color w:val="auto"/>
                <w:w w:val="95"/>
              </w:rPr>
              <w:t>Director</w:t>
            </w:r>
          </w:p>
        </w:tc>
        <w:tc>
          <w:tcPr>
            <w:tcW w:w="2480" w:type="dxa"/>
            <w:vAlign w:val="bottom"/>
            <w:gridSpan w:val="3"/>
          </w:tcPr>
          <w:p>
            <w:pPr>
              <w:jc w:val="center"/>
              <w:ind w:left="1312"/>
              <w:spacing w:after="0"/>
              <w:rPr>
                <w:sz w:val="20"/>
                <w:szCs w:val="20"/>
                <w:color w:val="auto"/>
              </w:rPr>
            </w:pPr>
            <w:r>
              <w:rPr>
                <w:rFonts w:ascii="Arial" w:cs="Arial" w:eastAsia="Arial" w:hAnsi="Arial"/>
                <w:sz w:val="18"/>
                <w:szCs w:val="18"/>
                <w:color w:val="auto"/>
                <w:w w:val="89"/>
              </w:rPr>
              <w:t>August 1, 2019</w:t>
            </w:r>
          </w:p>
        </w:tc>
      </w:tr>
      <w:tr>
        <w:trPr>
          <w:trHeight w:val="169"/>
        </w:trPr>
        <w:tc>
          <w:tcPr>
            <w:tcW w:w="1100" w:type="dxa"/>
            <w:vAlign w:val="bottom"/>
          </w:tcPr>
          <w:p>
            <w:pPr>
              <w:spacing w:after="0"/>
              <w:rPr>
                <w:sz w:val="14"/>
                <w:szCs w:val="14"/>
                <w:color w:val="auto"/>
              </w:rPr>
            </w:pPr>
          </w:p>
        </w:tc>
        <w:tc>
          <w:tcPr>
            <w:tcW w:w="2780" w:type="dxa"/>
            <w:vAlign w:val="bottom"/>
            <w:gridSpan w:val="3"/>
          </w:tcPr>
          <w:p>
            <w:pPr>
              <w:jc w:val="center"/>
              <w:ind w:right="1120"/>
              <w:spacing w:after="0"/>
              <w:rPr>
                <w:sz w:val="20"/>
                <w:szCs w:val="20"/>
                <w:color w:val="auto"/>
              </w:rPr>
            </w:pPr>
            <w:r>
              <w:rPr>
                <w:rFonts w:ascii="Arial" w:cs="Arial" w:eastAsia="Arial" w:hAnsi="Arial"/>
                <w:sz w:val="14"/>
                <w:szCs w:val="14"/>
                <w:b w:val="1"/>
                <w:bCs w:val="1"/>
                <w:color w:val="auto"/>
                <w:w w:val="89"/>
              </w:rPr>
              <w:t>Asuka Nakahara</w:t>
            </w:r>
          </w:p>
        </w:tc>
        <w:tc>
          <w:tcPr>
            <w:tcW w:w="2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419"/>
        </w:trPr>
        <w:tc>
          <w:tcPr>
            <w:tcW w:w="388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AVID</w:t>
            </w:r>
            <w:r>
              <w:rPr>
                <w:rFonts w:ascii="Arial" w:cs="Arial" w:eastAsia="Arial" w:hAnsi="Arial"/>
                <w:sz w:val="18"/>
                <w:szCs w:val="18"/>
                <w:color w:val="auto"/>
              </w:rPr>
              <w:t xml:space="preserve"> C. N</w:t>
            </w:r>
            <w:r>
              <w:rPr>
                <w:rFonts w:ascii="Arial" w:cs="Arial" w:eastAsia="Arial" w:hAnsi="Arial"/>
                <w:sz w:val="14"/>
                <w:szCs w:val="14"/>
                <w:color w:val="auto"/>
              </w:rPr>
              <w:t>OVAK</w:t>
            </w:r>
          </w:p>
        </w:tc>
        <w:tc>
          <w:tcPr>
            <w:tcW w:w="4180" w:type="dxa"/>
            <w:vAlign w:val="bottom"/>
            <w:gridSpan w:val="3"/>
          </w:tcPr>
          <w:p>
            <w:pPr>
              <w:jc w:val="center"/>
              <w:ind w:left="732"/>
              <w:spacing w:after="0"/>
              <w:rPr>
                <w:sz w:val="20"/>
                <w:szCs w:val="20"/>
                <w:color w:val="auto"/>
              </w:rPr>
            </w:pPr>
            <w:r>
              <w:rPr>
                <w:rFonts w:ascii="Arial" w:cs="Arial" w:eastAsia="Arial" w:hAnsi="Arial"/>
                <w:sz w:val="18"/>
                <w:szCs w:val="18"/>
                <w:color w:val="auto"/>
                <w:w w:val="95"/>
              </w:rPr>
              <w:t>Director</w:t>
            </w:r>
          </w:p>
        </w:tc>
        <w:tc>
          <w:tcPr>
            <w:tcW w:w="2480" w:type="dxa"/>
            <w:vAlign w:val="bottom"/>
            <w:gridSpan w:val="3"/>
          </w:tcPr>
          <w:p>
            <w:pPr>
              <w:jc w:val="center"/>
              <w:ind w:left="1312"/>
              <w:spacing w:after="0"/>
              <w:rPr>
                <w:sz w:val="20"/>
                <w:szCs w:val="20"/>
                <w:color w:val="auto"/>
              </w:rPr>
            </w:pPr>
            <w:r>
              <w:rPr>
                <w:rFonts w:ascii="Arial" w:cs="Arial" w:eastAsia="Arial" w:hAnsi="Arial"/>
                <w:sz w:val="18"/>
                <w:szCs w:val="18"/>
                <w:color w:val="auto"/>
                <w:w w:val="89"/>
              </w:rPr>
              <w:t>August 1, 2019</w:t>
            </w:r>
          </w:p>
        </w:tc>
      </w:tr>
      <w:tr>
        <w:trPr>
          <w:trHeight w:val="169"/>
        </w:trPr>
        <w:tc>
          <w:tcPr>
            <w:tcW w:w="1100" w:type="dxa"/>
            <w:vAlign w:val="bottom"/>
          </w:tcPr>
          <w:p>
            <w:pPr>
              <w:spacing w:after="0"/>
              <w:rPr>
                <w:sz w:val="14"/>
                <w:szCs w:val="14"/>
                <w:color w:val="auto"/>
              </w:rPr>
            </w:pPr>
          </w:p>
        </w:tc>
        <w:tc>
          <w:tcPr>
            <w:tcW w:w="2780" w:type="dxa"/>
            <w:vAlign w:val="bottom"/>
            <w:gridSpan w:val="3"/>
          </w:tcPr>
          <w:p>
            <w:pPr>
              <w:jc w:val="center"/>
              <w:ind w:right="1140"/>
              <w:spacing w:after="0"/>
              <w:rPr>
                <w:sz w:val="20"/>
                <w:szCs w:val="20"/>
                <w:color w:val="auto"/>
              </w:rPr>
            </w:pPr>
            <w:r>
              <w:rPr>
                <w:rFonts w:ascii="Arial" w:cs="Arial" w:eastAsia="Arial" w:hAnsi="Arial"/>
                <w:sz w:val="14"/>
                <w:szCs w:val="14"/>
                <w:b w:val="1"/>
                <w:bCs w:val="1"/>
                <w:color w:val="auto"/>
                <w:w w:val="90"/>
              </w:rPr>
              <w:t>David C. Novak</w:t>
            </w:r>
          </w:p>
        </w:tc>
        <w:tc>
          <w:tcPr>
            <w:tcW w:w="2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r>
    </w:tbl>
    <w:p>
      <w:pPr>
        <w:spacing w:after="0" w:line="12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II-9</w:t>
      </w:r>
    </w:p>
    <w:p>
      <w:pPr>
        <w:sectPr>
          <w:pgSz w:w="11900" w:h="16838" w:orient="portrait"/>
          <w:cols w:equalWidth="0" w:num="1">
            <w:col w:w="10760"/>
          </w:cols>
          <w:pgMar w:left="240" w:top="459" w:right="8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 AND POWER OF ATTORNEY FOR</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NBCUNIVERSAL MEDIA, LLC</w:t>
      </w:r>
    </w:p>
    <w:p>
      <w:pPr>
        <w:spacing w:after="0" w:line="165" w:lineRule="exact"/>
        <w:rPr>
          <w:sz w:val="20"/>
          <w:szCs w:val="20"/>
          <w:color w:val="auto"/>
        </w:rPr>
      </w:pPr>
    </w:p>
    <w:p>
      <w:pPr>
        <w:jc w:val="both"/>
        <w:ind w:left="200" w:right="100" w:firstLine="441"/>
        <w:spacing w:after="0" w:line="259" w:lineRule="auto"/>
        <w:rPr>
          <w:sz w:val="20"/>
          <w:szCs w:val="20"/>
          <w:color w:val="auto"/>
        </w:rPr>
      </w:pPr>
      <w:r>
        <w:rPr>
          <w:rFonts w:ascii="Arial" w:cs="Arial" w:eastAsia="Arial" w:hAnsi="Arial"/>
          <w:sz w:val="18"/>
          <w:szCs w:val="18"/>
          <w:color w:val="auto"/>
        </w:rPr>
        <w:t>Pursuant to the requirements of the Securities Act of 1933, NBCUniversal Media, LLC certifies that it has reasonable grounds to believe that it meets all of the requirements for filing on Form S-3 and has duly caused this Registration Statement to be signed on its behalf by the undersigned, thereunto duly authorized, in the City of New York, State of New York, on August 1, 2019.</w:t>
      </w:r>
    </w:p>
    <w:p>
      <w:pPr>
        <w:spacing w:after="0" w:line="181"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NBCUNIVERSAL MEDIA, LLC</w:t>
      </w:r>
    </w:p>
    <w:p>
      <w:pPr>
        <w:spacing w:after="0" w:line="1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NBCUNIVERSAL, LLC, its sole member</w:t>
      </w:r>
    </w:p>
    <w:p>
      <w:pPr>
        <w:spacing w:after="0" w:line="219" w:lineRule="exact"/>
        <w:rPr>
          <w:sz w:val="20"/>
          <w:szCs w:val="20"/>
          <w:color w:val="auto"/>
        </w:rPr>
      </w:pPr>
    </w:p>
    <w:tbl>
      <w:tblPr>
        <w:tblLayout w:type="fixed"/>
        <w:tblInd w:w="682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/s/  T</w:t>
            </w:r>
            <w:r>
              <w:rPr>
                <w:rFonts w:ascii="Arial" w:cs="Arial" w:eastAsia="Arial" w:hAnsi="Arial"/>
                <w:sz w:val="14"/>
                <w:szCs w:val="14"/>
                <w:color w:val="auto"/>
              </w:rPr>
              <w:t>HOMAS</w:t>
            </w:r>
            <w:r>
              <w:rPr>
                <w:rFonts w:ascii="Arial" w:cs="Arial" w:eastAsia="Arial" w:hAnsi="Arial"/>
                <w:sz w:val="18"/>
                <w:szCs w:val="18"/>
                <w:color w:val="auto"/>
              </w:rPr>
              <w:t xml:space="preserve"> J. R</w:t>
            </w:r>
            <w:r>
              <w:rPr>
                <w:rFonts w:ascii="Arial" w:cs="Arial" w:eastAsia="Arial" w:hAnsi="Arial"/>
                <w:sz w:val="14"/>
                <w:szCs w:val="14"/>
                <w:color w:val="auto"/>
              </w:rPr>
              <w:t>EID</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ind w:left="1460"/>
              <w:spacing w:after="0"/>
              <w:rPr>
                <w:sz w:val="20"/>
                <w:szCs w:val="20"/>
                <w:color w:val="auto"/>
              </w:rPr>
            </w:pPr>
            <w:r>
              <w:rPr>
                <w:rFonts w:ascii="Arial" w:cs="Arial" w:eastAsia="Arial" w:hAnsi="Arial"/>
                <w:sz w:val="14"/>
                <w:szCs w:val="14"/>
                <w:b w:val="1"/>
                <w:bCs w:val="1"/>
                <w:color w:val="auto"/>
              </w:rPr>
              <w:t>Thomas J. Reid</w:t>
            </w:r>
          </w:p>
        </w:tc>
      </w:tr>
      <w:tr>
        <w:trPr>
          <w:trHeight w:val="21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ind w:left="980"/>
              <w:spacing w:after="0"/>
              <w:rPr>
                <w:sz w:val="20"/>
                <w:szCs w:val="20"/>
                <w:color w:val="auto"/>
              </w:rPr>
            </w:pPr>
            <w:r>
              <w:rPr>
                <w:rFonts w:ascii="Arial" w:cs="Arial" w:eastAsia="Arial" w:hAnsi="Arial"/>
                <w:sz w:val="14"/>
                <w:szCs w:val="14"/>
                <w:b w:val="1"/>
                <w:bCs w:val="1"/>
                <w:color w:val="auto"/>
              </w:rPr>
              <w:t>Senior Executive Vice President,</w:t>
            </w:r>
          </w:p>
        </w:tc>
      </w:tr>
      <w:tr>
        <w:trPr>
          <w:trHeight w:val="174"/>
        </w:trPr>
        <w:tc>
          <w:tcPr>
            <w:tcW w:w="580" w:type="dxa"/>
            <w:vAlign w:val="bottom"/>
          </w:tcPr>
          <w:p>
            <w:pPr>
              <w:spacing w:after="0"/>
              <w:rPr>
                <w:sz w:val="15"/>
                <w:szCs w:val="15"/>
                <w:color w:val="auto"/>
              </w:rPr>
            </w:pPr>
          </w:p>
        </w:tc>
        <w:tc>
          <w:tcPr>
            <w:tcW w:w="3840" w:type="dxa"/>
            <w:vAlign w:val="bottom"/>
          </w:tcPr>
          <w:p>
            <w:pPr>
              <w:ind w:left="1020"/>
              <w:spacing w:after="0"/>
              <w:rPr>
                <w:sz w:val="20"/>
                <w:szCs w:val="20"/>
                <w:color w:val="auto"/>
              </w:rPr>
            </w:pPr>
            <w:r>
              <w:rPr>
                <w:rFonts w:ascii="Arial" w:cs="Arial" w:eastAsia="Arial" w:hAnsi="Arial"/>
                <w:sz w:val="14"/>
                <w:szCs w:val="14"/>
                <w:b w:val="1"/>
                <w:bCs w:val="1"/>
                <w:color w:val="auto"/>
              </w:rPr>
              <w:t>General Counsel and Secretary</w:t>
            </w:r>
          </w:p>
        </w:tc>
      </w:tr>
    </w:tbl>
    <w:p>
      <w:pPr>
        <w:spacing w:after="0" w:line="141" w:lineRule="exact"/>
        <w:rPr>
          <w:sz w:val="20"/>
          <w:szCs w:val="20"/>
          <w:color w:val="auto"/>
        </w:rPr>
      </w:pPr>
    </w:p>
    <w:p>
      <w:pPr>
        <w:ind w:left="200" w:right="140" w:firstLine="441"/>
        <w:spacing w:after="0" w:line="289" w:lineRule="auto"/>
        <w:rPr>
          <w:sz w:val="20"/>
          <w:szCs w:val="20"/>
          <w:color w:val="auto"/>
        </w:rPr>
      </w:pPr>
      <w:r>
        <w:rPr>
          <w:rFonts w:ascii="Arial" w:cs="Arial" w:eastAsia="Arial" w:hAnsi="Arial"/>
          <w:sz w:val="16"/>
          <w:szCs w:val="16"/>
          <w:color w:val="auto"/>
        </w:rPr>
        <w:t>KNOW ALL MEN BY THESE PRESENTS, that each person whose signature appears below hereby constitutes and appoints Brian L. Roberts, Michael J. Cavanagh, Thomas J. Reid, David L. Cohen and Daniel C. Murdock and each of them, his or her true and lawful attorneys-in-fact and agents, with full power of substitution and resubstitution, for him or her and in his or her name, place and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 or substitutes, may lawfully do or cause to be done by virtue hereof.</w:t>
      </w:r>
    </w:p>
    <w:p>
      <w:pPr>
        <w:spacing w:after="0" w:line="118" w:lineRule="exact"/>
        <w:rPr>
          <w:sz w:val="20"/>
          <w:szCs w:val="20"/>
          <w:color w:val="auto"/>
        </w:rPr>
      </w:pPr>
    </w:p>
    <w:p>
      <w:pPr>
        <w:ind w:left="200" w:right="240" w:firstLine="441"/>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8"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1880" w:type="dxa"/>
            <w:vAlign w:val="bottom"/>
          </w:tcPr>
          <w:p>
            <w:pPr>
              <w:spacing w:after="0"/>
              <w:rPr>
                <w:sz w:val="14"/>
                <w:szCs w:val="14"/>
                <w:color w:val="auto"/>
              </w:rPr>
            </w:pPr>
          </w:p>
        </w:tc>
        <w:tc>
          <w:tcPr>
            <w:tcW w:w="4280" w:type="dxa"/>
            <w:vAlign w:val="bottom"/>
            <w:gridSpan w:val="3"/>
          </w:tcPr>
          <w:p>
            <w:pPr>
              <w:jc w:val="center"/>
              <w:ind w:left="194"/>
              <w:spacing w:after="0"/>
              <w:rPr>
                <w:sz w:val="20"/>
                <w:szCs w:val="20"/>
                <w:color w:val="auto"/>
              </w:rPr>
            </w:pPr>
            <w:r>
              <w:rPr>
                <w:rFonts w:ascii="Arial" w:cs="Arial" w:eastAsia="Arial" w:hAnsi="Arial"/>
                <w:sz w:val="14"/>
                <w:szCs w:val="14"/>
                <w:b w:val="1"/>
                <w:bCs w:val="1"/>
                <w:color w:val="auto"/>
                <w:w w:val="97"/>
              </w:rPr>
              <w:t>Title</w:t>
            </w:r>
          </w:p>
        </w:tc>
        <w:tc>
          <w:tcPr>
            <w:tcW w:w="1260" w:type="dxa"/>
            <w:vAlign w:val="bottom"/>
          </w:tcPr>
          <w:p>
            <w:pPr>
              <w:spacing w:after="0"/>
              <w:rPr>
                <w:sz w:val="14"/>
                <w:szCs w:val="14"/>
                <w:color w:val="auto"/>
              </w:rPr>
            </w:pPr>
          </w:p>
        </w:tc>
        <w:tc>
          <w:tcPr>
            <w:tcW w:w="6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24"/>
        </w:trPr>
        <w:tc>
          <w:tcPr>
            <w:tcW w:w="146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w w:val="83"/>
              </w:rPr>
              <w:t>/s/</w:t>
            </w:r>
          </w:p>
        </w:tc>
        <w:tc>
          <w:tcPr>
            <w:tcW w:w="1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3"/>
          </w:tcPr>
          <w:p>
            <w:pPr>
              <w:jc w:val="center"/>
              <w:ind w:right="1240"/>
              <w:spacing w:after="0"/>
              <w:rPr>
                <w:sz w:val="20"/>
                <w:szCs w:val="20"/>
                <w:color w:val="auto"/>
              </w:rPr>
            </w:pPr>
            <w:r>
              <w:rPr>
                <w:rFonts w:ascii="Arial" w:cs="Arial" w:eastAsia="Arial" w:hAnsi="Arial"/>
                <w:sz w:val="18"/>
                <w:szCs w:val="18"/>
                <w:color w:val="auto"/>
                <w:w w:val="97"/>
              </w:rPr>
              <w:t>B</w:t>
            </w:r>
            <w:r>
              <w:rPr>
                <w:rFonts w:ascii="Arial" w:cs="Arial" w:eastAsia="Arial" w:hAnsi="Arial"/>
                <w:sz w:val="14"/>
                <w:szCs w:val="14"/>
                <w:color w:val="auto"/>
                <w:w w:val="97"/>
              </w:rPr>
              <w:t>RIAN</w:t>
            </w:r>
            <w:r>
              <w:rPr>
                <w:rFonts w:ascii="Arial" w:cs="Arial" w:eastAsia="Arial" w:hAnsi="Arial"/>
                <w:sz w:val="18"/>
                <w:szCs w:val="18"/>
                <w:color w:val="auto"/>
                <w:w w:val="97"/>
              </w:rPr>
              <w:t xml:space="preserve"> L. R</w:t>
            </w:r>
            <w:r>
              <w:rPr>
                <w:rFonts w:ascii="Arial" w:cs="Arial" w:eastAsia="Arial" w:hAnsi="Arial"/>
                <w:sz w:val="14"/>
                <w:szCs w:val="14"/>
                <w:color w:val="auto"/>
                <w:w w:val="97"/>
              </w:rPr>
              <w:t>OBERTS</w:t>
            </w:r>
          </w:p>
        </w:tc>
        <w:tc>
          <w:tcPr>
            <w:tcW w:w="4280" w:type="dxa"/>
            <w:vAlign w:val="bottom"/>
            <w:gridSpan w:val="3"/>
          </w:tcPr>
          <w:p>
            <w:pPr>
              <w:jc w:val="center"/>
              <w:ind w:left="194"/>
              <w:spacing w:after="0"/>
              <w:rPr>
                <w:sz w:val="20"/>
                <w:szCs w:val="20"/>
                <w:color w:val="auto"/>
              </w:rPr>
            </w:pPr>
            <w:r>
              <w:rPr>
                <w:rFonts w:ascii="Arial" w:cs="Arial" w:eastAsia="Arial" w:hAnsi="Arial"/>
                <w:sz w:val="18"/>
                <w:szCs w:val="18"/>
                <w:color w:val="auto"/>
                <w:w w:val="92"/>
              </w:rPr>
              <w:t>Principal Executive Officer of</w:t>
            </w:r>
          </w:p>
        </w:tc>
        <w:tc>
          <w:tcPr>
            <w:tcW w:w="1940" w:type="dxa"/>
            <w:vAlign w:val="bottom"/>
            <w:gridSpan w:val="3"/>
          </w:tcPr>
          <w:p>
            <w:pPr>
              <w:jc w:val="center"/>
              <w:ind w:left="772"/>
              <w:spacing w:after="0"/>
              <w:rPr>
                <w:sz w:val="20"/>
                <w:szCs w:val="20"/>
                <w:color w:val="auto"/>
              </w:rPr>
            </w:pPr>
            <w:r>
              <w:rPr>
                <w:rFonts w:ascii="Arial" w:cs="Arial" w:eastAsia="Arial" w:hAnsi="Arial"/>
                <w:sz w:val="18"/>
                <w:szCs w:val="18"/>
                <w:color w:val="auto"/>
                <w:w w:val="89"/>
              </w:rPr>
              <w:t>August 1, 2019</w:t>
            </w:r>
          </w:p>
        </w:tc>
      </w:tr>
      <w:tr>
        <w:trPr>
          <w:trHeight w:val="202"/>
        </w:trPr>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40" w:type="dxa"/>
            <w:vAlign w:val="bottom"/>
            <w:gridSpan w:val="3"/>
          </w:tcPr>
          <w:p>
            <w:pPr>
              <w:jc w:val="center"/>
              <w:ind w:right="1600"/>
              <w:spacing w:after="0"/>
              <w:rPr>
                <w:sz w:val="20"/>
                <w:szCs w:val="20"/>
                <w:color w:val="auto"/>
              </w:rPr>
            </w:pPr>
            <w:r>
              <w:rPr>
                <w:rFonts w:ascii="Arial" w:cs="Arial" w:eastAsia="Arial" w:hAnsi="Arial"/>
                <w:sz w:val="14"/>
                <w:szCs w:val="14"/>
                <w:b w:val="1"/>
                <w:bCs w:val="1"/>
                <w:color w:val="auto"/>
                <w:w w:val="89"/>
              </w:rPr>
              <w:t>Brian L. Roberts</w:t>
            </w:r>
          </w:p>
        </w:tc>
        <w:tc>
          <w:tcPr>
            <w:tcW w:w="4280" w:type="dxa"/>
            <w:vAlign w:val="bottom"/>
            <w:gridSpan w:val="3"/>
          </w:tcPr>
          <w:p>
            <w:pPr>
              <w:jc w:val="center"/>
              <w:ind w:left="194"/>
              <w:spacing w:after="0" w:line="202" w:lineRule="exact"/>
              <w:rPr>
                <w:sz w:val="20"/>
                <w:szCs w:val="20"/>
                <w:color w:val="auto"/>
              </w:rPr>
            </w:pPr>
            <w:r>
              <w:rPr>
                <w:rFonts w:ascii="Arial" w:cs="Arial" w:eastAsia="Arial" w:hAnsi="Arial"/>
                <w:sz w:val="18"/>
                <w:szCs w:val="18"/>
                <w:color w:val="auto"/>
                <w:w w:val="93"/>
              </w:rPr>
              <w:t>NBCUniversal Media, LLC</w:t>
            </w: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426"/>
        </w:trPr>
        <w:tc>
          <w:tcPr>
            <w:tcW w:w="146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/s/</w:t>
            </w:r>
          </w:p>
        </w:tc>
        <w:tc>
          <w:tcPr>
            <w:tcW w:w="2860" w:type="dxa"/>
            <w:vAlign w:val="bottom"/>
            <w:tcBorders>
              <w:bottom w:val="single" w:sz="8" w:color="auto"/>
            </w:tcBorders>
            <w:gridSpan w:val="4"/>
          </w:tcPr>
          <w:p>
            <w:pPr>
              <w:jc w:val="center"/>
              <w:ind w:right="114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ICHAEL</w:t>
            </w:r>
            <w:r>
              <w:rPr>
                <w:rFonts w:ascii="Arial" w:cs="Arial" w:eastAsia="Arial" w:hAnsi="Arial"/>
                <w:sz w:val="18"/>
                <w:szCs w:val="18"/>
                <w:color w:val="auto"/>
              </w:rPr>
              <w:t xml:space="preserve"> J. C</w:t>
            </w:r>
            <w:r>
              <w:rPr>
                <w:rFonts w:ascii="Arial" w:cs="Arial" w:eastAsia="Arial" w:hAnsi="Arial"/>
                <w:sz w:val="14"/>
                <w:szCs w:val="14"/>
                <w:color w:val="auto"/>
              </w:rPr>
              <w:t>AVANAGH</w:t>
            </w:r>
          </w:p>
        </w:tc>
        <w:tc>
          <w:tcPr>
            <w:tcW w:w="4280" w:type="dxa"/>
            <w:vAlign w:val="bottom"/>
            <w:gridSpan w:val="3"/>
          </w:tcPr>
          <w:p>
            <w:pPr>
              <w:jc w:val="center"/>
              <w:ind w:left="194"/>
              <w:spacing w:after="0"/>
              <w:rPr>
                <w:sz w:val="20"/>
                <w:szCs w:val="20"/>
                <w:color w:val="auto"/>
              </w:rPr>
            </w:pPr>
            <w:r>
              <w:rPr>
                <w:rFonts w:ascii="Arial" w:cs="Arial" w:eastAsia="Arial" w:hAnsi="Arial"/>
                <w:sz w:val="18"/>
                <w:szCs w:val="18"/>
                <w:color w:val="auto"/>
                <w:w w:val="92"/>
              </w:rPr>
              <w:t>Principal Financial Officer of</w:t>
            </w:r>
          </w:p>
        </w:tc>
        <w:tc>
          <w:tcPr>
            <w:tcW w:w="1940" w:type="dxa"/>
            <w:vAlign w:val="bottom"/>
            <w:gridSpan w:val="3"/>
          </w:tcPr>
          <w:p>
            <w:pPr>
              <w:jc w:val="center"/>
              <w:ind w:left="772"/>
              <w:spacing w:after="0"/>
              <w:rPr>
                <w:sz w:val="20"/>
                <w:szCs w:val="20"/>
                <w:color w:val="auto"/>
              </w:rPr>
            </w:pPr>
            <w:r>
              <w:rPr>
                <w:rFonts w:ascii="Arial" w:cs="Arial" w:eastAsia="Arial" w:hAnsi="Arial"/>
                <w:sz w:val="18"/>
                <w:szCs w:val="18"/>
                <w:color w:val="auto"/>
                <w:w w:val="89"/>
              </w:rPr>
              <w:t>August 1, 2019</w:t>
            </w:r>
          </w:p>
        </w:tc>
      </w:tr>
      <w:tr>
        <w:trPr>
          <w:trHeight w:val="190"/>
        </w:trPr>
        <w:tc>
          <w:tcPr>
            <w:tcW w:w="1460" w:type="dxa"/>
            <w:vAlign w:val="bottom"/>
          </w:tcPr>
          <w:p>
            <w:pPr>
              <w:spacing w:after="0"/>
              <w:rPr>
                <w:sz w:val="16"/>
                <w:szCs w:val="16"/>
                <w:color w:val="auto"/>
              </w:rPr>
            </w:pPr>
          </w:p>
        </w:tc>
        <w:tc>
          <w:tcPr>
            <w:tcW w:w="2860" w:type="dxa"/>
            <w:vAlign w:val="bottom"/>
            <w:gridSpan w:val="4"/>
          </w:tcPr>
          <w:p>
            <w:pPr>
              <w:jc w:val="center"/>
              <w:ind w:right="1480"/>
              <w:spacing w:after="0"/>
              <w:rPr>
                <w:sz w:val="20"/>
                <w:szCs w:val="20"/>
                <w:color w:val="auto"/>
              </w:rPr>
            </w:pPr>
            <w:r>
              <w:rPr>
                <w:rFonts w:ascii="Arial" w:cs="Arial" w:eastAsia="Arial" w:hAnsi="Arial"/>
                <w:sz w:val="14"/>
                <w:szCs w:val="14"/>
                <w:b w:val="1"/>
                <w:bCs w:val="1"/>
                <w:color w:val="auto"/>
                <w:w w:val="88"/>
              </w:rPr>
              <w:t>Michael J. Cavanagh</w:t>
            </w:r>
          </w:p>
        </w:tc>
        <w:tc>
          <w:tcPr>
            <w:tcW w:w="4280" w:type="dxa"/>
            <w:vAlign w:val="bottom"/>
            <w:gridSpan w:val="3"/>
          </w:tcPr>
          <w:p>
            <w:pPr>
              <w:jc w:val="center"/>
              <w:ind w:left="194"/>
              <w:spacing w:after="0" w:line="190" w:lineRule="exact"/>
              <w:rPr>
                <w:sz w:val="20"/>
                <w:szCs w:val="20"/>
                <w:color w:val="auto"/>
              </w:rPr>
            </w:pPr>
            <w:r>
              <w:rPr>
                <w:rFonts w:ascii="Arial" w:cs="Arial" w:eastAsia="Arial" w:hAnsi="Arial"/>
                <w:sz w:val="18"/>
                <w:szCs w:val="18"/>
                <w:color w:val="auto"/>
                <w:w w:val="92"/>
              </w:rPr>
              <w:t>NBCUniversal Media, LLC;</w:t>
            </w:r>
          </w:p>
        </w:tc>
        <w:tc>
          <w:tcPr>
            <w:tcW w:w="1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222"/>
        </w:trPr>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4280" w:type="dxa"/>
            <w:vAlign w:val="bottom"/>
            <w:gridSpan w:val="3"/>
          </w:tcPr>
          <w:p>
            <w:pPr>
              <w:jc w:val="center"/>
              <w:ind w:left="194"/>
              <w:spacing w:after="0"/>
              <w:rPr>
                <w:sz w:val="20"/>
                <w:szCs w:val="20"/>
                <w:color w:val="auto"/>
              </w:rPr>
            </w:pPr>
            <w:r>
              <w:rPr>
                <w:rFonts w:ascii="Arial" w:cs="Arial" w:eastAsia="Arial" w:hAnsi="Arial"/>
                <w:sz w:val="18"/>
                <w:szCs w:val="18"/>
                <w:color w:val="auto"/>
                <w:w w:val="93"/>
              </w:rPr>
              <w:t>Director of NBCUniversal, LLC</w:t>
            </w: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33"/>
        </w:trPr>
        <w:tc>
          <w:tcPr>
            <w:tcW w:w="1580" w:type="dxa"/>
            <w:vAlign w:val="bottom"/>
            <w:tcBorders>
              <w:bottom w:val="single" w:sz="8" w:color="auto"/>
            </w:tcBorders>
            <w:gridSpan w:val="2"/>
          </w:tcPr>
          <w:p>
            <w:pPr>
              <w:ind w:left="1380"/>
              <w:spacing w:after="0"/>
              <w:rPr>
                <w:sz w:val="20"/>
                <w:szCs w:val="20"/>
                <w:color w:val="auto"/>
              </w:rPr>
            </w:pPr>
            <w:r>
              <w:rPr>
                <w:rFonts w:ascii="Arial" w:cs="Arial" w:eastAsia="Arial" w:hAnsi="Arial"/>
                <w:sz w:val="18"/>
                <w:szCs w:val="18"/>
                <w:color w:val="auto"/>
                <w:w w:val="94"/>
              </w:rPr>
              <w:t>/s/</w:t>
            </w:r>
          </w:p>
        </w:tc>
        <w:tc>
          <w:tcPr>
            <w:tcW w:w="2740" w:type="dxa"/>
            <w:vAlign w:val="bottom"/>
            <w:tcBorders>
              <w:bottom w:val="single" w:sz="8" w:color="auto"/>
            </w:tcBorders>
            <w:gridSpan w:val="3"/>
          </w:tcPr>
          <w:p>
            <w:pPr>
              <w:jc w:val="center"/>
              <w:ind w:right="1260"/>
              <w:spacing w:after="0"/>
              <w:rPr>
                <w:sz w:val="20"/>
                <w:szCs w:val="20"/>
                <w:color w:val="auto"/>
              </w:rPr>
            </w:pPr>
            <w:r>
              <w:rPr>
                <w:rFonts w:ascii="Arial" w:cs="Arial" w:eastAsia="Arial" w:hAnsi="Arial"/>
                <w:sz w:val="18"/>
                <w:szCs w:val="18"/>
                <w:color w:val="auto"/>
                <w:w w:val="97"/>
              </w:rPr>
              <w:t>T</w:t>
            </w:r>
            <w:r>
              <w:rPr>
                <w:rFonts w:ascii="Arial" w:cs="Arial" w:eastAsia="Arial" w:hAnsi="Arial"/>
                <w:sz w:val="14"/>
                <w:szCs w:val="14"/>
                <w:color w:val="auto"/>
                <w:w w:val="97"/>
              </w:rPr>
              <w:t>HOMAS</w:t>
            </w:r>
            <w:r>
              <w:rPr>
                <w:rFonts w:ascii="Arial" w:cs="Arial" w:eastAsia="Arial" w:hAnsi="Arial"/>
                <w:sz w:val="18"/>
                <w:szCs w:val="18"/>
                <w:color w:val="auto"/>
                <w:w w:val="97"/>
              </w:rPr>
              <w:t xml:space="preserve"> J. R</w:t>
            </w:r>
            <w:r>
              <w:rPr>
                <w:rFonts w:ascii="Arial" w:cs="Arial" w:eastAsia="Arial" w:hAnsi="Arial"/>
                <w:sz w:val="14"/>
                <w:szCs w:val="14"/>
                <w:color w:val="auto"/>
                <w:w w:val="97"/>
              </w:rPr>
              <w:t>EID</w:t>
            </w:r>
          </w:p>
        </w:tc>
        <w:tc>
          <w:tcPr>
            <w:tcW w:w="4280" w:type="dxa"/>
            <w:vAlign w:val="bottom"/>
            <w:gridSpan w:val="3"/>
          </w:tcPr>
          <w:p>
            <w:pPr>
              <w:jc w:val="center"/>
              <w:ind w:left="194"/>
              <w:spacing w:after="0"/>
              <w:rPr>
                <w:sz w:val="20"/>
                <w:szCs w:val="20"/>
                <w:color w:val="auto"/>
              </w:rPr>
            </w:pPr>
            <w:r>
              <w:rPr>
                <w:rFonts w:ascii="Arial" w:cs="Arial" w:eastAsia="Arial" w:hAnsi="Arial"/>
                <w:sz w:val="18"/>
                <w:szCs w:val="18"/>
                <w:color w:val="auto"/>
                <w:w w:val="93"/>
              </w:rPr>
              <w:t>Director of NBCUniversal, LLC</w:t>
            </w:r>
          </w:p>
        </w:tc>
        <w:tc>
          <w:tcPr>
            <w:tcW w:w="1940" w:type="dxa"/>
            <w:vAlign w:val="bottom"/>
            <w:gridSpan w:val="3"/>
          </w:tcPr>
          <w:p>
            <w:pPr>
              <w:jc w:val="center"/>
              <w:ind w:left="772"/>
              <w:spacing w:after="0"/>
              <w:rPr>
                <w:sz w:val="20"/>
                <w:szCs w:val="20"/>
                <w:color w:val="auto"/>
              </w:rPr>
            </w:pPr>
            <w:r>
              <w:rPr>
                <w:rFonts w:ascii="Arial" w:cs="Arial" w:eastAsia="Arial" w:hAnsi="Arial"/>
                <w:sz w:val="18"/>
                <w:szCs w:val="18"/>
                <w:color w:val="auto"/>
                <w:w w:val="89"/>
              </w:rPr>
              <w:t>August 1, 2019</w:t>
            </w:r>
          </w:p>
        </w:tc>
      </w:tr>
      <w:tr>
        <w:trPr>
          <w:trHeight w:val="169"/>
        </w:trPr>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gridSpan w:val="3"/>
          </w:tcPr>
          <w:p>
            <w:pPr>
              <w:jc w:val="center"/>
              <w:ind w:right="1600"/>
              <w:spacing w:after="0"/>
              <w:rPr>
                <w:sz w:val="20"/>
                <w:szCs w:val="20"/>
                <w:color w:val="auto"/>
              </w:rPr>
            </w:pPr>
            <w:r>
              <w:rPr>
                <w:rFonts w:ascii="Arial" w:cs="Arial" w:eastAsia="Arial" w:hAnsi="Arial"/>
                <w:sz w:val="14"/>
                <w:szCs w:val="14"/>
                <w:b w:val="1"/>
                <w:bCs w:val="1"/>
                <w:color w:val="auto"/>
                <w:w w:val="86"/>
              </w:rPr>
              <w:t>Thomas J. Reid</w:t>
            </w:r>
          </w:p>
        </w:tc>
        <w:tc>
          <w:tcPr>
            <w:tcW w:w="2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419"/>
        </w:trPr>
        <w:tc>
          <w:tcPr>
            <w:tcW w:w="1580" w:type="dxa"/>
            <w:vAlign w:val="bottom"/>
            <w:tcBorders>
              <w:bottom w:val="single" w:sz="8" w:color="auto"/>
            </w:tcBorders>
            <w:gridSpan w:val="2"/>
          </w:tcPr>
          <w:p>
            <w:pPr>
              <w:ind w:left="1360"/>
              <w:spacing w:after="0"/>
              <w:rPr>
                <w:sz w:val="20"/>
                <w:szCs w:val="20"/>
                <w:color w:val="auto"/>
              </w:rPr>
            </w:pPr>
            <w:r>
              <w:rPr>
                <w:rFonts w:ascii="Arial" w:cs="Arial" w:eastAsia="Arial" w:hAnsi="Arial"/>
                <w:sz w:val="18"/>
                <w:szCs w:val="18"/>
                <w:color w:val="auto"/>
              </w:rPr>
              <w:t>/s/</w:t>
            </w:r>
          </w:p>
        </w:tc>
        <w:tc>
          <w:tcPr>
            <w:tcW w:w="2740" w:type="dxa"/>
            <w:vAlign w:val="bottom"/>
            <w:tcBorders>
              <w:bottom w:val="single" w:sz="8" w:color="auto"/>
            </w:tcBorders>
            <w:gridSpan w:val="3"/>
          </w:tcPr>
          <w:p>
            <w:pPr>
              <w:jc w:val="center"/>
              <w:ind w:right="1260"/>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AVID</w:t>
            </w:r>
            <w:r>
              <w:rPr>
                <w:rFonts w:ascii="Arial" w:cs="Arial" w:eastAsia="Arial" w:hAnsi="Arial"/>
                <w:sz w:val="18"/>
                <w:szCs w:val="18"/>
                <w:color w:val="auto"/>
                <w:w w:val="99"/>
              </w:rPr>
              <w:t xml:space="preserve"> L. C</w:t>
            </w:r>
            <w:r>
              <w:rPr>
                <w:rFonts w:ascii="Arial" w:cs="Arial" w:eastAsia="Arial" w:hAnsi="Arial"/>
                <w:sz w:val="14"/>
                <w:szCs w:val="14"/>
                <w:color w:val="auto"/>
                <w:w w:val="99"/>
              </w:rPr>
              <w:t>OHEN</w:t>
            </w:r>
          </w:p>
        </w:tc>
        <w:tc>
          <w:tcPr>
            <w:tcW w:w="4280" w:type="dxa"/>
            <w:vAlign w:val="bottom"/>
            <w:gridSpan w:val="3"/>
          </w:tcPr>
          <w:p>
            <w:pPr>
              <w:jc w:val="center"/>
              <w:ind w:left="194"/>
              <w:spacing w:after="0"/>
              <w:rPr>
                <w:sz w:val="20"/>
                <w:szCs w:val="20"/>
                <w:color w:val="auto"/>
              </w:rPr>
            </w:pPr>
            <w:r>
              <w:rPr>
                <w:rFonts w:ascii="Arial" w:cs="Arial" w:eastAsia="Arial" w:hAnsi="Arial"/>
                <w:sz w:val="18"/>
                <w:szCs w:val="18"/>
                <w:color w:val="auto"/>
                <w:w w:val="93"/>
              </w:rPr>
              <w:t>Director of NBCUniversal, LLC</w:t>
            </w:r>
          </w:p>
        </w:tc>
        <w:tc>
          <w:tcPr>
            <w:tcW w:w="1940" w:type="dxa"/>
            <w:vAlign w:val="bottom"/>
            <w:gridSpan w:val="3"/>
          </w:tcPr>
          <w:p>
            <w:pPr>
              <w:jc w:val="center"/>
              <w:ind w:left="772"/>
              <w:spacing w:after="0"/>
              <w:rPr>
                <w:sz w:val="20"/>
                <w:szCs w:val="20"/>
                <w:color w:val="auto"/>
              </w:rPr>
            </w:pPr>
            <w:r>
              <w:rPr>
                <w:rFonts w:ascii="Arial" w:cs="Arial" w:eastAsia="Arial" w:hAnsi="Arial"/>
                <w:sz w:val="18"/>
                <w:szCs w:val="18"/>
                <w:color w:val="auto"/>
                <w:w w:val="89"/>
              </w:rPr>
              <w:t>August 1, 2019</w:t>
            </w:r>
          </w:p>
        </w:tc>
      </w:tr>
      <w:tr>
        <w:trPr>
          <w:trHeight w:val="169"/>
        </w:trPr>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gridSpan w:val="3"/>
          </w:tcPr>
          <w:p>
            <w:pPr>
              <w:jc w:val="center"/>
              <w:ind w:right="1600"/>
              <w:spacing w:after="0"/>
              <w:rPr>
                <w:sz w:val="20"/>
                <w:szCs w:val="20"/>
                <w:color w:val="auto"/>
              </w:rPr>
            </w:pPr>
            <w:r>
              <w:rPr>
                <w:rFonts w:ascii="Arial" w:cs="Arial" w:eastAsia="Arial" w:hAnsi="Arial"/>
                <w:sz w:val="14"/>
                <w:szCs w:val="14"/>
                <w:b w:val="1"/>
                <w:bCs w:val="1"/>
                <w:color w:val="auto"/>
                <w:w w:val="88"/>
              </w:rPr>
              <w:t>David L. Cohen</w:t>
            </w:r>
          </w:p>
        </w:tc>
        <w:tc>
          <w:tcPr>
            <w:tcW w:w="2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418"/>
        </w:trPr>
        <w:tc>
          <w:tcPr>
            <w:tcW w:w="146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rPr>
              <w:t>/s/</w:t>
            </w:r>
          </w:p>
        </w:tc>
        <w:tc>
          <w:tcPr>
            <w:tcW w:w="2860" w:type="dxa"/>
            <w:vAlign w:val="bottom"/>
            <w:tcBorders>
              <w:bottom w:val="single" w:sz="8" w:color="auto"/>
            </w:tcBorders>
            <w:gridSpan w:val="4"/>
          </w:tcPr>
          <w:p>
            <w:pPr>
              <w:jc w:val="center"/>
              <w:ind w:right="114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ANIEL</w:t>
            </w:r>
            <w:r>
              <w:rPr>
                <w:rFonts w:ascii="Arial" w:cs="Arial" w:eastAsia="Arial" w:hAnsi="Arial"/>
                <w:sz w:val="18"/>
                <w:szCs w:val="18"/>
                <w:color w:val="auto"/>
              </w:rPr>
              <w:t xml:space="preserve"> C. M</w:t>
            </w:r>
            <w:r>
              <w:rPr>
                <w:rFonts w:ascii="Arial" w:cs="Arial" w:eastAsia="Arial" w:hAnsi="Arial"/>
                <w:sz w:val="14"/>
                <w:szCs w:val="14"/>
                <w:color w:val="auto"/>
              </w:rPr>
              <w:t>URDOCK</w:t>
            </w:r>
          </w:p>
        </w:tc>
        <w:tc>
          <w:tcPr>
            <w:tcW w:w="4280" w:type="dxa"/>
            <w:vAlign w:val="bottom"/>
            <w:gridSpan w:val="3"/>
          </w:tcPr>
          <w:p>
            <w:pPr>
              <w:jc w:val="center"/>
              <w:ind w:left="194"/>
              <w:spacing w:after="0"/>
              <w:rPr>
                <w:sz w:val="20"/>
                <w:szCs w:val="20"/>
                <w:color w:val="auto"/>
              </w:rPr>
            </w:pPr>
            <w:r>
              <w:rPr>
                <w:rFonts w:ascii="Arial" w:cs="Arial" w:eastAsia="Arial" w:hAnsi="Arial"/>
                <w:sz w:val="18"/>
                <w:szCs w:val="18"/>
                <w:color w:val="auto"/>
                <w:w w:val="92"/>
              </w:rPr>
              <w:t>Principal Accounting Officer of</w:t>
            </w:r>
          </w:p>
        </w:tc>
        <w:tc>
          <w:tcPr>
            <w:tcW w:w="1940" w:type="dxa"/>
            <w:vAlign w:val="bottom"/>
            <w:gridSpan w:val="3"/>
          </w:tcPr>
          <w:p>
            <w:pPr>
              <w:jc w:val="center"/>
              <w:ind w:left="772"/>
              <w:spacing w:after="0"/>
              <w:rPr>
                <w:sz w:val="20"/>
                <w:szCs w:val="20"/>
                <w:color w:val="auto"/>
              </w:rPr>
            </w:pPr>
            <w:r>
              <w:rPr>
                <w:rFonts w:ascii="Arial" w:cs="Arial" w:eastAsia="Arial" w:hAnsi="Arial"/>
                <w:sz w:val="18"/>
                <w:szCs w:val="18"/>
                <w:color w:val="auto"/>
                <w:w w:val="89"/>
              </w:rPr>
              <w:t>August 1, 2019</w:t>
            </w:r>
          </w:p>
        </w:tc>
      </w:tr>
      <w:tr>
        <w:trPr>
          <w:trHeight w:val="202"/>
        </w:trPr>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40" w:type="dxa"/>
            <w:vAlign w:val="bottom"/>
            <w:gridSpan w:val="3"/>
          </w:tcPr>
          <w:p>
            <w:pPr>
              <w:jc w:val="center"/>
              <w:ind w:right="1600"/>
              <w:spacing w:after="0"/>
              <w:rPr>
                <w:sz w:val="20"/>
                <w:szCs w:val="20"/>
                <w:color w:val="auto"/>
              </w:rPr>
            </w:pPr>
            <w:r>
              <w:rPr>
                <w:rFonts w:ascii="Arial" w:cs="Arial" w:eastAsia="Arial" w:hAnsi="Arial"/>
                <w:sz w:val="14"/>
                <w:szCs w:val="14"/>
                <w:b w:val="1"/>
                <w:bCs w:val="1"/>
                <w:color w:val="auto"/>
                <w:w w:val="90"/>
              </w:rPr>
              <w:t>Daniel C. Murdock</w:t>
            </w:r>
          </w:p>
        </w:tc>
        <w:tc>
          <w:tcPr>
            <w:tcW w:w="4280" w:type="dxa"/>
            <w:vAlign w:val="bottom"/>
            <w:gridSpan w:val="3"/>
          </w:tcPr>
          <w:p>
            <w:pPr>
              <w:jc w:val="center"/>
              <w:ind w:left="194"/>
              <w:spacing w:after="0" w:line="202" w:lineRule="exact"/>
              <w:rPr>
                <w:sz w:val="20"/>
                <w:szCs w:val="20"/>
                <w:color w:val="auto"/>
              </w:rPr>
            </w:pPr>
            <w:r>
              <w:rPr>
                <w:rFonts w:ascii="Arial" w:cs="Arial" w:eastAsia="Arial" w:hAnsi="Arial"/>
                <w:sz w:val="18"/>
                <w:szCs w:val="18"/>
                <w:color w:val="auto"/>
                <w:w w:val="93"/>
              </w:rPr>
              <w:t>NBCUniversal Media, LLC</w:t>
            </w: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358"/>
        </w:trPr>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280" w:type="dxa"/>
            <w:vAlign w:val="bottom"/>
            <w:gridSpan w:val="3"/>
          </w:tcPr>
          <w:p>
            <w:pPr>
              <w:ind w:left="1000"/>
              <w:spacing w:after="0"/>
              <w:rPr>
                <w:sz w:val="20"/>
                <w:szCs w:val="20"/>
                <w:color w:val="auto"/>
              </w:rPr>
            </w:pPr>
            <w:r>
              <w:rPr>
                <w:rFonts w:ascii="Arial" w:cs="Arial" w:eastAsia="Arial" w:hAnsi="Arial"/>
                <w:sz w:val="18"/>
                <w:szCs w:val="18"/>
                <w:color w:val="auto"/>
              </w:rPr>
              <w:t>II-10</w:t>
            </w: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 AND POWER OF ATTORNEY FOR</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COMCAST CABLE COMMUNICATIONS, LLC</w:t>
      </w:r>
    </w:p>
    <w:p>
      <w:pPr>
        <w:spacing w:after="0" w:line="165" w:lineRule="exact"/>
        <w:rPr>
          <w:sz w:val="20"/>
          <w:szCs w:val="20"/>
          <w:color w:val="auto"/>
        </w:rPr>
      </w:pPr>
    </w:p>
    <w:p>
      <w:pPr>
        <w:ind w:left="200" w:right="220" w:firstLine="441"/>
        <w:spacing w:after="0" w:line="306" w:lineRule="auto"/>
        <w:rPr>
          <w:sz w:val="20"/>
          <w:szCs w:val="20"/>
          <w:color w:val="auto"/>
        </w:rPr>
      </w:pPr>
      <w:r>
        <w:rPr>
          <w:rFonts w:ascii="Arial" w:cs="Arial" w:eastAsia="Arial" w:hAnsi="Arial"/>
          <w:sz w:val="16"/>
          <w:szCs w:val="16"/>
          <w:color w:val="auto"/>
        </w:rPr>
        <w:t>Pursuant to the requirements of the Securities Act of 1933, Comcast Cable Communications, LLC certifies that it has reasonable grounds to believe that it meets all of the requirements for filing on Form S-3 and has duly caused this Registration Statement to be signed on its behalf by the undersigned, thereunto duly authorized, in the City of Philadelphia, Commonwealth of Pennsylvania, on August 1, 2019.</w:t>
      </w:r>
    </w:p>
    <w:p>
      <w:pPr>
        <w:spacing w:after="0" w:line="14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COMCAST CABLE COMMUNICATIONS, LLC</w:t>
      </w:r>
    </w:p>
    <w:p>
      <w:pPr>
        <w:spacing w:after="0" w:line="225" w:lineRule="exact"/>
        <w:rPr>
          <w:sz w:val="20"/>
          <w:szCs w:val="20"/>
          <w:color w:val="auto"/>
        </w:rPr>
      </w:pPr>
    </w:p>
    <w:tbl>
      <w:tblPr>
        <w:tblLayout w:type="fixed"/>
        <w:tblInd w:w="682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/s/  T</w:t>
            </w:r>
            <w:r>
              <w:rPr>
                <w:rFonts w:ascii="Arial" w:cs="Arial" w:eastAsia="Arial" w:hAnsi="Arial"/>
                <w:sz w:val="14"/>
                <w:szCs w:val="14"/>
                <w:color w:val="auto"/>
              </w:rPr>
              <w:t>HOMAS</w:t>
            </w:r>
            <w:r>
              <w:rPr>
                <w:rFonts w:ascii="Arial" w:cs="Arial" w:eastAsia="Arial" w:hAnsi="Arial"/>
                <w:sz w:val="18"/>
                <w:szCs w:val="18"/>
                <w:color w:val="auto"/>
              </w:rPr>
              <w:t xml:space="preserve"> J. R</w:t>
            </w:r>
            <w:r>
              <w:rPr>
                <w:rFonts w:ascii="Arial" w:cs="Arial" w:eastAsia="Arial" w:hAnsi="Arial"/>
                <w:sz w:val="14"/>
                <w:szCs w:val="14"/>
                <w:color w:val="auto"/>
              </w:rPr>
              <w:t>EID</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ind w:left="1460"/>
              <w:spacing w:after="0"/>
              <w:rPr>
                <w:sz w:val="20"/>
                <w:szCs w:val="20"/>
                <w:color w:val="auto"/>
              </w:rPr>
            </w:pPr>
            <w:r>
              <w:rPr>
                <w:rFonts w:ascii="Arial" w:cs="Arial" w:eastAsia="Arial" w:hAnsi="Arial"/>
                <w:sz w:val="14"/>
                <w:szCs w:val="14"/>
                <w:b w:val="1"/>
                <w:bCs w:val="1"/>
                <w:color w:val="auto"/>
              </w:rPr>
              <w:t>Thomas J. Reid</w:t>
            </w:r>
          </w:p>
        </w:tc>
      </w:tr>
      <w:tr>
        <w:trPr>
          <w:trHeight w:val="21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ind w:left="980"/>
              <w:spacing w:after="0"/>
              <w:rPr>
                <w:sz w:val="20"/>
                <w:szCs w:val="20"/>
                <w:color w:val="auto"/>
              </w:rPr>
            </w:pPr>
            <w:r>
              <w:rPr>
                <w:rFonts w:ascii="Arial" w:cs="Arial" w:eastAsia="Arial" w:hAnsi="Arial"/>
                <w:sz w:val="14"/>
                <w:szCs w:val="14"/>
                <w:b w:val="1"/>
                <w:bCs w:val="1"/>
                <w:color w:val="auto"/>
              </w:rPr>
              <w:t>Senior Executive Vice President,</w:t>
            </w:r>
          </w:p>
        </w:tc>
      </w:tr>
      <w:tr>
        <w:trPr>
          <w:trHeight w:val="174"/>
        </w:trPr>
        <w:tc>
          <w:tcPr>
            <w:tcW w:w="580" w:type="dxa"/>
            <w:vAlign w:val="bottom"/>
          </w:tcPr>
          <w:p>
            <w:pPr>
              <w:spacing w:after="0"/>
              <w:rPr>
                <w:sz w:val="15"/>
                <w:szCs w:val="15"/>
                <w:color w:val="auto"/>
              </w:rPr>
            </w:pPr>
          </w:p>
        </w:tc>
        <w:tc>
          <w:tcPr>
            <w:tcW w:w="3840" w:type="dxa"/>
            <w:vAlign w:val="bottom"/>
          </w:tcPr>
          <w:p>
            <w:pPr>
              <w:ind w:left="1020"/>
              <w:spacing w:after="0"/>
              <w:rPr>
                <w:sz w:val="20"/>
                <w:szCs w:val="20"/>
                <w:color w:val="auto"/>
              </w:rPr>
            </w:pPr>
            <w:r>
              <w:rPr>
                <w:rFonts w:ascii="Arial" w:cs="Arial" w:eastAsia="Arial" w:hAnsi="Arial"/>
                <w:sz w:val="14"/>
                <w:szCs w:val="14"/>
                <w:b w:val="1"/>
                <w:bCs w:val="1"/>
                <w:color w:val="auto"/>
              </w:rPr>
              <w:t>General Counsel and Secretary</w:t>
            </w:r>
          </w:p>
        </w:tc>
      </w:tr>
    </w:tbl>
    <w:p>
      <w:pPr>
        <w:spacing w:after="0" w:line="141"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5"/>
          <w:szCs w:val="15"/>
          <w:color w:val="auto"/>
        </w:rPr>
        <w:t>KNOW ALL MEN BY THESE PRESENTS, that each person whose signature appears below hereby constitutes and appoints Brian L. Roberts, Michael J. Cavanagh, Thomas J. Reid and Daniel C. Murdock and each of them, his or her true and lawful attorneys-in-fact and agents, with full power of substitution and resubstitution, for him or her and in his or her name, place and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 or substitutes, may lawfully do or cause to be done by virtue hereof.</w:t>
      </w:r>
    </w:p>
    <w:p>
      <w:pPr>
        <w:spacing w:after="0" w:line="105" w:lineRule="exact"/>
        <w:rPr>
          <w:sz w:val="20"/>
          <w:szCs w:val="20"/>
          <w:color w:val="auto"/>
        </w:rPr>
      </w:pPr>
    </w:p>
    <w:p>
      <w:pPr>
        <w:ind w:left="200" w:right="240" w:firstLine="441"/>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8"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1880" w:type="dxa"/>
            <w:vAlign w:val="bottom"/>
          </w:tcPr>
          <w:p>
            <w:pPr>
              <w:spacing w:after="0"/>
              <w:rPr>
                <w:sz w:val="14"/>
                <w:szCs w:val="14"/>
                <w:color w:val="auto"/>
              </w:rPr>
            </w:pPr>
          </w:p>
        </w:tc>
        <w:tc>
          <w:tcPr>
            <w:tcW w:w="4400" w:type="dxa"/>
            <w:vAlign w:val="bottom"/>
            <w:gridSpan w:val="3"/>
          </w:tcPr>
          <w:p>
            <w:pPr>
              <w:jc w:val="center"/>
              <w:ind w:left="74"/>
              <w:spacing w:after="0"/>
              <w:rPr>
                <w:sz w:val="20"/>
                <w:szCs w:val="20"/>
                <w:color w:val="auto"/>
              </w:rPr>
            </w:pPr>
            <w:r>
              <w:rPr>
                <w:rFonts w:ascii="Arial" w:cs="Arial" w:eastAsia="Arial" w:hAnsi="Arial"/>
                <w:sz w:val="14"/>
                <w:szCs w:val="14"/>
                <w:b w:val="1"/>
                <w:bCs w:val="1"/>
                <w:color w:val="auto"/>
                <w:w w:val="97"/>
              </w:rPr>
              <w:t>Title</w:t>
            </w:r>
          </w:p>
        </w:tc>
        <w:tc>
          <w:tcPr>
            <w:tcW w:w="1140" w:type="dxa"/>
            <w:vAlign w:val="bottom"/>
          </w:tcPr>
          <w:p>
            <w:pPr>
              <w:spacing w:after="0"/>
              <w:rPr>
                <w:sz w:val="14"/>
                <w:szCs w:val="14"/>
                <w:color w:val="auto"/>
              </w:rPr>
            </w:pPr>
          </w:p>
        </w:tc>
        <w:tc>
          <w:tcPr>
            <w:tcW w:w="6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1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24"/>
        </w:trPr>
        <w:tc>
          <w:tcPr>
            <w:tcW w:w="146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w w:val="83"/>
              </w:rPr>
              <w:t>/s/</w:t>
            </w:r>
          </w:p>
        </w:tc>
        <w:tc>
          <w:tcPr>
            <w:tcW w:w="2860" w:type="dxa"/>
            <w:vAlign w:val="bottom"/>
            <w:tcBorders>
              <w:bottom w:val="single" w:sz="8" w:color="auto"/>
            </w:tcBorders>
            <w:gridSpan w:val="3"/>
          </w:tcPr>
          <w:p>
            <w:pPr>
              <w:jc w:val="center"/>
              <w:ind w:right="1120"/>
              <w:spacing w:after="0"/>
              <w:rPr>
                <w:sz w:val="20"/>
                <w:szCs w:val="20"/>
                <w:color w:val="auto"/>
              </w:rPr>
            </w:pPr>
            <w:r>
              <w:rPr>
                <w:rFonts w:ascii="Arial" w:cs="Arial" w:eastAsia="Arial" w:hAnsi="Arial"/>
                <w:sz w:val="18"/>
                <w:szCs w:val="18"/>
                <w:color w:val="auto"/>
                <w:w w:val="97"/>
              </w:rPr>
              <w:t>B</w:t>
            </w:r>
            <w:r>
              <w:rPr>
                <w:rFonts w:ascii="Arial" w:cs="Arial" w:eastAsia="Arial" w:hAnsi="Arial"/>
                <w:sz w:val="14"/>
                <w:szCs w:val="14"/>
                <w:color w:val="auto"/>
                <w:w w:val="97"/>
              </w:rPr>
              <w:t>RIAN</w:t>
            </w:r>
            <w:r>
              <w:rPr>
                <w:rFonts w:ascii="Arial" w:cs="Arial" w:eastAsia="Arial" w:hAnsi="Arial"/>
                <w:sz w:val="18"/>
                <w:szCs w:val="18"/>
                <w:color w:val="auto"/>
                <w:w w:val="97"/>
              </w:rPr>
              <w:t xml:space="preserve"> L. R</w:t>
            </w:r>
            <w:r>
              <w:rPr>
                <w:rFonts w:ascii="Arial" w:cs="Arial" w:eastAsia="Arial" w:hAnsi="Arial"/>
                <w:sz w:val="14"/>
                <w:szCs w:val="14"/>
                <w:color w:val="auto"/>
                <w:w w:val="97"/>
              </w:rPr>
              <w:t>OBERTS</w:t>
            </w:r>
          </w:p>
        </w:tc>
        <w:tc>
          <w:tcPr>
            <w:tcW w:w="4400" w:type="dxa"/>
            <w:vAlign w:val="bottom"/>
            <w:gridSpan w:val="3"/>
          </w:tcPr>
          <w:p>
            <w:pPr>
              <w:jc w:val="center"/>
              <w:ind w:left="74"/>
              <w:spacing w:after="0"/>
              <w:rPr>
                <w:sz w:val="20"/>
                <w:szCs w:val="20"/>
                <w:color w:val="auto"/>
              </w:rPr>
            </w:pPr>
            <w:r>
              <w:rPr>
                <w:rFonts w:ascii="Arial" w:cs="Arial" w:eastAsia="Arial" w:hAnsi="Arial"/>
                <w:sz w:val="18"/>
                <w:szCs w:val="18"/>
                <w:color w:val="auto"/>
                <w:w w:val="92"/>
              </w:rPr>
              <w:t>Principal Executive Officer of</w:t>
            </w:r>
          </w:p>
        </w:tc>
        <w:tc>
          <w:tcPr>
            <w:tcW w:w="1820" w:type="dxa"/>
            <w:vAlign w:val="bottom"/>
            <w:gridSpan w:val="3"/>
          </w:tcPr>
          <w:p>
            <w:pPr>
              <w:jc w:val="center"/>
              <w:ind w:left="652"/>
              <w:spacing w:after="0"/>
              <w:rPr>
                <w:sz w:val="20"/>
                <w:szCs w:val="20"/>
                <w:color w:val="auto"/>
              </w:rPr>
            </w:pPr>
            <w:r>
              <w:rPr>
                <w:rFonts w:ascii="Arial" w:cs="Arial" w:eastAsia="Arial" w:hAnsi="Arial"/>
                <w:sz w:val="18"/>
                <w:szCs w:val="18"/>
                <w:color w:val="auto"/>
                <w:w w:val="89"/>
              </w:rPr>
              <w:t>August 1, 2019</w:t>
            </w:r>
          </w:p>
        </w:tc>
      </w:tr>
      <w:tr>
        <w:trPr>
          <w:trHeight w:val="202"/>
        </w:trPr>
        <w:tc>
          <w:tcPr>
            <w:tcW w:w="1460" w:type="dxa"/>
            <w:vAlign w:val="bottom"/>
          </w:tcPr>
          <w:p>
            <w:pPr>
              <w:spacing w:after="0"/>
              <w:rPr>
                <w:sz w:val="17"/>
                <w:szCs w:val="17"/>
                <w:color w:val="auto"/>
              </w:rPr>
            </w:pPr>
          </w:p>
        </w:tc>
        <w:tc>
          <w:tcPr>
            <w:tcW w:w="2860" w:type="dxa"/>
            <w:vAlign w:val="bottom"/>
            <w:gridSpan w:val="3"/>
          </w:tcPr>
          <w:p>
            <w:pPr>
              <w:jc w:val="center"/>
              <w:ind w:right="1480"/>
              <w:spacing w:after="0"/>
              <w:rPr>
                <w:sz w:val="20"/>
                <w:szCs w:val="20"/>
                <w:color w:val="auto"/>
              </w:rPr>
            </w:pPr>
            <w:r>
              <w:rPr>
                <w:rFonts w:ascii="Arial" w:cs="Arial" w:eastAsia="Arial" w:hAnsi="Arial"/>
                <w:sz w:val="14"/>
                <w:szCs w:val="14"/>
                <w:b w:val="1"/>
                <w:bCs w:val="1"/>
                <w:color w:val="auto"/>
                <w:w w:val="89"/>
              </w:rPr>
              <w:t>Brian L. Roberts</w:t>
            </w:r>
          </w:p>
        </w:tc>
        <w:tc>
          <w:tcPr>
            <w:tcW w:w="4400" w:type="dxa"/>
            <w:vAlign w:val="bottom"/>
            <w:gridSpan w:val="3"/>
          </w:tcPr>
          <w:p>
            <w:pPr>
              <w:jc w:val="center"/>
              <w:ind w:left="74"/>
              <w:spacing w:after="0" w:line="202" w:lineRule="exact"/>
              <w:rPr>
                <w:sz w:val="20"/>
                <w:szCs w:val="20"/>
                <w:color w:val="auto"/>
              </w:rPr>
            </w:pPr>
            <w:r>
              <w:rPr>
                <w:rFonts w:ascii="Arial" w:cs="Arial" w:eastAsia="Arial" w:hAnsi="Arial"/>
                <w:sz w:val="18"/>
                <w:szCs w:val="18"/>
                <w:color w:val="auto"/>
                <w:w w:val="89"/>
              </w:rPr>
              <w:t>Comcast Cable Communications, LLC</w:t>
            </w: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426"/>
        </w:trPr>
        <w:tc>
          <w:tcPr>
            <w:tcW w:w="146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/s/</w:t>
            </w:r>
          </w:p>
        </w:tc>
        <w:tc>
          <w:tcPr>
            <w:tcW w:w="2860" w:type="dxa"/>
            <w:vAlign w:val="bottom"/>
            <w:tcBorders>
              <w:bottom w:val="single" w:sz="8" w:color="auto"/>
            </w:tcBorders>
            <w:gridSpan w:val="3"/>
          </w:tcPr>
          <w:p>
            <w:pPr>
              <w:jc w:val="center"/>
              <w:ind w:right="114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ICHAEL</w:t>
            </w:r>
            <w:r>
              <w:rPr>
                <w:rFonts w:ascii="Arial" w:cs="Arial" w:eastAsia="Arial" w:hAnsi="Arial"/>
                <w:sz w:val="18"/>
                <w:szCs w:val="18"/>
                <w:color w:val="auto"/>
              </w:rPr>
              <w:t xml:space="preserve"> J. C</w:t>
            </w:r>
            <w:r>
              <w:rPr>
                <w:rFonts w:ascii="Arial" w:cs="Arial" w:eastAsia="Arial" w:hAnsi="Arial"/>
                <w:sz w:val="14"/>
                <w:szCs w:val="14"/>
                <w:color w:val="auto"/>
              </w:rPr>
              <w:t>AVANAGH</w:t>
            </w:r>
          </w:p>
        </w:tc>
        <w:tc>
          <w:tcPr>
            <w:tcW w:w="4400" w:type="dxa"/>
            <w:vAlign w:val="bottom"/>
            <w:gridSpan w:val="3"/>
          </w:tcPr>
          <w:p>
            <w:pPr>
              <w:jc w:val="center"/>
              <w:ind w:left="74"/>
              <w:spacing w:after="0"/>
              <w:rPr>
                <w:sz w:val="20"/>
                <w:szCs w:val="20"/>
                <w:color w:val="auto"/>
              </w:rPr>
            </w:pPr>
            <w:r>
              <w:rPr>
                <w:rFonts w:ascii="Arial" w:cs="Arial" w:eastAsia="Arial" w:hAnsi="Arial"/>
                <w:sz w:val="18"/>
                <w:szCs w:val="18"/>
                <w:color w:val="auto"/>
                <w:w w:val="92"/>
              </w:rPr>
              <w:t>Principal Financial Officer of</w:t>
            </w:r>
          </w:p>
        </w:tc>
        <w:tc>
          <w:tcPr>
            <w:tcW w:w="1820" w:type="dxa"/>
            <w:vAlign w:val="bottom"/>
            <w:gridSpan w:val="3"/>
          </w:tcPr>
          <w:p>
            <w:pPr>
              <w:jc w:val="center"/>
              <w:ind w:left="652"/>
              <w:spacing w:after="0"/>
              <w:rPr>
                <w:sz w:val="20"/>
                <w:szCs w:val="20"/>
                <w:color w:val="auto"/>
              </w:rPr>
            </w:pPr>
            <w:r>
              <w:rPr>
                <w:rFonts w:ascii="Arial" w:cs="Arial" w:eastAsia="Arial" w:hAnsi="Arial"/>
                <w:sz w:val="18"/>
                <w:szCs w:val="18"/>
                <w:color w:val="auto"/>
                <w:w w:val="89"/>
              </w:rPr>
              <w:t>August 1, 2019</w:t>
            </w:r>
          </w:p>
        </w:tc>
      </w:tr>
      <w:tr>
        <w:trPr>
          <w:trHeight w:val="202"/>
        </w:trPr>
        <w:tc>
          <w:tcPr>
            <w:tcW w:w="1460" w:type="dxa"/>
            <w:vAlign w:val="bottom"/>
          </w:tcPr>
          <w:p>
            <w:pPr>
              <w:spacing w:after="0"/>
              <w:rPr>
                <w:sz w:val="17"/>
                <w:szCs w:val="17"/>
                <w:color w:val="auto"/>
              </w:rPr>
            </w:pPr>
          </w:p>
        </w:tc>
        <w:tc>
          <w:tcPr>
            <w:tcW w:w="2860" w:type="dxa"/>
            <w:vAlign w:val="bottom"/>
            <w:gridSpan w:val="3"/>
          </w:tcPr>
          <w:p>
            <w:pPr>
              <w:jc w:val="center"/>
              <w:ind w:right="1480"/>
              <w:spacing w:after="0"/>
              <w:rPr>
                <w:sz w:val="20"/>
                <w:szCs w:val="20"/>
                <w:color w:val="auto"/>
              </w:rPr>
            </w:pPr>
            <w:r>
              <w:rPr>
                <w:rFonts w:ascii="Arial" w:cs="Arial" w:eastAsia="Arial" w:hAnsi="Arial"/>
                <w:sz w:val="14"/>
                <w:szCs w:val="14"/>
                <w:b w:val="1"/>
                <w:bCs w:val="1"/>
                <w:color w:val="auto"/>
                <w:w w:val="88"/>
              </w:rPr>
              <w:t>Michael J. Cavanagh</w:t>
            </w:r>
          </w:p>
        </w:tc>
        <w:tc>
          <w:tcPr>
            <w:tcW w:w="4400" w:type="dxa"/>
            <w:vAlign w:val="bottom"/>
            <w:gridSpan w:val="3"/>
          </w:tcPr>
          <w:p>
            <w:pPr>
              <w:jc w:val="center"/>
              <w:ind w:left="74"/>
              <w:spacing w:after="0" w:line="202" w:lineRule="exact"/>
              <w:rPr>
                <w:sz w:val="20"/>
                <w:szCs w:val="20"/>
                <w:color w:val="auto"/>
              </w:rPr>
            </w:pPr>
            <w:r>
              <w:rPr>
                <w:rFonts w:ascii="Arial" w:cs="Arial" w:eastAsia="Arial" w:hAnsi="Arial"/>
                <w:sz w:val="18"/>
                <w:szCs w:val="18"/>
                <w:color w:val="auto"/>
                <w:w w:val="89"/>
              </w:rPr>
              <w:t>Comcast Cable Communications, LLC</w:t>
            </w: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426"/>
        </w:trPr>
        <w:tc>
          <w:tcPr>
            <w:tcW w:w="43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color w:val="auto"/>
              </w:rPr>
              <w:t>/s/  T</w:t>
            </w:r>
            <w:r>
              <w:rPr>
                <w:rFonts w:ascii="Arial" w:cs="Arial" w:eastAsia="Arial" w:hAnsi="Arial"/>
                <w:sz w:val="14"/>
                <w:szCs w:val="14"/>
                <w:color w:val="auto"/>
              </w:rPr>
              <w:t>HOMAS</w:t>
            </w:r>
            <w:r>
              <w:rPr>
                <w:rFonts w:ascii="Arial" w:cs="Arial" w:eastAsia="Arial" w:hAnsi="Arial"/>
                <w:sz w:val="18"/>
                <w:szCs w:val="18"/>
                <w:color w:val="auto"/>
              </w:rPr>
              <w:t xml:space="preserve"> J. R</w:t>
            </w:r>
            <w:r>
              <w:rPr>
                <w:rFonts w:ascii="Arial" w:cs="Arial" w:eastAsia="Arial" w:hAnsi="Arial"/>
                <w:sz w:val="14"/>
                <w:szCs w:val="14"/>
                <w:color w:val="auto"/>
              </w:rPr>
              <w:t>EID</w:t>
            </w:r>
          </w:p>
        </w:tc>
        <w:tc>
          <w:tcPr>
            <w:tcW w:w="4400" w:type="dxa"/>
            <w:vAlign w:val="bottom"/>
            <w:gridSpan w:val="3"/>
          </w:tcPr>
          <w:p>
            <w:pPr>
              <w:jc w:val="center"/>
              <w:ind w:left="94"/>
              <w:spacing w:after="0"/>
              <w:rPr>
                <w:sz w:val="20"/>
                <w:szCs w:val="20"/>
                <w:color w:val="auto"/>
              </w:rPr>
            </w:pPr>
            <w:r>
              <w:rPr>
                <w:rFonts w:ascii="Arial" w:cs="Arial" w:eastAsia="Arial" w:hAnsi="Arial"/>
                <w:sz w:val="18"/>
                <w:szCs w:val="18"/>
                <w:color w:val="auto"/>
                <w:w w:val="89"/>
              </w:rPr>
              <w:t>Sole Member of</w:t>
            </w:r>
          </w:p>
        </w:tc>
        <w:tc>
          <w:tcPr>
            <w:tcW w:w="1820" w:type="dxa"/>
            <w:vAlign w:val="bottom"/>
            <w:gridSpan w:val="3"/>
          </w:tcPr>
          <w:p>
            <w:pPr>
              <w:jc w:val="center"/>
              <w:ind w:left="652"/>
              <w:spacing w:after="0"/>
              <w:rPr>
                <w:sz w:val="20"/>
                <w:szCs w:val="20"/>
                <w:color w:val="auto"/>
              </w:rPr>
            </w:pPr>
            <w:r>
              <w:rPr>
                <w:rFonts w:ascii="Arial" w:cs="Arial" w:eastAsia="Arial" w:hAnsi="Arial"/>
                <w:sz w:val="18"/>
                <w:szCs w:val="18"/>
                <w:color w:val="auto"/>
                <w:w w:val="89"/>
              </w:rPr>
              <w:t>August 1, 2019</w:t>
            </w:r>
          </w:p>
        </w:tc>
      </w:tr>
      <w:tr>
        <w:trPr>
          <w:trHeight w:val="202"/>
        </w:trPr>
        <w:tc>
          <w:tcPr>
            <w:tcW w:w="1460" w:type="dxa"/>
            <w:vAlign w:val="bottom"/>
          </w:tcPr>
          <w:p>
            <w:pPr>
              <w:spacing w:after="0"/>
              <w:rPr>
                <w:sz w:val="17"/>
                <w:szCs w:val="17"/>
                <w:color w:val="auto"/>
              </w:rPr>
            </w:pPr>
          </w:p>
        </w:tc>
        <w:tc>
          <w:tcPr>
            <w:tcW w:w="2860" w:type="dxa"/>
            <w:vAlign w:val="bottom"/>
            <w:gridSpan w:val="3"/>
          </w:tcPr>
          <w:p>
            <w:pPr>
              <w:jc w:val="center"/>
              <w:ind w:right="1480"/>
              <w:spacing w:after="0"/>
              <w:rPr>
                <w:sz w:val="20"/>
                <w:szCs w:val="20"/>
                <w:color w:val="auto"/>
              </w:rPr>
            </w:pPr>
            <w:r>
              <w:rPr>
                <w:rFonts w:ascii="Arial" w:cs="Arial" w:eastAsia="Arial" w:hAnsi="Arial"/>
                <w:sz w:val="14"/>
                <w:szCs w:val="14"/>
                <w:b w:val="1"/>
                <w:bCs w:val="1"/>
                <w:color w:val="auto"/>
                <w:w w:val="86"/>
              </w:rPr>
              <w:t>Thomas J. Reid</w:t>
            </w:r>
          </w:p>
        </w:tc>
        <w:tc>
          <w:tcPr>
            <w:tcW w:w="4400" w:type="dxa"/>
            <w:vAlign w:val="bottom"/>
            <w:gridSpan w:val="3"/>
          </w:tcPr>
          <w:p>
            <w:pPr>
              <w:jc w:val="center"/>
              <w:ind w:left="74"/>
              <w:spacing w:after="0" w:line="202" w:lineRule="exact"/>
              <w:rPr>
                <w:sz w:val="20"/>
                <w:szCs w:val="20"/>
                <w:color w:val="auto"/>
              </w:rPr>
            </w:pPr>
            <w:r>
              <w:rPr>
                <w:rFonts w:ascii="Arial" w:cs="Arial" w:eastAsia="Arial" w:hAnsi="Arial"/>
                <w:sz w:val="18"/>
                <w:szCs w:val="18"/>
                <w:color w:val="auto"/>
                <w:w w:val="89"/>
              </w:rPr>
              <w:t>Comcast Cable Communications, LLC</w:t>
            </w: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426"/>
        </w:trPr>
        <w:tc>
          <w:tcPr>
            <w:tcW w:w="146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rPr>
              <w:t>/s/</w:t>
            </w:r>
          </w:p>
        </w:tc>
        <w:tc>
          <w:tcPr>
            <w:tcW w:w="2860" w:type="dxa"/>
            <w:vAlign w:val="bottom"/>
            <w:tcBorders>
              <w:bottom w:val="single" w:sz="8" w:color="auto"/>
            </w:tcBorders>
            <w:gridSpan w:val="3"/>
          </w:tcPr>
          <w:p>
            <w:pPr>
              <w:jc w:val="center"/>
              <w:ind w:right="114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ANIEL</w:t>
            </w:r>
            <w:r>
              <w:rPr>
                <w:rFonts w:ascii="Arial" w:cs="Arial" w:eastAsia="Arial" w:hAnsi="Arial"/>
                <w:sz w:val="18"/>
                <w:szCs w:val="18"/>
                <w:color w:val="auto"/>
              </w:rPr>
              <w:t xml:space="preserve"> C. M</w:t>
            </w:r>
            <w:r>
              <w:rPr>
                <w:rFonts w:ascii="Arial" w:cs="Arial" w:eastAsia="Arial" w:hAnsi="Arial"/>
                <w:sz w:val="14"/>
                <w:szCs w:val="14"/>
                <w:color w:val="auto"/>
              </w:rPr>
              <w:t>URDOCK</w:t>
            </w:r>
          </w:p>
        </w:tc>
        <w:tc>
          <w:tcPr>
            <w:tcW w:w="4400" w:type="dxa"/>
            <w:vAlign w:val="bottom"/>
            <w:gridSpan w:val="3"/>
          </w:tcPr>
          <w:p>
            <w:pPr>
              <w:jc w:val="center"/>
              <w:ind w:left="74"/>
              <w:spacing w:after="0"/>
              <w:rPr>
                <w:sz w:val="20"/>
                <w:szCs w:val="20"/>
                <w:color w:val="auto"/>
              </w:rPr>
            </w:pPr>
            <w:r>
              <w:rPr>
                <w:rFonts w:ascii="Arial" w:cs="Arial" w:eastAsia="Arial" w:hAnsi="Arial"/>
                <w:sz w:val="18"/>
                <w:szCs w:val="18"/>
                <w:color w:val="auto"/>
                <w:w w:val="92"/>
              </w:rPr>
              <w:t>Principal Accounting Officer of</w:t>
            </w:r>
          </w:p>
        </w:tc>
        <w:tc>
          <w:tcPr>
            <w:tcW w:w="1820" w:type="dxa"/>
            <w:vAlign w:val="bottom"/>
            <w:gridSpan w:val="3"/>
          </w:tcPr>
          <w:p>
            <w:pPr>
              <w:jc w:val="center"/>
              <w:ind w:left="652"/>
              <w:spacing w:after="0"/>
              <w:rPr>
                <w:sz w:val="20"/>
                <w:szCs w:val="20"/>
                <w:color w:val="auto"/>
              </w:rPr>
            </w:pPr>
            <w:r>
              <w:rPr>
                <w:rFonts w:ascii="Arial" w:cs="Arial" w:eastAsia="Arial" w:hAnsi="Arial"/>
                <w:sz w:val="18"/>
                <w:szCs w:val="18"/>
                <w:color w:val="auto"/>
                <w:w w:val="89"/>
              </w:rPr>
              <w:t>August 1, 2019</w:t>
            </w:r>
          </w:p>
        </w:tc>
      </w:tr>
      <w:tr>
        <w:trPr>
          <w:trHeight w:val="202"/>
        </w:trPr>
        <w:tc>
          <w:tcPr>
            <w:tcW w:w="1460" w:type="dxa"/>
            <w:vAlign w:val="bottom"/>
          </w:tcPr>
          <w:p>
            <w:pPr>
              <w:spacing w:after="0"/>
              <w:rPr>
                <w:sz w:val="17"/>
                <w:szCs w:val="17"/>
                <w:color w:val="auto"/>
              </w:rPr>
            </w:pPr>
          </w:p>
        </w:tc>
        <w:tc>
          <w:tcPr>
            <w:tcW w:w="2860" w:type="dxa"/>
            <w:vAlign w:val="bottom"/>
            <w:gridSpan w:val="3"/>
          </w:tcPr>
          <w:p>
            <w:pPr>
              <w:jc w:val="center"/>
              <w:ind w:right="1480"/>
              <w:spacing w:after="0"/>
              <w:rPr>
                <w:sz w:val="20"/>
                <w:szCs w:val="20"/>
                <w:color w:val="auto"/>
              </w:rPr>
            </w:pPr>
            <w:r>
              <w:rPr>
                <w:rFonts w:ascii="Arial" w:cs="Arial" w:eastAsia="Arial" w:hAnsi="Arial"/>
                <w:sz w:val="14"/>
                <w:szCs w:val="14"/>
                <w:b w:val="1"/>
                <w:bCs w:val="1"/>
                <w:color w:val="auto"/>
                <w:w w:val="90"/>
              </w:rPr>
              <w:t>Daniel C. Murdock</w:t>
            </w:r>
          </w:p>
        </w:tc>
        <w:tc>
          <w:tcPr>
            <w:tcW w:w="4400" w:type="dxa"/>
            <w:vAlign w:val="bottom"/>
            <w:gridSpan w:val="3"/>
          </w:tcPr>
          <w:p>
            <w:pPr>
              <w:jc w:val="center"/>
              <w:ind w:left="74"/>
              <w:spacing w:after="0" w:line="202" w:lineRule="exact"/>
              <w:rPr>
                <w:sz w:val="20"/>
                <w:szCs w:val="20"/>
                <w:color w:val="auto"/>
              </w:rPr>
            </w:pPr>
            <w:r>
              <w:rPr>
                <w:rFonts w:ascii="Arial" w:cs="Arial" w:eastAsia="Arial" w:hAnsi="Arial"/>
                <w:sz w:val="18"/>
                <w:szCs w:val="18"/>
                <w:color w:val="auto"/>
                <w:w w:val="89"/>
              </w:rPr>
              <w:t>Comcast Cable Communications, LLC</w:t>
            </w: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358"/>
        </w:trPr>
        <w:tc>
          <w:tcPr>
            <w:tcW w:w="1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400" w:type="dxa"/>
            <w:vAlign w:val="bottom"/>
            <w:gridSpan w:val="3"/>
          </w:tcPr>
          <w:p>
            <w:pPr>
              <w:ind w:left="1000"/>
              <w:spacing w:after="0"/>
              <w:rPr>
                <w:sz w:val="20"/>
                <w:szCs w:val="20"/>
                <w:color w:val="auto"/>
              </w:rPr>
            </w:pPr>
            <w:r>
              <w:rPr>
                <w:rFonts w:ascii="Arial" w:cs="Arial" w:eastAsia="Arial" w:hAnsi="Arial"/>
                <w:sz w:val="18"/>
                <w:szCs w:val="18"/>
                <w:color w:val="auto"/>
              </w:rPr>
              <w:t>II-11</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ind w:left="10360"/>
        <w:spacing w:after="0"/>
        <w:tabs>
          <w:tab w:leader="none" w:pos="109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441"/>
        <w:spacing w:after="0" w:line="297" w:lineRule="auto"/>
        <w:rPr>
          <w:sz w:val="20"/>
          <w:szCs w:val="20"/>
          <w:color w:val="auto"/>
        </w:rPr>
      </w:pPr>
      <w:r>
        <w:rPr>
          <w:rFonts w:ascii="Arial" w:cs="Arial" w:eastAsia="Arial" w:hAnsi="Arial"/>
          <w:sz w:val="16"/>
          <w:szCs w:val="16"/>
          <w:color w:val="auto"/>
        </w:rPr>
        <w:t>We (the “Managers”) are acting on behalf of the underwriter or underwriters (including ourselves) named below (such underwriter or underwriters being herein called the “Underwriters”), and we understand that Comcast Corporation, a Pennsylvania corporation (the “Company”), proposes to issue and sell $[ ] aggregate principal amount of [ ]% Notes Due [ ] (the “Offered Securities”). The Offered Securities are to be issued pursuant to the provisions of the Indenture, dated as of [ ] by and among the Company, the Guarantors and [ ], as trustee (the “Trustee”), as guaranteed on an unsecured and unsubordinated basis by NBCUniversal Media, LLC and Comcast Cable Communications, LLC (the “Guarantors”).</w:t>
      </w:r>
    </w:p>
    <w:p>
      <w:pPr>
        <w:spacing w:after="0" w:line="158" w:lineRule="exact"/>
        <w:rPr>
          <w:sz w:val="20"/>
          <w:szCs w:val="20"/>
          <w:color w:val="auto"/>
        </w:rPr>
      </w:pPr>
    </w:p>
    <w:p>
      <w:pPr>
        <w:ind w:right="60" w:firstLine="441"/>
        <w:spacing w:after="0" w:line="286" w:lineRule="auto"/>
        <w:rPr>
          <w:sz w:val="20"/>
          <w:szCs w:val="20"/>
          <w:color w:val="auto"/>
        </w:rPr>
      </w:pPr>
      <w:r>
        <w:rPr>
          <w:rFonts w:ascii="Arial" w:cs="Arial" w:eastAsia="Arial" w:hAnsi="Arial"/>
          <w:sz w:val="17"/>
          <w:szCs w:val="17"/>
          <w:color w:val="auto"/>
        </w:rPr>
        <w:t>Subject to the terms and conditions set forth or incorporated by reference herein, the Company hereby agrees to sell and the Underwriters agree to purchase, severally and not jointly, the aggregate principal amount of the Offered Securities set forth below opposite their names at a purchase price of [ ]% plus accrued interest, if any, from [ ] to the date of payment and delivery (the “Purchase Price”).</w:t>
      </w:r>
    </w:p>
    <w:p>
      <w:pPr>
        <w:spacing w:after="0" w:line="172"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580" w:type="dxa"/>
            <w:vAlign w:val="bottom"/>
            <w:gridSpan w:val="3"/>
          </w:tcPr>
          <w:p>
            <w:pPr>
              <w:jc w:val="right"/>
              <w:spacing w:after="0"/>
              <w:rPr>
                <w:sz w:val="20"/>
                <w:szCs w:val="20"/>
                <w:color w:val="auto"/>
              </w:rPr>
            </w:pPr>
            <w:r>
              <w:rPr>
                <w:rFonts w:ascii="Arial" w:cs="Arial" w:eastAsia="Arial" w:hAnsi="Arial"/>
                <w:sz w:val="14"/>
                <w:szCs w:val="14"/>
                <w:b w:val="1"/>
                <w:bCs w:val="1"/>
                <w:color w:val="auto"/>
              </w:rPr>
              <w:t>Amount of Offered</w:t>
            </w:r>
          </w:p>
        </w:tc>
        <w:tc>
          <w:tcPr>
            <w:tcW w:w="0" w:type="dxa"/>
            <w:vAlign w:val="bottom"/>
          </w:tcPr>
          <w:p>
            <w:pPr>
              <w:spacing w:after="0"/>
              <w:rPr>
                <w:sz w:val="1"/>
                <w:szCs w:val="1"/>
                <w:color w:val="auto"/>
              </w:rPr>
            </w:pPr>
          </w:p>
        </w:tc>
      </w:tr>
      <w:tr>
        <w:trPr>
          <w:trHeight w:val="149"/>
        </w:trPr>
        <w:tc>
          <w:tcPr>
            <w:tcW w:w="8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9"/>
              </w:rPr>
              <w:t>Underwriter</w:t>
            </w:r>
          </w:p>
        </w:tc>
        <w:tc>
          <w:tcPr>
            <w:tcW w:w="6420" w:type="dxa"/>
            <w:vAlign w:val="bottom"/>
          </w:tcPr>
          <w:p>
            <w:pPr>
              <w:spacing w:after="0"/>
              <w:rPr>
                <w:sz w:val="12"/>
                <w:szCs w:val="12"/>
                <w:color w:val="auto"/>
              </w:rPr>
            </w:pPr>
          </w:p>
        </w:tc>
        <w:tc>
          <w:tcPr>
            <w:tcW w:w="1160" w:type="dxa"/>
            <w:vAlign w:val="bottom"/>
            <w:gridSpan w:val="2"/>
          </w:tcPr>
          <w:p>
            <w:pPr>
              <w:jc w:val="right"/>
              <w:ind w:right="10"/>
              <w:spacing w:after="0" w:line="149" w:lineRule="exact"/>
              <w:rPr>
                <w:sz w:val="20"/>
                <w:szCs w:val="20"/>
                <w:color w:val="auto"/>
              </w:rPr>
            </w:pPr>
            <w:r>
              <w:rPr>
                <w:rFonts w:ascii="Arial" w:cs="Arial" w:eastAsia="Arial" w:hAnsi="Arial"/>
                <w:sz w:val="14"/>
                <w:szCs w:val="14"/>
                <w:b w:val="1"/>
                <w:bCs w:val="1"/>
                <w:color w:val="auto"/>
                <w:w w:val="94"/>
              </w:rPr>
              <w:t>Securities To Be</w:t>
            </w:r>
          </w:p>
        </w:tc>
        <w:tc>
          <w:tcPr>
            <w:tcW w:w="0" w:type="dxa"/>
            <w:vAlign w:val="bottom"/>
          </w:tcPr>
          <w:p>
            <w:pPr>
              <w:spacing w:after="0"/>
              <w:rPr>
                <w:sz w:val="1"/>
                <w:szCs w:val="1"/>
                <w:color w:val="auto"/>
              </w:rPr>
            </w:pPr>
          </w:p>
        </w:tc>
      </w:tr>
      <w:tr>
        <w:trPr>
          <w:trHeight w:val="178"/>
        </w:trPr>
        <w:tc>
          <w:tcPr>
            <w:tcW w:w="800" w:type="dxa"/>
            <w:vAlign w:val="bottom"/>
            <w:gridSpan w:val="3"/>
            <w:vMerge w:val="continue"/>
          </w:tcPr>
          <w:p>
            <w:pPr>
              <w:spacing w:after="0"/>
              <w:rPr>
                <w:sz w:val="15"/>
                <w:szCs w:val="15"/>
                <w:color w:val="auto"/>
              </w:rPr>
            </w:pPr>
          </w:p>
        </w:tc>
        <w:tc>
          <w:tcPr>
            <w:tcW w:w="6420" w:type="dxa"/>
            <w:vAlign w:val="bottom"/>
          </w:tcPr>
          <w:p>
            <w:pPr>
              <w:spacing w:after="0"/>
              <w:rPr>
                <w:sz w:val="15"/>
                <w:szCs w:val="15"/>
                <w:color w:val="auto"/>
              </w:rPr>
            </w:pPr>
          </w:p>
        </w:tc>
        <w:tc>
          <w:tcPr>
            <w:tcW w:w="1160" w:type="dxa"/>
            <w:vAlign w:val="bottom"/>
            <w:gridSpan w:val="2"/>
          </w:tcPr>
          <w:p>
            <w:pPr>
              <w:ind w:left="260"/>
              <w:spacing w:after="0" w:line="158" w:lineRule="exact"/>
              <w:rPr>
                <w:sz w:val="20"/>
                <w:szCs w:val="20"/>
                <w:color w:val="auto"/>
              </w:rPr>
            </w:pPr>
            <w:r>
              <w:rPr>
                <w:rFonts w:ascii="Arial" w:cs="Arial" w:eastAsia="Arial" w:hAnsi="Arial"/>
                <w:sz w:val="14"/>
                <w:szCs w:val="14"/>
                <w:b w:val="1"/>
                <w:bCs w:val="1"/>
                <w:color w:val="auto"/>
              </w:rPr>
              <w:t>Purchased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ind w:right="50"/>
              <w:spacing w:after="0" w:line="203" w:lineRule="exact"/>
              <w:rPr>
                <w:sz w:val="20"/>
                <w:szCs w:val="20"/>
                <w:color w:val="auto"/>
              </w:rPr>
            </w:pPr>
            <w:r>
              <w:rPr>
                <w:rFonts w:ascii="Arial" w:cs="Arial" w:eastAsia="Arial" w:hAnsi="Arial"/>
                <w:sz w:val="18"/>
                <w:szCs w:val="18"/>
                <w:color w:val="auto"/>
              </w:rPr>
              <w:t>]</w:t>
            </w:r>
          </w:p>
        </w:tc>
        <w:tc>
          <w:tcPr>
            <w:tcW w:w="64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ind w:left="240"/>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ind w:right="17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000" w:type="dxa"/>
            <w:vAlign w:val="bottom"/>
            <w:gridSpan w:val="2"/>
          </w:tcPr>
          <w:p>
            <w:pPr>
              <w:ind w:left="666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000" w:type="dxa"/>
            <w:vAlign w:val="bottom"/>
            <w:gridSpan w:val="2"/>
            <w:shd w:val="clear" w:color="auto" w:fill="CCEEFF"/>
          </w:tcPr>
          <w:p>
            <w:pPr>
              <w:ind w:left="66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Underwriters will pay for the Offered Securities upon delivery thereof with the closing to be held at the offices of Davis Polk &amp; Wardwell</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LLP, 450 Lexington Avenue, New York, New York at 10:00 a.m. (New York time) on [ ], or at such other time, not later than 5:00 p.m. (New York time) on [ ] as shall be designated in writing by the Underwriters and the Company. The time and date of such payment and delivery are hereinafter referred to as the “Closing Date.”</w:t>
      </w:r>
    </w:p>
    <w:p>
      <w:pPr>
        <w:sectPr>
          <w:pgSz w:w="11900" w:h="16838" w:orient="portrait"/>
          <w:cols w:equalWidth="0" w:num="1">
            <w:col w:w="11020"/>
          </w:cols>
          <w:pgMar w:left="440" w:top="121" w:right="439" w:bottom="1440" w:gutter="0" w:footer="0" w:header="0"/>
        </w:sectPr>
      </w:pPr>
    </w:p>
    <w:p>
      <w:pPr>
        <w:spacing w:after="0" w:line="1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Offered Securities shall have the terms set forth in the Prospectus dated [</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 (the “Prospectus”) and the Prospectus Supplement dated</w:t>
      </w:r>
    </w:p>
    <w:p>
      <w:pPr>
        <w:spacing w:after="0" w:line="46" w:lineRule="exact"/>
        <w:rPr>
          <w:sz w:val="20"/>
          <w:szCs w:val="20"/>
          <w:color w:val="auto"/>
        </w:rPr>
      </w:pPr>
    </w:p>
    <w:p>
      <w:pPr>
        <w:sectPr>
          <w:pgSz w:w="11900" w:h="16838" w:orient="portrait"/>
          <w:cols w:equalWidth="0" w:num="2">
            <w:col w:w="6020" w:space="540"/>
            <w:col w:w="4460"/>
          </w:cols>
          <w:pgMar w:left="440" w:top="121" w:right="439" w:bottom="1440" w:gutter="0" w:footer="0" w:header="0"/>
          <w:type w:val="continuous"/>
        </w:sectPr>
      </w:pPr>
    </w:p>
    <w:p>
      <w:pPr>
        <w:ind w:left="600" w:hanging="596"/>
        <w:spacing w:after="0"/>
        <w:tabs>
          <w:tab w:leader="none" w:pos="6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 (the “</w:t>
      </w:r>
      <w:r>
        <w:rPr>
          <w:rFonts w:ascii="Arial" w:cs="Arial" w:eastAsia="Arial" w:hAnsi="Arial"/>
          <w:sz w:val="16"/>
          <w:szCs w:val="16"/>
          <w:b w:val="1"/>
          <w:bCs w:val="1"/>
          <w:color w:val="auto"/>
        </w:rPr>
        <w:t>Prospectus Supplement</w:t>
      </w:r>
      <w:r>
        <w:rPr>
          <w:rFonts w:ascii="Arial" w:cs="Arial" w:eastAsia="Arial" w:hAnsi="Arial"/>
          <w:sz w:val="16"/>
          <w:szCs w:val="16"/>
          <w:color w:val="auto"/>
        </w:rPr>
        <w:t>”), including the following:</w:t>
      </w:r>
    </w:p>
    <w:p>
      <w:pPr>
        <w:spacing w:after="0" w:line="2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Terms of Offered Securities:</w:t>
      </w:r>
    </w:p>
    <w:p>
      <w:pPr>
        <w:sectPr>
          <w:pgSz w:w="11900" w:h="16838" w:orient="portrait"/>
          <w:cols w:equalWidth="0" w:num="1">
            <w:col w:w="11020"/>
          </w:cols>
          <w:pgMar w:left="440" w:top="121" w:right="439" w:bottom="1440" w:gutter="0" w:footer="0" w:header="0"/>
          <w:type w:val="continuous"/>
        </w:sectPr>
      </w:pP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Maturity Date: [</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1620" w:space="540"/>
            <w:col w:w="8860"/>
          </w:cols>
          <w:pgMar w:left="440" w:top="121" w:right="439" w:bottom="1440" w:gutter="0" w:footer="0" w:header="0"/>
          <w:type w:val="continuous"/>
        </w:sectPr>
      </w:pPr>
    </w:p>
    <w:p>
      <w:pPr>
        <w:spacing w:after="0" w:line="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Interest Rate: [</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1520" w:space="540"/>
            <w:col w:w="8960"/>
          </w:cols>
          <w:pgMar w:left="440" w:top="121" w:right="439" w:bottom="1440" w:gutter="0" w:footer="0" w:header="0"/>
          <w:type w:val="continuous"/>
        </w:sectPr>
      </w:pPr>
    </w:p>
    <w:p>
      <w:pPr>
        <w:spacing w:after="0" w:line="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Redemption Provisions: [</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2280" w:space="540"/>
            <w:col w:w="8200"/>
          </w:cols>
          <w:pgMar w:left="440" w:top="121" w:right="439" w:bottom="1440" w:gutter="0" w:footer="0" w:header="0"/>
          <w:type w:val="continuous"/>
        </w:sectPr>
      </w:pPr>
    </w:p>
    <w:p>
      <w:pPr>
        <w:spacing w:after="0" w:line="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Interest Payment Dates: [</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2260" w:space="540"/>
            <w:col w:w="8220"/>
          </w:cols>
          <w:pgMar w:left="440" w:top="121" w:right="439" w:bottom="1440" w:gutter="0" w:footer="0" w:header="0"/>
          <w:type w:val="continuous"/>
        </w:sectPr>
      </w:pPr>
    </w:p>
    <w:p>
      <w:pPr>
        <w:spacing w:after="0" w:line="25"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commencing [</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2440" w:space="540"/>
            <w:col w:w="8040"/>
          </w:cols>
          <w:pgMar w:left="440" w:top="121" w:right="439" w:bottom="1440" w:gutter="0" w:footer="0" w:header="0"/>
          <w:type w:val="continuous"/>
        </w:sectPr>
      </w:pPr>
    </w:p>
    <w:p>
      <w:pPr>
        <w:spacing w:after="0" w:line="37"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(Interest accrues from [</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3080" w:space="360"/>
            <w:col w:w="7580"/>
          </w:cols>
          <w:pgMar w:left="440" w:top="121" w:right="439" w:bottom="1440" w:gutter="0" w:footer="0" w:header="0"/>
          <w:type w:val="continuous"/>
        </w:sectPr>
      </w:pPr>
    </w:p>
    <w:p>
      <w:pPr>
        <w:spacing w:after="0" w:line="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Form and Denomination: [</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2360" w:space="540"/>
            <w:col w:w="8120"/>
          </w:cols>
          <w:pgMar w:left="440" w:top="121" w:right="439" w:bottom="1440" w:gutter="0" w:footer="0" w:header="0"/>
          <w:type w:val="continuous"/>
        </w:sectPr>
      </w:pPr>
    </w:p>
    <w:p>
      <w:pPr>
        <w:spacing w:after="0" w:line="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Ranking: [</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1200" w:space="540"/>
            <w:col w:w="9280"/>
          </w:cols>
          <w:pgMar w:left="440" w:top="121" w:right="439" w:bottom="1440" w:gutter="0" w:footer="0" w:header="0"/>
          <w:type w:val="continuous"/>
        </w:sectPr>
      </w:pPr>
    </w:p>
    <w:p>
      <w:pPr>
        <w:spacing w:after="0" w:line="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Terms: As set forth in the Prospectus Supplement.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020"/>
          </w:cols>
          <w:pgMar w:left="440" w:top="121" w:right="439" w:bottom="1440" w:gutter="0" w:footer="0" w:header="0"/>
          <w:type w:val="continuous"/>
        </w:sectPr>
      </w:pPr>
    </w:p>
    <w:bookmarkStart w:id="41" w:name="page42"/>
    <w:bookmarkEnd w:id="41"/>
    <w:p>
      <w:pPr>
        <w:ind w:right="24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Capitalized terms used above and not defined herein shall have the meanings set forth in the Prospectus and Prospectus Supplement referred to above.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All communications hereunder shall be in writing and effective only upon receipt and (a) if to the Underwriters, shall be delivered, mailed or sent</w:t>
      </w:r>
    </w:p>
    <w:p>
      <w:pPr>
        <w:sectPr>
          <w:pgSz w:w="11900" w:h="16838" w:orient="portrait"/>
          <w:cols w:equalWidth="0" w:num="1">
            <w:col w:w="10980"/>
          </w:cols>
          <w:pgMar w:left="440" w:top="274" w:right="479" w:bottom="1440" w:gutter="0" w:footer="0" w:header="0"/>
        </w:sectPr>
      </w:pPr>
    </w:p>
    <w:p>
      <w:pPr>
        <w:spacing w:after="0" w:line="4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via facsimile in care of (i) [ ]; facsimile number [ ]; Attention: [ ], (ii) [ ]; facsimile number [ ]; or (b) if to the Company shall be delivered, mailed or sent via facsimile to One Comcast Center, Philadelphia, Pennsylvania 19103, facsimile number [ attention: [ ].</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52" w:lineRule="exact"/>
        <w:rPr>
          <w:sz w:val="20"/>
          <w:szCs w:val="20"/>
          <w:color w:val="auto"/>
        </w:rPr>
      </w:pPr>
    </w:p>
    <w:p>
      <w:pPr>
        <w:sectPr>
          <w:pgSz w:w="11900" w:h="16838" w:orient="portrait"/>
          <w:cols w:equalWidth="0" w:num="2">
            <w:col w:w="10340" w:space="0"/>
            <w:col w:w="640"/>
          </w:cols>
          <w:pgMar w:left="440" w:top="274" w:right="479" w:bottom="1440" w:gutter="0" w:footer="0" w:header="0"/>
          <w:type w:val="continuous"/>
        </w:sectPr>
      </w:pPr>
    </w:p>
    <w:p>
      <w:pPr>
        <w:spacing w:after="0" w:line="200"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The Company acknowledges and agrees that each of the Underwriters is acting solely in the capacity of an arm’s length contractual counterparty to the Company with respect to the offering of Offered Securities contemplated hereby (including in connection with determining the terms of the offering) and not as a financial advisor or a fiduciary to, or an agent of, the Company or any other person. Additionally, none of the Underwriters is advising the Company or any other person as to any legal, tax, investment, accounting or regulatory matters in any jurisdiction with respect to the offering of Offered Securities contemplated hereby. The Company shall consult with its own advisors concerning such matters and shall be responsible for making their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Except as set forth below, all provisions contained in the document entitled Comcast Corporation Underwriting Agreement Standard Provisions</w:t>
      </w:r>
    </w:p>
    <w:p>
      <w:pPr>
        <w:spacing w:after="0" w:line="46"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(Debt Securities) dated [ ], (the “Standard Provisions”), a copy of which is attached hereto, are herein incorporated by reference in their entirety and shall be deemed to be a part of this Agreement to the same extent as if such provisions had been set forth in full herein, except that (i) if any term defined in such document is otherwise defined herein, the definition set forth herein shall control, (ii) all references in such document to a type of security that is not an Offered Security shall not be deemed to be a part of this Agreement and (iii) all references in such document to a type of agreement that has not been entered into in connection with the transactions contemplated hereby shall not be deemed to be a part of this Agreement.</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type w:val="continuous"/>
        </w:sectPr>
      </w:pPr>
    </w:p>
    <w:bookmarkStart w:id="42" w:name="page43"/>
    <w:bookmarkEnd w:id="4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Please confirm your agreement by having an authorized officer sign a copy of this Agreement in the space set forth below.</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13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of Lead Managers]</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On behalf of themselves and the other Underwriters named</w:t>
      </w:r>
    </w:p>
    <w:p>
      <w:pPr>
        <w:spacing w:after="0" w:line="4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herein</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NBCUNIVERSAL MEDIA,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NBCUniversal, LLC, its sole member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COMCAST CABLE COMMUNICATIONS,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880"/>
          </w:cols>
          <w:pgMar w:left="440" w:top="274" w:right="57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w:t>
      </w:r>
    </w:p>
    <w:p>
      <w:pPr>
        <w:spacing w:after="0" w:line="225"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520" w:type="dxa"/>
            <w:vAlign w:val="bottom"/>
          </w:tcPr>
          <w:p>
            <w:pPr>
              <w:jc w:val="center"/>
              <w:ind w:right="2390"/>
              <w:spacing w:after="0"/>
              <w:rPr>
                <w:sz w:val="20"/>
                <w:szCs w:val="20"/>
                <w:color w:val="auto"/>
              </w:rPr>
            </w:pPr>
            <w:r>
              <w:rPr>
                <w:rFonts w:ascii="Arial" w:cs="Arial" w:eastAsia="Arial" w:hAnsi="Arial"/>
                <w:sz w:val="18"/>
                <w:szCs w:val="18"/>
                <w:b w:val="1"/>
                <w:bCs w:val="1"/>
                <w:color w:val="auto"/>
                <w:w w:val="98"/>
              </w:rPr>
              <w:t>TIME OF SALE PROSPECTUS</w:t>
            </w:r>
          </w:p>
        </w:tc>
        <w:tc>
          <w:tcPr>
            <w:tcW w:w="380" w:type="dxa"/>
            <w:vAlign w:val="bottom"/>
          </w:tcPr>
          <w:p>
            <w:pPr>
              <w:spacing w:after="0"/>
              <w:rPr>
                <w:sz w:val="20"/>
                <w:szCs w:val="20"/>
                <w:color w:val="auto"/>
              </w:rPr>
            </w:pPr>
          </w:p>
        </w:tc>
      </w:tr>
      <w:tr>
        <w:trPr>
          <w:trHeight w:val="432"/>
        </w:trPr>
        <w:tc>
          <w:tcPr>
            <w:tcW w:w="160" w:type="dxa"/>
            <w:vAlign w:val="bottom"/>
          </w:tcPr>
          <w:p>
            <w:pPr>
              <w:jc w:val="right"/>
              <w:spacing w:after="0"/>
              <w:rPr>
                <w:sz w:val="20"/>
                <w:szCs w:val="20"/>
                <w:color w:val="auto"/>
              </w:rPr>
            </w:pPr>
            <w:r>
              <w:rPr>
                <w:rFonts w:ascii="Arial" w:cs="Arial" w:eastAsia="Arial" w:hAnsi="Arial"/>
                <w:sz w:val="18"/>
                <w:szCs w:val="18"/>
                <w:color w:val="auto"/>
                <w:w w:val="79"/>
              </w:rPr>
              <w:t>1.</w:t>
            </w:r>
          </w:p>
        </w:tc>
        <w:tc>
          <w:tcPr>
            <w:tcW w:w="2000" w:type="dxa"/>
            <w:vAlign w:val="bottom"/>
          </w:tcPr>
          <w:p>
            <w:pPr>
              <w:ind w:left="20"/>
              <w:spacing w:after="0"/>
              <w:rPr>
                <w:sz w:val="20"/>
                <w:szCs w:val="20"/>
                <w:color w:val="auto"/>
              </w:rPr>
            </w:pPr>
            <w:r>
              <w:rPr>
                <w:rFonts w:ascii="Arial" w:cs="Arial" w:eastAsia="Arial" w:hAnsi="Arial"/>
                <w:sz w:val="18"/>
                <w:szCs w:val="18"/>
                <w:color w:val="auto"/>
                <w:w w:val="99"/>
              </w:rPr>
              <w:t>Base Prospectus dated [</w:t>
            </w:r>
          </w:p>
        </w:tc>
        <w:tc>
          <w:tcPr>
            <w:tcW w:w="6920" w:type="dxa"/>
            <w:vAlign w:val="bottom"/>
            <w:gridSpan w:val="2"/>
          </w:tcPr>
          <w:p>
            <w:pPr>
              <w:ind w:left="280"/>
              <w:spacing w:after="0"/>
              <w:rPr>
                <w:sz w:val="20"/>
                <w:szCs w:val="20"/>
                <w:color w:val="auto"/>
              </w:rPr>
            </w:pPr>
            <w:r>
              <w:rPr>
                <w:rFonts w:ascii="Arial" w:cs="Arial" w:eastAsia="Arial" w:hAnsi="Arial"/>
                <w:sz w:val="18"/>
                <w:szCs w:val="18"/>
                <w:color w:val="auto"/>
                <w:w w:val="95"/>
              </w:rPr>
              <w:t>] relating to the Offered Securities and included in the Registration Statement (File No. [</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16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3400" w:type="dxa"/>
            <w:vAlign w:val="bottom"/>
            <w:gridSpan w:val="2"/>
          </w:tcPr>
          <w:p>
            <w:pPr>
              <w:ind w:left="20"/>
              <w:spacing w:after="0"/>
              <w:rPr>
                <w:sz w:val="20"/>
                <w:szCs w:val="20"/>
                <w:color w:val="auto"/>
              </w:rPr>
            </w:pPr>
            <w:r>
              <w:rPr>
                <w:rFonts w:ascii="Arial" w:cs="Arial" w:eastAsia="Arial" w:hAnsi="Arial"/>
                <w:sz w:val="18"/>
                <w:szCs w:val="18"/>
                <w:color w:val="auto"/>
                <w:w w:val="97"/>
              </w:rPr>
              <w:t>Preliminary Prospectus Supplement dated [</w:t>
            </w:r>
          </w:p>
        </w:tc>
        <w:tc>
          <w:tcPr>
            <w:tcW w:w="5520" w:type="dxa"/>
            <w:vAlign w:val="bottom"/>
          </w:tcPr>
          <w:p>
            <w:pPr>
              <w:jc w:val="center"/>
              <w:ind w:right="2410"/>
              <w:spacing w:after="0"/>
              <w:rPr>
                <w:sz w:val="20"/>
                <w:szCs w:val="20"/>
                <w:color w:val="auto"/>
              </w:rPr>
            </w:pPr>
            <w:r>
              <w:rPr>
                <w:rFonts w:ascii="Arial" w:cs="Arial" w:eastAsia="Arial" w:hAnsi="Arial"/>
                <w:sz w:val="18"/>
                <w:szCs w:val="18"/>
                <w:color w:val="auto"/>
                <w:w w:val="91"/>
              </w:rPr>
              <w:t>] relating to the Offered Securities</w:t>
            </w:r>
          </w:p>
        </w:tc>
        <w:tc>
          <w:tcPr>
            <w:tcW w:w="380" w:type="dxa"/>
            <w:vAlign w:val="bottom"/>
          </w:tcPr>
          <w:p>
            <w:pPr>
              <w:spacing w:after="0"/>
              <w:rPr>
                <w:sz w:val="24"/>
                <w:szCs w:val="24"/>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3. Final term sheet containing the final terms of the Offered Securities as set forth in Schedule II hereto and filed with the Commission under Rule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433</w:t>
      </w:r>
    </w:p>
    <w:p>
      <w:pPr>
        <w:sectPr>
          <w:pgSz w:w="11900" w:h="16838" w:orient="portrait"/>
          <w:cols w:equalWidth="0" w:num="1">
            <w:col w:w="11020"/>
          </w:cols>
          <w:pgMar w:left="440" w:top="270" w:right="4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II</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FINAL TERM SHEET</w:t>
      </w:r>
    </w:p>
    <w:p>
      <w:pPr>
        <w:sectPr>
          <w:pgSz w:w="11900" w:h="16838" w:orient="portrait"/>
          <w:cols w:equalWidth="0" w:num="1">
            <w:col w:w="10020"/>
          </w:cols>
          <w:pgMar w:left="1440" w:top="270" w:right="4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UNDERWRITING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STANDARD PROVISIONS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(DEBT SECURITIES)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August 1, 2019</w:t>
      </w:r>
    </w:p>
    <w:p>
      <w:pPr>
        <w:spacing w:after="0" w:line="221" w:lineRule="exact"/>
        <w:rPr>
          <w:sz w:val="20"/>
          <w:szCs w:val="20"/>
          <w:color w:val="auto"/>
        </w:rPr>
      </w:pPr>
    </w:p>
    <w:p>
      <w:pPr>
        <w:ind w:right="100" w:firstLine="441"/>
        <w:spacing w:after="0" w:line="298" w:lineRule="auto"/>
        <w:rPr>
          <w:sz w:val="20"/>
          <w:szCs w:val="20"/>
          <w:color w:val="auto"/>
        </w:rPr>
      </w:pPr>
      <w:r>
        <w:rPr>
          <w:rFonts w:ascii="Arial" w:cs="Arial" w:eastAsia="Arial" w:hAnsi="Arial"/>
          <w:sz w:val="16"/>
          <w:szCs w:val="16"/>
          <w:color w:val="auto"/>
        </w:rPr>
        <w:t>From time to time, Comcast Corporation, a Pennsylvania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may, alone or together with NBCUniversal Media, LLC and Comcast Cable Communications, LLC (together, the “</w:t>
      </w:r>
      <w:r>
        <w:rPr>
          <w:rFonts w:ascii="Arial" w:cs="Arial" w:eastAsia="Arial" w:hAnsi="Arial"/>
          <w:sz w:val="16"/>
          <w:szCs w:val="16"/>
          <w:b w:val="1"/>
          <w:bCs w:val="1"/>
          <w:color w:val="auto"/>
        </w:rPr>
        <w:t>Guarantors</w:t>
      </w:r>
      <w:r>
        <w:rPr>
          <w:rFonts w:ascii="Arial" w:cs="Arial" w:eastAsia="Arial" w:hAnsi="Arial"/>
          <w:sz w:val="16"/>
          <w:szCs w:val="16"/>
          <w:color w:val="auto"/>
        </w:rPr>
        <w:t>”), enter into one or more underwriting agreements that provide for the sale of designated securities to the several underwriters named therein. The standard provisions set forth herein may be incorporated by reference in any such underwriting agreement (an “</w:t>
      </w:r>
      <w:r>
        <w:rPr>
          <w:rFonts w:ascii="Arial" w:cs="Arial" w:eastAsia="Arial" w:hAnsi="Arial"/>
          <w:sz w:val="16"/>
          <w:szCs w:val="16"/>
          <w:b w:val="1"/>
          <w:bCs w:val="1"/>
          <w:color w:val="auto"/>
        </w:rPr>
        <w:t>Underwriting Agreement</w:t>
      </w:r>
      <w:r>
        <w:rPr>
          <w:rFonts w:ascii="Arial" w:cs="Arial" w:eastAsia="Arial" w:hAnsi="Arial"/>
          <w:sz w:val="16"/>
          <w:szCs w:val="16"/>
          <w:color w:val="auto"/>
        </w:rPr>
        <w:t>”). The Underwriting Agreement, including the provisions incorporated therein by reference, is herein referred to as this Agreement. Terms defined in the Underwriting Agreement are used herein as therein defined.</w:t>
      </w:r>
    </w:p>
    <w:p>
      <w:pPr>
        <w:spacing w:after="0" w:line="154" w:lineRule="exact"/>
        <w:rPr>
          <w:sz w:val="20"/>
          <w:szCs w:val="20"/>
          <w:color w:val="auto"/>
        </w:rPr>
      </w:pPr>
    </w:p>
    <w:p>
      <w:pPr>
        <w:ind w:right="20" w:firstLine="441"/>
        <w:spacing w:after="0" w:line="266" w:lineRule="auto"/>
        <w:rPr>
          <w:sz w:val="20"/>
          <w:szCs w:val="20"/>
          <w:color w:val="auto"/>
        </w:rPr>
      </w:pPr>
      <w:r>
        <w:rPr>
          <w:rFonts w:ascii="Arial" w:cs="Arial" w:eastAsia="Arial" w:hAnsi="Arial"/>
          <w:sz w:val="18"/>
          <w:szCs w:val="18"/>
          <w:color w:val="auto"/>
        </w:rPr>
        <w:t>The Company proposes to issue from time to time its senior debt securities (the “</w:t>
      </w:r>
      <w:r>
        <w:rPr>
          <w:rFonts w:ascii="Arial" w:cs="Arial" w:eastAsia="Arial" w:hAnsi="Arial"/>
          <w:sz w:val="18"/>
          <w:szCs w:val="18"/>
          <w:b w:val="1"/>
          <w:bCs w:val="1"/>
          <w:color w:val="auto"/>
        </w:rPr>
        <w:t>Debt Securities</w:t>
      </w:r>
      <w:r>
        <w:rPr>
          <w:rFonts w:ascii="Arial" w:cs="Arial" w:eastAsia="Arial" w:hAnsi="Arial"/>
          <w:sz w:val="18"/>
          <w:szCs w:val="18"/>
          <w:color w:val="auto"/>
        </w:rPr>
        <w:t>”), which Debt Securities may, if so designated, be convertible into the Company’s Class A Common Stock, par value $0.01 per share. The Debt Securities may be guaranteed (the “</w:t>
      </w:r>
      <w:r>
        <w:rPr>
          <w:rFonts w:ascii="Arial" w:cs="Arial" w:eastAsia="Arial" w:hAnsi="Arial"/>
          <w:sz w:val="18"/>
          <w:szCs w:val="18"/>
          <w:b w:val="1"/>
          <w:bCs w:val="1"/>
          <w:color w:val="auto"/>
        </w:rPr>
        <w:t>Guarantees</w:t>
      </w:r>
      <w:r>
        <w:rPr>
          <w:rFonts w:ascii="Arial" w:cs="Arial" w:eastAsia="Arial" w:hAnsi="Arial"/>
          <w:sz w:val="18"/>
          <w:szCs w:val="18"/>
          <w:color w:val="auto"/>
        </w:rPr>
        <w:t>”) on an unsecured basis by the Guarantors.</w:t>
      </w:r>
    </w:p>
    <w:p>
      <w:pPr>
        <w:spacing w:after="0" w:line="176" w:lineRule="exact"/>
        <w:rPr>
          <w:sz w:val="20"/>
          <w:szCs w:val="20"/>
          <w:color w:val="auto"/>
        </w:rPr>
      </w:pPr>
    </w:p>
    <w:p>
      <w:pPr>
        <w:ind w:right="60" w:firstLine="441"/>
        <w:spacing w:after="0" w:line="268" w:lineRule="auto"/>
        <w:rPr>
          <w:sz w:val="20"/>
          <w:szCs w:val="20"/>
          <w:color w:val="auto"/>
        </w:rPr>
      </w:pPr>
      <w:r>
        <w:rPr>
          <w:rFonts w:ascii="Arial" w:cs="Arial" w:eastAsia="Arial" w:hAnsi="Arial"/>
          <w:sz w:val="17"/>
          <w:szCs w:val="17"/>
          <w:color w:val="auto"/>
        </w:rPr>
        <w:t>The Company and the Guarantors have filed with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a registration statement including a prospectus relating to the Debt Securities and the Guarantees and have filed with, or transmitted for filing to, or shall promptly after the date of this Agreement file with or transmit for filing to, the Commission a prospectus supplement (the “</w:t>
      </w:r>
      <w:r>
        <w:rPr>
          <w:rFonts w:ascii="Arial" w:cs="Arial" w:eastAsia="Arial" w:hAnsi="Arial"/>
          <w:sz w:val="17"/>
          <w:szCs w:val="17"/>
          <w:b w:val="1"/>
          <w:bCs w:val="1"/>
          <w:color w:val="auto"/>
        </w:rPr>
        <w:t>Prospectus Supplement</w:t>
      </w:r>
      <w:r>
        <w:rPr>
          <w:rFonts w:ascii="Arial" w:cs="Arial" w:eastAsia="Arial" w:hAnsi="Arial"/>
          <w:sz w:val="17"/>
          <w:szCs w:val="17"/>
          <w:color w:val="auto"/>
        </w:rPr>
        <w:t>”) pursuant to Rule 424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specifically relating to the Debt Securities and the Guarantees, if applicable, offered pursuant to this Agreement (the “</w:t>
      </w:r>
      <w:r>
        <w:rPr>
          <w:rFonts w:ascii="Arial" w:cs="Arial" w:eastAsia="Arial" w:hAnsi="Arial"/>
          <w:sz w:val="17"/>
          <w:szCs w:val="17"/>
          <w:b w:val="1"/>
          <w:bCs w:val="1"/>
          <w:color w:val="auto"/>
        </w:rPr>
        <w:t>Offered Securities</w:t>
      </w:r>
      <w:r>
        <w:rPr>
          <w:rFonts w:ascii="Arial" w:cs="Arial" w:eastAsia="Arial" w:hAnsi="Arial"/>
          <w:sz w:val="17"/>
          <w:szCs w:val="17"/>
          <w:color w:val="auto"/>
        </w:rPr>
        <w:t>”). The term “</w:t>
      </w:r>
      <w:r>
        <w:rPr>
          <w:rFonts w:ascii="Arial" w:cs="Arial" w:eastAsia="Arial" w:hAnsi="Arial"/>
          <w:sz w:val="17"/>
          <w:szCs w:val="17"/>
          <w:b w:val="1"/>
          <w:bCs w:val="1"/>
          <w:color w:val="auto"/>
        </w:rPr>
        <w:t>Registration Statement</w:t>
      </w:r>
      <w:r>
        <w:rPr>
          <w:rFonts w:ascii="Arial" w:cs="Arial" w:eastAsia="Arial" w:hAnsi="Arial"/>
          <w:sz w:val="17"/>
          <w:szCs w:val="17"/>
          <w:color w:val="auto"/>
        </w:rPr>
        <w:t>” means the registration statement as amended to the date of this Agreement, including any additional registration statement filed by the Company pursuant to Rule 462(b). The term “</w:t>
      </w:r>
      <w:r>
        <w:rPr>
          <w:rFonts w:ascii="Arial" w:cs="Arial" w:eastAsia="Arial" w:hAnsi="Arial"/>
          <w:sz w:val="17"/>
          <w:szCs w:val="17"/>
          <w:b w:val="1"/>
          <w:bCs w:val="1"/>
          <w:color w:val="auto"/>
        </w:rPr>
        <w:t>Base Prospectus</w:t>
      </w:r>
      <w:r>
        <w:rPr>
          <w:rFonts w:ascii="Arial" w:cs="Arial" w:eastAsia="Arial" w:hAnsi="Arial"/>
          <w:sz w:val="17"/>
          <w:szCs w:val="17"/>
          <w:color w:val="auto"/>
        </w:rPr>
        <w:t>” means the prospectus included in the Registration Statement. The term “</w:t>
      </w:r>
      <w:r>
        <w:rPr>
          <w:rFonts w:ascii="Arial" w:cs="Arial" w:eastAsia="Arial" w:hAnsi="Arial"/>
          <w:sz w:val="17"/>
          <w:szCs w:val="17"/>
          <w:b w:val="1"/>
          <w:bCs w:val="1"/>
          <w:color w:val="auto"/>
        </w:rPr>
        <w:t>Prospectus</w:t>
      </w:r>
      <w:r>
        <w:rPr>
          <w:rFonts w:ascii="Arial" w:cs="Arial" w:eastAsia="Arial" w:hAnsi="Arial"/>
          <w:sz w:val="17"/>
          <w:szCs w:val="17"/>
          <w:color w:val="auto"/>
        </w:rPr>
        <w:t>” means the Base Prospectus together with the Prospectus Supplement. The term “</w:t>
      </w:r>
      <w:r>
        <w:rPr>
          <w:rFonts w:ascii="Arial" w:cs="Arial" w:eastAsia="Arial" w:hAnsi="Arial"/>
          <w:sz w:val="17"/>
          <w:szCs w:val="17"/>
          <w:b w:val="1"/>
          <w:bCs w:val="1"/>
          <w:color w:val="auto"/>
        </w:rPr>
        <w:t>preliminary prospectus</w:t>
      </w:r>
      <w:r>
        <w:rPr>
          <w:rFonts w:ascii="Arial" w:cs="Arial" w:eastAsia="Arial" w:hAnsi="Arial"/>
          <w:sz w:val="17"/>
          <w:szCs w:val="17"/>
          <w:color w:val="auto"/>
        </w:rPr>
        <w:t>” means a preliminary prospectus supplement specifically relating to the Offered Securities, together with the Base Prospectus. The term “</w:t>
      </w:r>
      <w:r>
        <w:rPr>
          <w:rFonts w:ascii="Arial" w:cs="Arial" w:eastAsia="Arial" w:hAnsi="Arial"/>
          <w:sz w:val="17"/>
          <w:szCs w:val="17"/>
          <w:b w:val="1"/>
          <w:bCs w:val="1"/>
          <w:color w:val="auto"/>
        </w:rPr>
        <w:t>free writing prospectus</w:t>
      </w:r>
      <w:r>
        <w:rPr>
          <w:rFonts w:ascii="Arial" w:cs="Arial" w:eastAsia="Arial" w:hAnsi="Arial"/>
          <w:sz w:val="17"/>
          <w:szCs w:val="17"/>
          <w:color w:val="auto"/>
        </w:rPr>
        <w:t>” has the meaning set forth in Rule 405 under the Securities Act. The term “</w:t>
      </w:r>
      <w:r>
        <w:rPr>
          <w:rFonts w:ascii="Arial" w:cs="Arial" w:eastAsia="Arial" w:hAnsi="Arial"/>
          <w:sz w:val="17"/>
          <w:szCs w:val="17"/>
          <w:b w:val="1"/>
          <w:bCs w:val="1"/>
          <w:color w:val="auto"/>
        </w:rPr>
        <w:t>issuer free</w:t>
      </w:r>
      <w:r>
        <w:rPr>
          <w:rFonts w:ascii="Arial" w:cs="Arial" w:eastAsia="Arial" w:hAnsi="Arial"/>
          <w:sz w:val="17"/>
          <w:szCs w:val="17"/>
          <w:color w:val="auto"/>
        </w:rPr>
        <w:t xml:space="preserve"> </w:t>
      </w:r>
      <w:r>
        <w:rPr>
          <w:rFonts w:ascii="Arial" w:cs="Arial" w:eastAsia="Arial" w:hAnsi="Arial"/>
          <w:sz w:val="17"/>
          <w:szCs w:val="17"/>
          <w:b w:val="1"/>
          <w:bCs w:val="1"/>
          <w:color w:val="auto"/>
        </w:rPr>
        <w:t>writing prospectus</w:t>
      </w:r>
      <w:r>
        <w:rPr>
          <w:rFonts w:ascii="Arial" w:cs="Arial" w:eastAsia="Arial" w:hAnsi="Arial"/>
          <w:sz w:val="17"/>
          <w:szCs w:val="17"/>
          <w:color w:val="auto"/>
        </w:rPr>
        <w:t>” has the meaning set forth in Rule 433 under the Securities Act. The term “</w:t>
      </w:r>
      <w:r>
        <w:rPr>
          <w:rFonts w:ascii="Arial" w:cs="Arial" w:eastAsia="Arial" w:hAnsi="Arial"/>
          <w:sz w:val="17"/>
          <w:szCs w:val="17"/>
          <w:b w:val="1"/>
          <w:bCs w:val="1"/>
          <w:color w:val="auto"/>
        </w:rPr>
        <w:t>Disclosure Package</w:t>
      </w:r>
      <w:r>
        <w:rPr>
          <w:rFonts w:ascii="Arial" w:cs="Arial" w:eastAsia="Arial" w:hAnsi="Arial"/>
          <w:sz w:val="17"/>
          <w:szCs w:val="17"/>
          <w:color w:val="auto"/>
        </w:rPr>
        <w:t>” means the Base Prospectus and</w:t>
      </w:r>
      <w:r>
        <w:rPr>
          <w:rFonts w:ascii="Arial" w:cs="Arial" w:eastAsia="Arial" w:hAnsi="Arial"/>
          <w:sz w:val="17"/>
          <w:szCs w:val="17"/>
          <w:b w:val="1"/>
          <w:bCs w:val="1"/>
          <w:color w:val="auto"/>
        </w:rPr>
        <w:t xml:space="preserve"> </w:t>
      </w:r>
      <w:r>
        <w:rPr>
          <w:rFonts w:ascii="Arial" w:cs="Arial" w:eastAsia="Arial" w:hAnsi="Arial"/>
          <w:sz w:val="17"/>
          <w:szCs w:val="17"/>
          <w:color w:val="auto"/>
        </w:rPr>
        <w:t>preliminary prospectus, if any, together with any additional documents or other information identified in Schedule I to this Agreement. As used herein, the terms “Base Prospectus,” “Prospectus,” “preliminary prospectus” and “Disclosure Package” shall include in each case the documents, if any, incorporated by reference therein. As used herein, the term “</w:t>
      </w:r>
      <w:r>
        <w:rPr>
          <w:rFonts w:ascii="Arial" w:cs="Arial" w:eastAsia="Arial" w:hAnsi="Arial"/>
          <w:sz w:val="17"/>
          <w:szCs w:val="17"/>
          <w:b w:val="1"/>
          <w:bCs w:val="1"/>
          <w:color w:val="auto"/>
        </w:rPr>
        <w:t>Applicable Time</w:t>
      </w:r>
      <w:r>
        <w:rPr>
          <w:rFonts w:ascii="Arial" w:cs="Arial" w:eastAsia="Arial" w:hAnsi="Arial"/>
          <w:sz w:val="17"/>
          <w:szCs w:val="17"/>
          <w:color w:val="auto"/>
        </w:rPr>
        <w:t>” means the time and date at which this Agreement is deemed to be executed or such other</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6" w:name="page47"/>
    <w:bookmarkEnd w:id="46"/>
    <w:p>
      <w:pPr>
        <w:ind w:right="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time as agreed in writing by the Company and the Managers. The terms “supplement,” “amendment” and “amend” as used herein shall include all documents deemed to be incorporated by reference in the Prospectus that are filed subsequent to the date of the Base Prospectus by the Company with the Commission pursuant to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For purposes of this Agreement, “</w:t>
      </w:r>
      <w:r>
        <w:rPr>
          <w:rFonts w:ascii="Arial" w:cs="Arial" w:eastAsia="Arial" w:hAnsi="Arial"/>
          <w:sz w:val="17"/>
          <w:szCs w:val="17"/>
          <w:b w:val="1"/>
          <w:bCs w:val="1"/>
          <w:color w:val="auto"/>
        </w:rPr>
        <w:t>Issuers</w:t>
      </w:r>
      <w:r>
        <w:rPr>
          <w:rFonts w:ascii="Arial" w:cs="Arial" w:eastAsia="Arial" w:hAnsi="Arial"/>
          <w:sz w:val="17"/>
          <w:szCs w:val="17"/>
          <w:color w:val="auto"/>
        </w:rPr>
        <w:t>” means the Company and includes the Guarantors if Guarantees are offered pursuant to this Agreement.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1. </w:t>
      </w:r>
      <w:r>
        <w:rPr>
          <w:rFonts w:ascii="Arial" w:cs="Arial" w:eastAsia="Arial" w:hAnsi="Arial"/>
          <w:sz w:val="16"/>
          <w:szCs w:val="16"/>
          <w:i w:val="1"/>
          <w:iCs w:val="1"/>
          <w:color w:val="auto"/>
        </w:rPr>
        <w:t>Representations and Warranties</w:t>
      </w:r>
      <w:r>
        <w:rPr>
          <w:rFonts w:ascii="Arial" w:cs="Arial" w:eastAsia="Arial" w:hAnsi="Arial"/>
          <w:sz w:val="16"/>
          <w:szCs w:val="16"/>
          <w:color w:val="auto"/>
        </w:rPr>
        <w:t>. The Issuers, jointly and severally, represent and warrant to each of the Underwriters as of the Applicable Time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that:</w:t>
      </w:r>
    </w:p>
    <w:p>
      <w:pPr>
        <w:spacing w:after="0" w:line="103" w:lineRule="exact"/>
        <w:rPr>
          <w:sz w:val="20"/>
          <w:szCs w:val="20"/>
          <w:color w:val="auto"/>
        </w:rPr>
      </w:pPr>
    </w:p>
    <w:p>
      <w:pPr>
        <w:ind w:left="440" w:right="240" w:firstLine="428"/>
        <w:spacing w:after="0" w:line="277" w:lineRule="auto"/>
        <w:tabs>
          <w:tab w:leader="none" w:pos="1108"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Registration Statement has become effective; no stop order suspending the effectiveness of the Registration Statement is in effect, and no proceedings for such purpose are pending before or threatened by the Commission.</w:t>
      </w:r>
    </w:p>
    <w:p>
      <w:pPr>
        <w:spacing w:after="0" w:line="62" w:lineRule="exact"/>
        <w:rPr>
          <w:rFonts w:ascii="Arial" w:cs="Arial" w:eastAsia="Arial" w:hAnsi="Arial"/>
          <w:sz w:val="18"/>
          <w:szCs w:val="18"/>
          <w:color w:val="auto"/>
        </w:rPr>
      </w:pPr>
    </w:p>
    <w:p>
      <w:pPr>
        <w:ind w:left="440" w:right="80" w:firstLine="428"/>
        <w:spacing w:after="0" w:line="264" w:lineRule="auto"/>
        <w:tabs>
          <w:tab w:leader="none" w:pos="1118" w:val="left"/>
        </w:tabs>
        <w:numPr>
          <w:ilvl w:val="0"/>
          <w:numId w:val="44"/>
        </w:numPr>
        <w:rPr>
          <w:rFonts w:ascii="Arial" w:cs="Arial" w:eastAsia="Arial" w:hAnsi="Arial"/>
          <w:sz w:val="18"/>
          <w:szCs w:val="18"/>
          <w:color w:val="auto"/>
        </w:rPr>
      </w:pPr>
      <w:r>
        <w:rPr>
          <w:rFonts w:ascii="Arial" w:cs="Arial" w:eastAsia="Arial" w:hAnsi="Arial"/>
          <w:sz w:val="18"/>
          <w:szCs w:val="18"/>
          <w:color w:val="auto"/>
        </w:rPr>
        <w:t>Each document filed or to be filed pursuant to the Exchange Act and incorporated by reference in the Disclosure Package or the Prospectus complied or will comply when so filed in all material respects with the Exchange Act and the rules and regulations of the Commission thereunder.</w:t>
      </w:r>
    </w:p>
    <w:p>
      <w:pPr>
        <w:spacing w:after="0" w:line="73" w:lineRule="exact"/>
        <w:rPr>
          <w:rFonts w:ascii="Arial" w:cs="Arial" w:eastAsia="Arial" w:hAnsi="Arial"/>
          <w:sz w:val="18"/>
          <w:szCs w:val="18"/>
          <w:color w:val="auto"/>
        </w:rPr>
      </w:pPr>
    </w:p>
    <w:p>
      <w:pPr>
        <w:ind w:left="440" w:firstLine="428"/>
        <w:spacing w:after="0" w:line="293" w:lineRule="auto"/>
        <w:tabs>
          <w:tab w:leader="none" w:pos="1108"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Registration Statement, the Disclosure Package and the Prospectus comply in all material respects with the Securities Act and the rules and regulations of the Commission thereunder and do not contain any untrue statement of a material fact or omit to state any material fact required to be stated therein or necessary to make the statements therein not misleading, except that the foregoing representations and warranties do not apply to (i) that part of the Registration Statement which shall constitute the Statement of Eligibility of the Trustee on Form T-1 (the “</w:t>
      </w:r>
      <w:r>
        <w:rPr>
          <w:rFonts w:ascii="Arial" w:cs="Arial" w:eastAsia="Arial" w:hAnsi="Arial"/>
          <w:sz w:val="16"/>
          <w:szCs w:val="16"/>
          <w:b w:val="1"/>
          <w:bCs w:val="1"/>
          <w:color w:val="auto"/>
        </w:rPr>
        <w:t>Form</w:t>
      </w:r>
      <w:r>
        <w:rPr>
          <w:rFonts w:ascii="Arial" w:cs="Arial" w:eastAsia="Arial" w:hAnsi="Arial"/>
          <w:sz w:val="16"/>
          <w:szCs w:val="16"/>
          <w:color w:val="auto"/>
        </w:rPr>
        <w:t xml:space="preserve"> </w:t>
      </w:r>
      <w:r>
        <w:rPr>
          <w:rFonts w:ascii="Arial" w:cs="Arial" w:eastAsia="Arial" w:hAnsi="Arial"/>
          <w:sz w:val="16"/>
          <w:szCs w:val="16"/>
          <w:b w:val="1"/>
          <w:bCs w:val="1"/>
          <w:color w:val="auto"/>
        </w:rPr>
        <w:t>T-1</w:t>
      </w:r>
      <w:r>
        <w:rPr>
          <w:rFonts w:ascii="Arial" w:cs="Arial" w:eastAsia="Arial" w:hAnsi="Arial"/>
          <w:sz w:val="16"/>
          <w:szCs w:val="16"/>
          <w:color w:val="auto"/>
        </w:rPr>
        <w:t>”) or (ii) statements or omissions in the Registration Statement, the Disclosure Package or the Prospectus or any amendment or supplement</w:t>
      </w:r>
      <w:r>
        <w:rPr>
          <w:rFonts w:ascii="Arial" w:cs="Arial" w:eastAsia="Arial" w:hAnsi="Arial"/>
          <w:sz w:val="16"/>
          <w:szCs w:val="16"/>
          <w:b w:val="1"/>
          <w:bCs w:val="1"/>
          <w:color w:val="auto"/>
        </w:rPr>
        <w:t xml:space="preserve"> </w:t>
      </w:r>
      <w:r>
        <w:rPr>
          <w:rFonts w:ascii="Arial" w:cs="Arial" w:eastAsia="Arial" w:hAnsi="Arial"/>
          <w:sz w:val="16"/>
          <w:szCs w:val="16"/>
          <w:color w:val="auto"/>
        </w:rPr>
        <w:t>thereto based upon information furnished to the Issuers in writing by any Underwriter through the Managers expressly for use therein.</w:t>
      </w:r>
    </w:p>
    <w:p>
      <w:pPr>
        <w:spacing w:after="0" w:line="56" w:lineRule="exact"/>
        <w:rPr>
          <w:rFonts w:ascii="Arial" w:cs="Arial" w:eastAsia="Arial" w:hAnsi="Arial"/>
          <w:sz w:val="16"/>
          <w:szCs w:val="16"/>
          <w:color w:val="auto"/>
        </w:rPr>
      </w:pPr>
    </w:p>
    <w:p>
      <w:pPr>
        <w:ind w:left="440" w:right="20" w:firstLine="428"/>
        <w:spacing w:after="0" w:line="272" w:lineRule="auto"/>
        <w:tabs>
          <w:tab w:leader="none" w:pos="1118"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Company is not an “ineligible issuer” in connection with the offering pursuant to Rules 164, 405 and 433 under the Securities Act. The Company has not made, used, prepared, authorized, approved or referred to any offer relating to the Offered Securities that would constitute a free writing prospectus other than (i) any written communications furnished in advance to the Managers; (ii) an electronic road show, if any, furnished to the Managers before first use; or (iii) free writing prospectuses identified on Schedule I to this Agreement, including the term sheet as set forth in Schedule II to this Agreement. Any such free writing prospectus as of its issue date complied in all material respects with the requirements of the Securities Act and the rules and regulations thereunder and was filed with the Commission in accordance with the Securities Act (to the extent required pursuant to Rule 433(d) thereunder).</w:t>
      </w:r>
    </w:p>
    <w:p>
      <w:pPr>
        <w:spacing w:after="0" w:line="69" w:lineRule="exact"/>
        <w:rPr>
          <w:rFonts w:ascii="Arial" w:cs="Arial" w:eastAsia="Arial" w:hAnsi="Arial"/>
          <w:sz w:val="17"/>
          <w:szCs w:val="17"/>
          <w:color w:val="auto"/>
        </w:rPr>
      </w:pPr>
    </w:p>
    <w:p>
      <w:pPr>
        <w:ind w:left="440" w:right="220" w:firstLine="428"/>
        <w:spacing w:after="0" w:line="264" w:lineRule="auto"/>
        <w:tabs>
          <w:tab w:leader="none" w:pos="1108"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execution and delivery by each Issuer of, and the performance by each Issuer of its obligations under, this Agreement, each indenture under which the Offered Securities are to be issued, and the Offered Securities, will not contravene any provision of applicable law or the articles of incorporation or by-laws of any Issuer or any agreement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47" w:name="page48"/>
    <w:bookmarkEnd w:id="47"/>
    <w:p>
      <w:pPr>
        <w:ind w:left="40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or other instrument binding upon the Company or any of its subsidiaries that is material to the Company and its consolidated subsidiaries, taken as a whole, or any judgment, order or decree of any governmental body, agency or court having jurisdiction over the Company or any of its consolidated subsidiaries, and no consent, approval, authorization or order of, or qualification with, any governmental body or agency is required for the performance by each Issuer of its obligations under this Agreement, each indenture under which the Offered Securities are to be issued or the Offered Securities, except such as may be required by the securities or blue sky laws of the various states in connection with the offer and sale of the Offered Securities;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representation is made as to whether the purchase of the Offered Securities constitutes a “prohibited transaction” under Section 406 of the Employee Retirement Income Security Act of 1974, as amended, or Section 4975 of the Internal Revenue Code of 1986, as amended.</w:t>
      </w:r>
    </w:p>
    <w:p>
      <w:pPr>
        <w:spacing w:after="0" w:line="71" w:lineRule="exact"/>
        <w:rPr>
          <w:sz w:val="20"/>
          <w:szCs w:val="20"/>
          <w:color w:val="auto"/>
        </w:rPr>
      </w:pPr>
    </w:p>
    <w:p>
      <w:pPr>
        <w:ind w:left="400" w:right="260" w:firstLine="428"/>
        <w:spacing w:after="0" w:line="264" w:lineRule="auto"/>
        <w:tabs>
          <w:tab w:leader="none" w:pos="1048" w:val="left"/>
        </w:tabs>
        <w:numPr>
          <w:ilvl w:val="0"/>
          <w:numId w:val="45"/>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(i) in violation of its articles of incorporation or by-laws (or similar organizational documents) or (ii) in default in the performance or observance of any obligation, covenant or condition contained in any contract, except to the extent such default would not have a material adverse effect.</w:t>
      </w:r>
    </w:p>
    <w:p>
      <w:pPr>
        <w:spacing w:after="0" w:line="73" w:lineRule="exact"/>
        <w:rPr>
          <w:rFonts w:ascii="Arial" w:cs="Arial" w:eastAsia="Arial" w:hAnsi="Arial"/>
          <w:sz w:val="18"/>
          <w:szCs w:val="18"/>
          <w:color w:val="auto"/>
        </w:rPr>
      </w:pPr>
    </w:p>
    <w:p>
      <w:pPr>
        <w:ind w:left="400" w:right="280" w:firstLine="428"/>
        <w:spacing w:after="0" w:line="312" w:lineRule="auto"/>
        <w:tabs>
          <w:tab w:leader="none" w:pos="1078"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Disclosure Package (exclusive of any amendments or supplements thereto effected subsequent to the date of the Agreement).</w:t>
      </w:r>
    </w:p>
    <w:p>
      <w:pPr>
        <w:spacing w:after="0" w:line="38" w:lineRule="exact"/>
        <w:rPr>
          <w:rFonts w:ascii="Arial" w:cs="Arial" w:eastAsia="Arial" w:hAnsi="Arial"/>
          <w:sz w:val="16"/>
          <w:szCs w:val="16"/>
          <w:color w:val="auto"/>
        </w:rPr>
      </w:pPr>
    </w:p>
    <w:p>
      <w:pPr>
        <w:ind w:left="400" w:right="80" w:firstLine="428"/>
        <w:spacing w:after="0" w:line="276" w:lineRule="auto"/>
        <w:tabs>
          <w:tab w:leader="none" w:pos="1078"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There are no legal or governmental proceedings pending or threatened to which the Company or any of its consolidated subsidiaries is a party or to which any of the properties of the Company or any of its consolidated subsidiaries is subject that are required to be described in the Registration Statement or the Disclosure Package and are not so described or any statutes, regulations, contracts or other documents that are required to be described in the Registration Statement or the Disclosure Package or to be filed or incorporated by reference as exhibits to the Registration Statement that are not described, filed or incorporated as required.</w:t>
      </w:r>
    </w:p>
    <w:p>
      <w:pPr>
        <w:spacing w:after="0" w:line="64" w:lineRule="exact"/>
        <w:rPr>
          <w:rFonts w:ascii="Arial" w:cs="Arial" w:eastAsia="Arial" w:hAnsi="Arial"/>
          <w:sz w:val="17"/>
          <w:szCs w:val="17"/>
          <w:color w:val="auto"/>
        </w:rPr>
      </w:pPr>
    </w:p>
    <w:p>
      <w:pPr>
        <w:ind w:left="400" w:right="20" w:firstLine="428"/>
        <w:spacing w:after="0" w:line="257" w:lineRule="auto"/>
        <w:tabs>
          <w:tab w:leader="none" w:pos="1038"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Each of the Company and its consolidated subsidiaries has all necessary consents, authorizations, approvals, orders, certificates and permits of and from, and has made all declarations and filings with, all federal, state, local and other governmental authorities, all self-regulatory organizations and all courts and other tribunals, to own, lease, license and use its properties and assets and to conduct its business in the manner described in the Disclosure Package, except to the extent that the failure to obtain or file would not have a material adverse effect on the Company and its consolidated subsidiaries, taken as a whole.</w:t>
      </w:r>
    </w:p>
    <w:p>
      <w:pPr>
        <w:spacing w:after="0" w:line="188" w:lineRule="exact"/>
        <w:rPr>
          <w:sz w:val="20"/>
          <w:szCs w:val="20"/>
          <w:color w:val="auto"/>
        </w:rPr>
      </w:pPr>
    </w:p>
    <w:p>
      <w:pPr>
        <w:ind w:left="-40" w:firstLine="444"/>
        <w:spacing w:after="0" w:line="264" w:lineRule="auto"/>
        <w:tabs>
          <w:tab w:leader="none" w:pos="581"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Public Offering</w:t>
      </w:r>
      <w:r>
        <w:rPr>
          <w:rFonts w:ascii="Arial" w:cs="Arial" w:eastAsia="Arial" w:hAnsi="Arial"/>
          <w:sz w:val="18"/>
          <w:szCs w:val="18"/>
          <w:color w:val="auto"/>
        </w:rPr>
        <w:t>. The Issuers are advised by the Managers that the Underwriters propose to make a public offering of their respective portions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Offered Securities as soon after this Agreement has been entered into as in the Managers’ judgment is advisable. The terms of the public offering of the Offered Securities are set forth in the Disclosure Package and the Prospectus.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80" w:top="274" w:right="459" w:bottom="1440" w:gutter="0" w:footer="0" w:header="0"/>
        </w:sectPr>
      </w:pPr>
    </w:p>
    <w:bookmarkStart w:id="48" w:name="page49"/>
    <w:bookmarkEnd w:id="48"/>
    <w:p>
      <w:pPr>
        <w:ind w:left="-20" w:right="160" w:firstLine="444"/>
        <w:spacing w:after="0" w:line="257" w:lineRule="auto"/>
        <w:tabs>
          <w:tab w:leader="none" w:pos="601"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Purchase and Delivery</w:t>
      </w:r>
      <w:r>
        <w:rPr>
          <w:rFonts w:ascii="Arial" w:cs="Arial" w:eastAsia="Arial" w:hAnsi="Arial"/>
          <w:sz w:val="18"/>
          <w:szCs w:val="18"/>
          <w:color w:val="auto"/>
        </w:rPr>
        <w:t>. Except as otherwise provided in this Section 3, payment for the Offered Securities shall be made to the Company in</w:t>
      </w:r>
      <w:r>
        <w:rPr>
          <w:rFonts w:ascii="Arial" w:cs="Arial" w:eastAsia="Arial" w:hAnsi="Arial"/>
          <w:sz w:val="18"/>
          <w:szCs w:val="18"/>
          <w:i w:val="1"/>
          <w:iCs w:val="1"/>
          <w:color w:val="auto"/>
        </w:rPr>
        <w:t xml:space="preserve"> </w:t>
      </w:r>
      <w:r>
        <w:rPr>
          <w:rFonts w:ascii="Arial" w:cs="Arial" w:eastAsia="Arial" w:hAnsi="Arial"/>
          <w:sz w:val="18"/>
          <w:szCs w:val="18"/>
          <w:color w:val="auto"/>
        </w:rPr>
        <w:t>federal or other funds immediately available in New York City at the time and place set forth in this Agreement, upon delivery to the Managers for the respective accounts of the several Underwriters of the Offered Securities registered in such names and in such denominations as the Managers shall request in writing not less than one full business day prior to the date of delivery, with any transfer taxes payable in connection with the transfer of the Offered Securities to the Underwriters duly paid.</w:t>
      </w:r>
    </w:p>
    <w:p>
      <w:pPr>
        <w:spacing w:after="0" w:line="188" w:lineRule="exact"/>
        <w:rPr>
          <w:rFonts w:ascii="Arial" w:cs="Arial" w:eastAsia="Arial" w:hAnsi="Arial"/>
          <w:sz w:val="18"/>
          <w:szCs w:val="18"/>
          <w:color w:val="auto"/>
        </w:rPr>
      </w:pPr>
    </w:p>
    <w:p>
      <w:pPr>
        <w:ind w:left="600" w:hanging="176"/>
        <w:spacing w:after="0"/>
        <w:tabs>
          <w:tab w:leader="none" w:pos="60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Conditions to Closing</w:t>
      </w:r>
      <w:r>
        <w:rPr>
          <w:rFonts w:ascii="Arial" w:cs="Arial" w:eastAsia="Arial" w:hAnsi="Arial"/>
          <w:sz w:val="18"/>
          <w:szCs w:val="18"/>
          <w:color w:val="auto"/>
        </w:rPr>
        <w:t>. The several obligations of the Underwriters hereunder are subject to the following conditions:</w:t>
      </w:r>
    </w:p>
    <w:p>
      <w:pPr>
        <w:spacing w:after="0" w:line="117" w:lineRule="exact"/>
        <w:rPr>
          <w:rFonts w:ascii="Arial" w:cs="Arial" w:eastAsia="Arial" w:hAnsi="Arial"/>
          <w:sz w:val="18"/>
          <w:szCs w:val="18"/>
          <w:color w:val="auto"/>
        </w:rPr>
      </w:pPr>
    </w:p>
    <w:p>
      <w:pPr>
        <w:ind w:left="420" w:right="240" w:firstLine="428"/>
        <w:spacing w:after="0" w:line="279" w:lineRule="auto"/>
        <w:tabs>
          <w:tab w:leader="none" w:pos="1088" w:val="left"/>
        </w:tabs>
        <w:numPr>
          <w:ilvl w:val="1"/>
          <w:numId w:val="47"/>
        </w:numPr>
        <w:rPr>
          <w:rFonts w:ascii="Arial" w:cs="Arial" w:eastAsia="Arial" w:hAnsi="Arial"/>
          <w:sz w:val="17"/>
          <w:szCs w:val="17"/>
          <w:color w:val="auto"/>
        </w:rPr>
      </w:pPr>
      <w:r>
        <w:rPr>
          <w:rFonts w:ascii="Arial" w:cs="Arial" w:eastAsia="Arial" w:hAnsi="Arial"/>
          <w:sz w:val="17"/>
          <w:szCs w:val="17"/>
          <w:color w:val="auto"/>
        </w:rPr>
        <w:t>Subsequent to the Applicable Time and prior to the Closing Date, there shall not have occurred any downgrading, nor shall any notice have been given of any intended or potential downgrading or of any review for a possible change that does not indicate the direction of the possible change, in the rating accorded any Issuer or any of the securities of any Issuer by any “nationally recognized statistical rating organization,” as such term is defined for purposes of Section 3(a)(62) of the Exchange Act.</w:t>
      </w:r>
    </w:p>
    <w:p>
      <w:pPr>
        <w:spacing w:after="0" w:line="63" w:lineRule="exact"/>
        <w:rPr>
          <w:rFonts w:ascii="Arial" w:cs="Arial" w:eastAsia="Arial" w:hAnsi="Arial"/>
          <w:sz w:val="17"/>
          <w:szCs w:val="17"/>
          <w:color w:val="auto"/>
        </w:rPr>
      </w:pPr>
    </w:p>
    <w:p>
      <w:pPr>
        <w:ind w:left="420" w:firstLine="428"/>
        <w:spacing w:after="0" w:line="290" w:lineRule="auto"/>
        <w:tabs>
          <w:tab w:leader="none" w:pos="1098" w:val="left"/>
        </w:tabs>
        <w:numPr>
          <w:ilvl w:val="1"/>
          <w:numId w:val="47"/>
        </w:numPr>
        <w:rPr>
          <w:rFonts w:ascii="Arial" w:cs="Arial" w:eastAsia="Arial" w:hAnsi="Arial"/>
          <w:sz w:val="16"/>
          <w:szCs w:val="16"/>
          <w:color w:val="auto"/>
        </w:rPr>
      </w:pPr>
      <w:r>
        <w:rPr>
          <w:rFonts w:ascii="Arial" w:cs="Arial" w:eastAsia="Arial" w:hAnsi="Arial"/>
          <w:sz w:val="16"/>
          <w:szCs w:val="16"/>
          <w:color w:val="auto"/>
        </w:rPr>
        <w:t>No stop order suspending the effectiveness of the Registration Statement shall be in effect, and no proceedings for such purpose shall be pending before or threatened by the Commission, and there shall not have occurred any change, or any development involving a prospective change, in the condition, financial or otherwise, or in the earnings, business or operations of the Company and its consolidated subsidiaries, taken as a whole, from that set forth in the Disclosure Package, that, in the judgment of the Managers, is material and adverse and that makes it, in the judgment of the Managers, impracticable to market the Offered Securities on the terms and in the manner contemplated in the Disclosure Package; and the Managers shall have received, on the Closing Date, a certificate, dated the Closing Date and signed by an executive officer of the Company, to the foregoing effect. Such certificate shall also provide that the representations and warranties of the Company contained herein are true and correct as of the Closing Date. The officer making such certificate may rely upon the best of her knowledge as to proceedings threatened.</w:t>
      </w:r>
    </w:p>
    <w:p>
      <w:pPr>
        <w:spacing w:after="0" w:line="58" w:lineRule="exact"/>
        <w:rPr>
          <w:rFonts w:ascii="Arial" w:cs="Arial" w:eastAsia="Arial" w:hAnsi="Arial"/>
          <w:sz w:val="16"/>
          <w:szCs w:val="16"/>
          <w:color w:val="auto"/>
        </w:rPr>
      </w:pPr>
    </w:p>
    <w:p>
      <w:pPr>
        <w:ind w:left="420" w:right="140" w:firstLine="428"/>
        <w:spacing w:after="0" w:line="264" w:lineRule="auto"/>
        <w:tabs>
          <w:tab w:leader="none" w:pos="1088"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Managers shall have received on the Closing Date an opinion of Elizabeth Wideman, Esquire, Vice President, Senior Deputy General Counsel and Assistant Secretary of the Company (or another lawyer of the Company reasonably satisfactory to the Underwriters), dated the Closing Date, to the effect (as applicable) that:</w:t>
      </w:r>
    </w:p>
    <w:p>
      <w:pPr>
        <w:spacing w:after="0" w:line="73" w:lineRule="exact"/>
        <w:rPr>
          <w:rFonts w:ascii="Arial" w:cs="Arial" w:eastAsia="Arial" w:hAnsi="Arial"/>
          <w:sz w:val="18"/>
          <w:szCs w:val="18"/>
          <w:color w:val="auto"/>
        </w:rPr>
      </w:pPr>
    </w:p>
    <w:p>
      <w:pPr>
        <w:ind w:left="980" w:right="20" w:firstLine="397"/>
        <w:spacing w:after="0" w:line="259" w:lineRule="auto"/>
        <w:tabs>
          <w:tab w:leader="none" w:pos="1596" w:val="left"/>
        </w:tabs>
        <w:numPr>
          <w:ilvl w:val="2"/>
          <w:numId w:val="47"/>
        </w:numPr>
        <w:rPr>
          <w:rFonts w:ascii="Arial" w:cs="Arial" w:eastAsia="Arial" w:hAnsi="Arial"/>
          <w:sz w:val="18"/>
          <w:szCs w:val="18"/>
          <w:color w:val="auto"/>
        </w:rPr>
      </w:pPr>
      <w:r>
        <w:rPr>
          <w:rFonts w:ascii="Arial" w:cs="Arial" w:eastAsia="Arial" w:hAnsi="Arial"/>
          <w:sz w:val="18"/>
          <w:szCs w:val="18"/>
          <w:color w:val="auto"/>
        </w:rPr>
        <w:t>the Company is validly existing as a corporation subsisting under the laws of the Commonwealth of Pennsylvania and is duly qualified to transact business and is in good standing in each jurisdiction in which the conduct of its business or its ownership or leasing of property requires such qualification (except where the failure to so qualify would not have a material adverse effect upon the business or financial condition of the Company and its subsidiaries, as a whole);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60" w:top="274" w:right="459" w:bottom="1440" w:gutter="0" w:footer="0" w:header="0"/>
        </w:sectPr>
      </w:pPr>
    </w:p>
    <w:bookmarkStart w:id="49" w:name="page50"/>
    <w:bookmarkEnd w:id="49"/>
    <w:p>
      <w:pPr>
        <w:ind w:right="420" w:firstLine="397"/>
        <w:spacing w:after="0" w:line="277" w:lineRule="auto"/>
        <w:tabs>
          <w:tab w:leader="none" w:pos="666" w:val="left"/>
        </w:tabs>
        <w:numPr>
          <w:ilvl w:val="0"/>
          <w:numId w:val="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indenture under which the Offered Securities are to be issued, has been duly authorized, executed and delivered by the Company;</w:t>
      </w:r>
    </w:p>
    <w:p>
      <w:pPr>
        <w:spacing w:after="0" w:line="62" w:lineRule="exact"/>
        <w:rPr>
          <w:rFonts w:ascii="Arial" w:cs="Arial" w:eastAsia="Arial" w:hAnsi="Arial"/>
          <w:sz w:val="18"/>
          <w:szCs w:val="18"/>
          <w:color w:val="auto"/>
        </w:rPr>
      </w:pPr>
    </w:p>
    <w:p>
      <w:pPr>
        <w:ind w:left="720" w:hanging="323"/>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117" w:lineRule="exact"/>
        <w:rPr>
          <w:rFonts w:ascii="Arial" w:cs="Arial" w:eastAsia="Arial" w:hAnsi="Arial"/>
          <w:sz w:val="18"/>
          <w:szCs w:val="18"/>
          <w:color w:val="auto"/>
        </w:rPr>
      </w:pPr>
    </w:p>
    <w:p>
      <w:pPr>
        <w:ind w:right="20" w:firstLine="397"/>
        <w:spacing w:after="0" w:line="259" w:lineRule="auto"/>
        <w:tabs>
          <w:tab w:leader="none" w:pos="706"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of the issued shares of capital stock or membership interests, as applicable, of each Guarantor have been duly and validly authorized and issued, are fully paid and non-assessable (with respect to such shares of capital stock), and (except for directors’ qualifying shares and except as otherwise set forth in the Disclosure Package) are owned directly or indirectly by the Company, free and clear of all liens, encumbrances, equities or claims;</w:t>
      </w:r>
    </w:p>
    <w:p>
      <w:pPr>
        <w:spacing w:after="0" w:line="78" w:lineRule="exact"/>
        <w:rPr>
          <w:rFonts w:ascii="Arial" w:cs="Arial" w:eastAsia="Arial" w:hAnsi="Arial"/>
          <w:sz w:val="18"/>
          <w:szCs w:val="18"/>
          <w:color w:val="auto"/>
        </w:rPr>
      </w:pPr>
    </w:p>
    <w:p>
      <w:pPr>
        <w:ind w:right="140" w:firstLine="397"/>
        <w:spacing w:after="0" w:line="277" w:lineRule="auto"/>
        <w:tabs>
          <w:tab w:leader="none" w:pos="656"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 has an authorized capitalization as set forth in the Disclosure Package, and all of the issued shares of capital stock of the Company have been duly and validly authorized and issued and are fully paid and non-assessable;</w:t>
      </w:r>
    </w:p>
    <w:p>
      <w:pPr>
        <w:spacing w:after="0" w:line="62" w:lineRule="exact"/>
        <w:rPr>
          <w:rFonts w:ascii="Arial" w:cs="Arial" w:eastAsia="Arial" w:hAnsi="Arial"/>
          <w:sz w:val="18"/>
          <w:szCs w:val="18"/>
          <w:color w:val="auto"/>
        </w:rPr>
      </w:pPr>
    </w:p>
    <w:p>
      <w:pPr>
        <w:ind w:left="700" w:hanging="303"/>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Offered Securities to be offered by the Company have been duly authorized by the Company;</w:t>
      </w:r>
    </w:p>
    <w:p>
      <w:pPr>
        <w:spacing w:after="0" w:line="117" w:lineRule="exact"/>
        <w:rPr>
          <w:rFonts w:ascii="Arial" w:cs="Arial" w:eastAsia="Arial" w:hAnsi="Arial"/>
          <w:sz w:val="18"/>
          <w:szCs w:val="18"/>
          <w:color w:val="auto"/>
        </w:rPr>
      </w:pPr>
    </w:p>
    <w:p>
      <w:pPr>
        <w:ind w:firstLine="397"/>
        <w:spacing w:after="0" w:line="270" w:lineRule="auto"/>
        <w:tabs>
          <w:tab w:leader="none" w:pos="756" w:val="left"/>
        </w:tabs>
        <w:numPr>
          <w:ilvl w:val="0"/>
          <w:numId w:val="48"/>
        </w:numPr>
        <w:rPr>
          <w:rFonts w:ascii="Arial" w:cs="Arial" w:eastAsia="Arial" w:hAnsi="Arial"/>
          <w:sz w:val="17"/>
          <w:szCs w:val="17"/>
          <w:color w:val="auto"/>
        </w:rPr>
      </w:pPr>
      <w:r>
        <w:rPr>
          <w:rFonts w:ascii="Arial" w:cs="Arial" w:eastAsia="Arial" w:hAnsi="Arial"/>
          <w:sz w:val="17"/>
          <w:szCs w:val="17"/>
          <w:color w:val="auto"/>
        </w:rPr>
        <w:t>except as rights to indemnity and contribution under this Agreement may be limited under applicable law, the execution and delivery by each Issuer of, and the performance by each Issuer of its obligations under, each indenture under which the Offered Securities are to be issued, the Offered Securities and this Agreement will not contravene (A) any provision of the laws of the Commonwealth of Pennsylvania or any federal law of the United States of America that in such counsel’s experience is normally applicable to general business corporations in relation to transactions of the type contemplated by each indenture under which the Offered Securities are to be issued, the Offered Securities and this Agreement (except with respect to federal, state or foreign securities laws or to laws relating specifically to the cable communications industry, as to which such counsel is not called upon to express any opinion), (B) the articles of incorporation or bylaws or equivalent organizational documents of any Issuer, or (C) to the best of such counsel’s knowledge, any material agreement or other material instrument binding upon such Issuer;</w:t>
      </w:r>
    </w:p>
    <w:p>
      <w:pPr>
        <w:spacing w:after="0" w:line="73" w:lineRule="exact"/>
        <w:rPr>
          <w:rFonts w:ascii="Arial" w:cs="Arial" w:eastAsia="Arial" w:hAnsi="Arial"/>
          <w:sz w:val="17"/>
          <w:szCs w:val="17"/>
          <w:color w:val="auto"/>
        </w:rPr>
      </w:pPr>
    </w:p>
    <w:p>
      <w:pPr>
        <w:ind w:right="60" w:firstLine="397"/>
        <w:spacing w:after="0" w:line="259" w:lineRule="auto"/>
        <w:tabs>
          <w:tab w:leader="none" w:pos="806"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 consent, approval, authorization, or order of, or qualification with any state governmental body or agency under the laws of the Commonwealth of Pennsylvania, any federal law of the United States of America, or to the best of such counsel’s knowledge, any other state or jurisdiction of the United States, that in such counsel’s experience is normally applicable to general business corporations in relation to transactions of the type contemplated by each indenture</w:t>
      </w:r>
    </w:p>
    <w:p>
      <w:pPr>
        <w:spacing w:after="0" w:line="11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9980"/>
          </w:cols>
          <w:pgMar w:left="1440" w:top="274" w:right="479" w:bottom="1440" w:gutter="0" w:footer="0" w:header="0"/>
        </w:sectPr>
      </w:pPr>
    </w:p>
    <w:bookmarkStart w:id="50" w:name="page51"/>
    <w:bookmarkEnd w:id="50"/>
    <w:p>
      <w:pPr>
        <w:ind w:left="996" w:right="4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 which the Offered Securities are to be issued, the Offered Securities and this Agreement is required for the performance by any Issuer of its obligations under each indenture under which the Offered Securities are to be issued, the Offered Securities and this Agreement (except such as may be required under federal, state or foreign securities or Blue Sky laws and with respect to consents, approvals and authorizations relating specifically to the cable communications industry as to which such counsel is not called upon to express any opinion);</w:t>
      </w:r>
    </w:p>
    <w:p>
      <w:pPr>
        <w:spacing w:after="0" w:line="80" w:lineRule="exact"/>
        <w:rPr>
          <w:sz w:val="20"/>
          <w:szCs w:val="20"/>
          <w:color w:val="auto"/>
        </w:rPr>
      </w:pPr>
    </w:p>
    <w:p>
      <w:pPr>
        <w:ind w:left="996" w:right="120" w:firstLine="397"/>
        <w:spacing w:after="0" w:line="291" w:lineRule="auto"/>
        <w:tabs>
          <w:tab w:leader="none" w:pos="1702" w:val="left"/>
        </w:tabs>
        <w:numPr>
          <w:ilvl w:val="1"/>
          <w:numId w:val="49"/>
        </w:numPr>
        <w:rPr>
          <w:rFonts w:ascii="Arial" w:cs="Arial" w:eastAsia="Arial" w:hAnsi="Arial"/>
          <w:sz w:val="16"/>
          <w:szCs w:val="16"/>
          <w:color w:val="auto"/>
        </w:rPr>
      </w:pPr>
      <w:r>
        <w:rPr>
          <w:rFonts w:ascii="Arial" w:cs="Arial" w:eastAsia="Arial" w:hAnsi="Arial"/>
          <w:sz w:val="16"/>
          <w:szCs w:val="16"/>
          <w:color w:val="auto"/>
        </w:rPr>
        <w:t>subject to such qualification as may be set forth in the Disclosure Package, the Company and its subsidiaries have, and are in material compliance with, such franchises, and to the best knowledge of such counsel after reasonable investigation, such licenses and authorizations, as are necessary to own their properties and to conduct their business in the manner described in the Disclosure Package, except where the failure to have, or comply with, such franchises, licenses and authorizations would not have a material adverse effect on the business or financial condition of the Company and its subsidiaries, as a whole, and such franchises, licenses and authorizations contain no materially burdensome restrictions not adequately described in the Disclosure Package, which restrictions would have a material adverse effect on the business or financial condition of the Company and its subsidiaries, as a whole;</w:t>
      </w:r>
    </w:p>
    <w:p>
      <w:pPr>
        <w:spacing w:after="0" w:line="59" w:lineRule="exact"/>
        <w:rPr>
          <w:rFonts w:ascii="Arial" w:cs="Arial" w:eastAsia="Arial" w:hAnsi="Arial"/>
          <w:sz w:val="16"/>
          <w:szCs w:val="16"/>
          <w:color w:val="auto"/>
        </w:rPr>
      </w:pPr>
    </w:p>
    <w:p>
      <w:pPr>
        <w:ind w:left="996" w:firstLine="397"/>
        <w:spacing w:after="0" w:line="288" w:lineRule="auto"/>
        <w:tabs>
          <w:tab w:leader="none" w:pos="1652" w:val="left"/>
        </w:tabs>
        <w:numPr>
          <w:ilvl w:val="1"/>
          <w:numId w:val="49"/>
        </w:numPr>
        <w:rPr>
          <w:rFonts w:ascii="Arial" w:cs="Arial" w:eastAsia="Arial" w:hAnsi="Arial"/>
          <w:sz w:val="16"/>
          <w:szCs w:val="16"/>
          <w:color w:val="auto"/>
        </w:rPr>
      </w:pPr>
      <w:r>
        <w:rPr>
          <w:rFonts w:ascii="Arial" w:cs="Arial" w:eastAsia="Arial" w:hAnsi="Arial"/>
          <w:sz w:val="16"/>
          <w:szCs w:val="16"/>
          <w:color w:val="auto"/>
        </w:rPr>
        <w:t>the statements included in (A) Item 3 of the Company’s and NBCUniversal Media, LLC’s most recent Annual Report on Form 10-K incorporated by reference in the Disclosure Package, (B) Part II, Item 1 under the caption “Legal Proceedings” of the Company’s and NBCUniversal Media, LLC’s most recent Quarterly Report on Form 10-Q, if any, incorporated by reference in the Disclosure Package,</w:t>
      </w:r>
    </w:p>
    <w:p>
      <w:pPr>
        <w:ind w:left="996" w:right="300" w:hanging="4"/>
        <w:spacing w:after="0" w:line="255" w:lineRule="auto"/>
        <w:tabs>
          <w:tab w:leader="none" w:pos="1281"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Registration Statement in Item 15 and (D) the Disclosure Package under the caption “Description of Capital Stock,”</w:t>
      </w:r>
      <w:r>
        <w:rPr>
          <w:rFonts w:ascii="Arial" w:cs="Arial" w:eastAsia="Arial" w:hAnsi="Arial"/>
          <w:sz w:val="15"/>
          <w:szCs w:val="15"/>
          <w:color w:val="auto"/>
        </w:rPr>
        <w:t>1</w:t>
      </w:r>
      <w:r>
        <w:rPr>
          <w:rFonts w:ascii="Arial" w:cs="Arial" w:eastAsia="Arial" w:hAnsi="Arial"/>
          <w:sz w:val="18"/>
          <w:szCs w:val="18"/>
          <w:color w:val="auto"/>
        </w:rPr>
        <w:t xml:space="preserve"> insofar as such statements summarize the legal matters, documents or proceedings referred to therein, fairly summarize such legal matters, documents and proceedings in all material respects;</w:t>
      </w:r>
    </w:p>
    <w:p>
      <w:pPr>
        <w:spacing w:after="0" w:line="82" w:lineRule="exact"/>
        <w:rPr>
          <w:rFonts w:ascii="Arial" w:cs="Arial" w:eastAsia="Arial" w:hAnsi="Arial"/>
          <w:sz w:val="18"/>
          <w:szCs w:val="18"/>
          <w:color w:val="auto"/>
        </w:rPr>
      </w:pPr>
    </w:p>
    <w:p>
      <w:pPr>
        <w:ind w:left="996" w:right="120" w:firstLine="397"/>
        <w:spacing w:after="0" w:line="257" w:lineRule="auto"/>
        <w:tabs>
          <w:tab w:leader="none" w:pos="1702" w:val="left"/>
        </w:tabs>
        <w:numPr>
          <w:ilvl w:val="1"/>
          <w:numId w:val="50"/>
        </w:numPr>
        <w:rPr>
          <w:rFonts w:ascii="Arial" w:cs="Arial" w:eastAsia="Arial" w:hAnsi="Arial"/>
          <w:sz w:val="18"/>
          <w:szCs w:val="18"/>
          <w:color w:val="auto"/>
        </w:rPr>
      </w:pPr>
      <w:r>
        <w:rPr>
          <w:rFonts w:ascii="Arial" w:cs="Arial" w:eastAsia="Arial" w:hAnsi="Arial"/>
          <w:sz w:val="18"/>
          <w:szCs w:val="18"/>
          <w:color w:val="auto"/>
        </w:rPr>
        <w:t>such counsel does not know of any legal or governmental proceeding pending or threatened to which the Company or any of its subsidiaries is a party or to which any of the properties of the Company or any of its subsidiaries is subject which is required to be described in the Registration Statement or the Disclosure Package and is not so described or of any contract or other document which is required to be described in the Registration Statement or the Disclosure Package or to be filed as an exhibit to the Registration Statement which is not described or filed as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7632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4">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41" w:lineRule="exact"/>
        <w:rPr>
          <w:sz w:val="20"/>
          <w:szCs w:val="20"/>
          <w:color w:val="auto"/>
        </w:rPr>
      </w:pPr>
    </w:p>
    <w:p>
      <w:pPr>
        <w:ind w:left="5456" w:right="4640" w:hanging="5456"/>
        <w:spacing w:after="0" w:line="490" w:lineRule="auto"/>
        <w:tabs>
          <w:tab w:leader="none" w:pos="207" w:val="left"/>
        </w:tabs>
        <w:numPr>
          <w:ilvl w:val="0"/>
          <w:numId w:val="51"/>
        </w:numPr>
        <w:rPr>
          <w:rFonts w:ascii="Arial" w:cs="Arial" w:eastAsia="Arial" w:hAnsi="Arial"/>
          <w:sz w:val="14"/>
          <w:szCs w:val="14"/>
          <w:color w:val="auto"/>
        </w:rPr>
      </w:pPr>
      <w:r>
        <w:rPr>
          <w:rFonts w:ascii="Arial" w:cs="Arial" w:eastAsia="Arial" w:hAnsi="Arial"/>
          <w:sz w:val="17"/>
          <w:szCs w:val="17"/>
          <w:color w:val="auto"/>
        </w:rPr>
        <w:t>The inclusion of Section 4(c)(x)(D) is only required for issuances of convertible debt. 6</w:t>
      </w:r>
    </w:p>
    <w:p>
      <w:pPr>
        <w:sectPr>
          <w:pgSz w:w="11900" w:h="16838" w:orient="portrait"/>
          <w:cols w:equalWidth="0" w:num="1">
            <w:col w:w="11016"/>
          </w:cols>
          <w:pgMar w:left="444" w:top="274" w:right="439" w:bottom="1440" w:gutter="0" w:footer="0" w:header="0"/>
        </w:sectPr>
      </w:pPr>
    </w:p>
    <w:bookmarkStart w:id="51" w:name="page52"/>
    <w:bookmarkEnd w:id="51"/>
    <w:p>
      <w:pPr>
        <w:ind w:left="1000" w:right="200" w:firstLine="397"/>
        <w:spacing w:after="0" w:line="277" w:lineRule="auto"/>
        <w:tabs>
          <w:tab w:leader="none" w:pos="1756" w:val="left"/>
        </w:tabs>
        <w:numPr>
          <w:ilvl w:val="0"/>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securities into which the Offered Securities are convertible, initially reserved for issuance upon conversion of the Offered Securities (the “</w:t>
      </w:r>
      <w:r>
        <w:rPr>
          <w:rFonts w:ascii="Arial" w:cs="Arial" w:eastAsia="Arial" w:hAnsi="Arial"/>
          <w:sz w:val="18"/>
          <w:szCs w:val="18"/>
          <w:b w:val="1"/>
          <w:bCs w:val="1"/>
          <w:color w:val="auto"/>
        </w:rPr>
        <w:t>Underlying Securities</w:t>
      </w:r>
      <w:r>
        <w:rPr>
          <w:rFonts w:ascii="Arial" w:cs="Arial" w:eastAsia="Arial" w:hAnsi="Arial"/>
          <w:sz w:val="18"/>
          <w:szCs w:val="18"/>
          <w:color w:val="auto"/>
        </w:rPr>
        <w:t>”), have been duly authorized and reserved for issuance; and</w:t>
      </w:r>
    </w:p>
    <w:p>
      <w:pPr>
        <w:spacing w:after="0" w:line="62" w:lineRule="exact"/>
        <w:rPr>
          <w:rFonts w:ascii="Arial" w:cs="Arial" w:eastAsia="Arial" w:hAnsi="Arial"/>
          <w:sz w:val="18"/>
          <w:szCs w:val="18"/>
          <w:color w:val="auto"/>
        </w:rPr>
      </w:pPr>
    </w:p>
    <w:p>
      <w:pPr>
        <w:ind w:left="1000" w:right="500" w:firstLine="397"/>
        <w:spacing w:after="0" w:line="264" w:lineRule="auto"/>
        <w:tabs>
          <w:tab w:leader="none" w:pos="1806" w:val="left"/>
        </w:tabs>
        <w:numPr>
          <w:ilvl w:val="0"/>
          <w:numId w:val="52"/>
        </w:numPr>
        <w:rPr>
          <w:rFonts w:ascii="Arial" w:cs="Arial" w:eastAsia="Arial" w:hAnsi="Arial"/>
          <w:sz w:val="18"/>
          <w:szCs w:val="18"/>
          <w:color w:val="auto"/>
        </w:rPr>
      </w:pPr>
      <w:r>
        <w:rPr>
          <w:rFonts w:ascii="Arial" w:cs="Arial" w:eastAsia="Arial" w:hAnsi="Arial"/>
          <w:sz w:val="18"/>
          <w:szCs w:val="18"/>
          <w:color w:val="auto"/>
        </w:rPr>
        <w:t>when the Underlying Securities are issued upon conversion of the Offered Securities in accordance with the terms of the Offered Securities, such Underlying Securities will be validly issued, fully paid and non-assessable and will not be subject to any preemptive or other right to subscribe for or purchase such Underlying Securities.</w:t>
      </w:r>
    </w:p>
    <w:p>
      <w:pPr>
        <w:spacing w:after="0" w:line="181" w:lineRule="exact"/>
        <w:rPr>
          <w:sz w:val="20"/>
          <w:szCs w:val="20"/>
          <w:color w:val="auto"/>
        </w:rPr>
      </w:pPr>
    </w:p>
    <w:p>
      <w:pPr>
        <w:ind w:right="80" w:firstLine="441"/>
        <w:spacing w:after="0" w:line="255" w:lineRule="auto"/>
        <w:rPr>
          <w:sz w:val="20"/>
          <w:szCs w:val="20"/>
          <w:color w:val="auto"/>
        </w:rPr>
      </w:pPr>
      <w:r>
        <w:rPr>
          <w:rFonts w:ascii="Arial" w:cs="Arial" w:eastAsia="Arial" w:hAnsi="Arial"/>
          <w:sz w:val="18"/>
          <w:szCs w:val="18"/>
          <w:color w:val="auto"/>
        </w:rPr>
        <w:t>Such counsel shall also state that nothing has come to her attention that causes her to believe that (1) on the date of this Agreement, the Registration Statement contained any untrue statement of a material fact or omitted to state a material fact required to be stated therein or necessary to make the statements therein not misleading; (2) at the Applicable Time, the Disclosure Package contained any untrue statement of a material fact or omitted to state a material fact necessary in order to make the statements therein, in the light of the circumstances under which they are made, not misleading; or (3) that the Prospectus as of the date of this Agreement or as of the Closing Date contained or contains an untrue statement of a material fact or omitted or omits to state a material fact necessary in order to make statements therein, in the light of the circumstances under which they are made, not misleading.</w:t>
      </w:r>
    </w:p>
    <w:p>
      <w:pPr>
        <w:spacing w:after="0" w:line="189"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With respect to the preceding paragraph, such counsel may state that her belief is based upon her participation in the preparation of the Registration Statement, Disclosure Package, Prospectus and the documents incorporated therein by reference and review and discussion of the contents thereof, but is without independent check or verification except as specified. Such counsel need not pass upon or assume responsibility for the accuracy, completeness or fairness of the statements contained in, and need not have checked the accuracy, completeness or fairness of, or otherwise verified, the information furnished in Registration Statement, Disclosure Package, and the Prospectus, except as specified. Such counsel is not called to pass upon, and need express no view regarding, the financial statements or financial schedules or other financial or accounting data included in the Registration Statement, the Disclosure Package, the Prospectus or the Statement of Eligibility of the Trustee on Form T-1. In addition, such counsel need not express a view as to the conveyance of the Disclosure Package or the information contained therein to the purchasers of the Offered Securities.</w:t>
      </w:r>
    </w:p>
    <w:p>
      <w:pPr>
        <w:spacing w:after="0" w:line="166" w:lineRule="exact"/>
        <w:rPr>
          <w:sz w:val="20"/>
          <w:szCs w:val="20"/>
          <w:color w:val="auto"/>
        </w:rPr>
      </w:pPr>
    </w:p>
    <w:p>
      <w:pPr>
        <w:jc w:val="both"/>
        <w:ind w:right="260" w:firstLine="441"/>
        <w:spacing w:after="0" w:line="286" w:lineRule="auto"/>
        <w:rPr>
          <w:sz w:val="20"/>
          <w:szCs w:val="20"/>
          <w:color w:val="auto"/>
        </w:rPr>
      </w:pPr>
      <w:r>
        <w:rPr>
          <w:rFonts w:ascii="Arial" w:cs="Arial" w:eastAsia="Arial" w:hAnsi="Arial"/>
          <w:sz w:val="17"/>
          <w:szCs w:val="17"/>
          <w:color w:val="auto"/>
        </w:rPr>
        <w:t>In expressing her opinion as to questions of the law of jurisdictions other than the Commonwealth of Pennsylvania and the United States, such counsel may rely to the extent reasonable on such counsel as may be reasonably acceptable to counsel to the Underwriters. In addition, such counsel may reasonably rely as to questions of fact on certificates of responsible officers of the Company.</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440" w:top="274" w:right="499" w:bottom="1440" w:gutter="0" w:footer="0" w:header="0"/>
        </w:sectPr>
      </w:pPr>
    </w:p>
    <w:bookmarkStart w:id="52" w:name="page53"/>
    <w:bookmarkEnd w:id="52"/>
    <w:p>
      <w:pPr>
        <w:ind w:right="360" w:firstLine="428"/>
        <w:spacing w:after="0" w:line="277" w:lineRule="auto"/>
        <w:tabs>
          <w:tab w:leader="none" w:pos="678" w:val="left"/>
        </w:tabs>
        <w:numPr>
          <w:ilvl w:val="0"/>
          <w:numId w:val="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Managers shall have received on the Closing Date an opinion of Davis Polk &amp; Wardwell LLP, special counsel for the Company, dated the Closing Date, to the effect that:</w:t>
      </w:r>
    </w:p>
    <w:p>
      <w:pPr>
        <w:spacing w:after="0" w:line="62" w:lineRule="exact"/>
        <w:rPr>
          <w:rFonts w:ascii="Arial" w:cs="Arial" w:eastAsia="Arial" w:hAnsi="Arial"/>
          <w:sz w:val="18"/>
          <w:szCs w:val="18"/>
          <w:color w:val="auto"/>
        </w:rPr>
      </w:pPr>
    </w:p>
    <w:p>
      <w:pPr>
        <w:ind w:left="1180" w:hanging="223"/>
        <w:spacing w:after="0"/>
        <w:tabs>
          <w:tab w:leader="none" w:pos="1180" w:val="left"/>
        </w:tabs>
        <w:numPr>
          <w:ilvl w:val="1"/>
          <w:numId w:val="53"/>
        </w:numPr>
        <w:rPr>
          <w:rFonts w:ascii="Arial" w:cs="Arial" w:eastAsia="Arial" w:hAnsi="Arial"/>
          <w:sz w:val="17"/>
          <w:szCs w:val="17"/>
          <w:color w:val="auto"/>
        </w:rPr>
      </w:pPr>
      <w:r>
        <w:rPr>
          <w:rFonts w:ascii="Arial" w:cs="Arial" w:eastAsia="Arial" w:hAnsi="Arial"/>
          <w:sz w:val="17"/>
          <w:szCs w:val="17"/>
          <w:color w:val="auto"/>
        </w:rPr>
        <w:t>each Guarantor is validly existing as a limited liability company in good standing under the laws of the State of Delaware;</w:t>
      </w:r>
    </w:p>
    <w:p>
      <w:pPr>
        <w:spacing w:after="0" w:line="128" w:lineRule="exact"/>
        <w:rPr>
          <w:rFonts w:ascii="Arial" w:cs="Arial" w:eastAsia="Arial" w:hAnsi="Arial"/>
          <w:sz w:val="17"/>
          <w:szCs w:val="17"/>
          <w:color w:val="auto"/>
        </w:rPr>
      </w:pPr>
    </w:p>
    <w:p>
      <w:pPr>
        <w:ind w:left="560" w:right="40" w:firstLine="397"/>
        <w:spacing w:after="0" w:line="270" w:lineRule="auto"/>
        <w:tabs>
          <w:tab w:leader="none" w:pos="1226" w:val="left"/>
        </w:tabs>
        <w:numPr>
          <w:ilvl w:val="1"/>
          <w:numId w:val="53"/>
        </w:numPr>
        <w:rPr>
          <w:rFonts w:ascii="Arial" w:cs="Arial" w:eastAsia="Arial" w:hAnsi="Arial"/>
          <w:sz w:val="17"/>
          <w:szCs w:val="17"/>
          <w:color w:val="auto"/>
        </w:rPr>
      </w:pPr>
      <w:r>
        <w:rPr>
          <w:rFonts w:ascii="Arial" w:cs="Arial" w:eastAsia="Arial" w:hAnsi="Arial"/>
          <w:sz w:val="17"/>
          <w:szCs w:val="17"/>
          <w:color w:val="auto"/>
        </w:rPr>
        <w:t>each indenture under which the Offered Securities are to be issued has been duly authorized, executed and delivered by each Guarantor and, assuming each indenture under which the Offered Securities are to be issued has been duly authorized, executed and delivered by the Company and duly executed and delivered by the respective trustee thereto, each indenture under which the Offered Securities are to be issued is a valid and binding agreement of each Issuer, enforceable against each Issuer in accordance with its terms, subject to applicable bankruptcy, insolvency and similar laws affecting creditors’ rights generally, concepts of reasonableness and equitable principles of general applicability (except with respect to the (A) enforceability of any waiver of rights under any usury or stay law, and (B) validity, legally binding effect or enforceability of any provision that permits holders to collect any portion of stated principal amount upon acceleration of the Offered Securities to the extent determined to constitute unearned interest, as to which such counsel is not called upon to express any opinion);</w:t>
      </w:r>
    </w:p>
    <w:p>
      <w:pPr>
        <w:spacing w:after="0" w:line="73" w:lineRule="exact"/>
        <w:rPr>
          <w:rFonts w:ascii="Arial" w:cs="Arial" w:eastAsia="Arial" w:hAnsi="Arial"/>
          <w:sz w:val="17"/>
          <w:szCs w:val="17"/>
          <w:color w:val="auto"/>
        </w:rPr>
      </w:pPr>
    </w:p>
    <w:p>
      <w:pPr>
        <w:ind w:left="560" w:firstLine="397"/>
        <w:spacing w:after="0" w:line="270" w:lineRule="auto"/>
        <w:tabs>
          <w:tab w:leader="none" w:pos="1276" w:val="left"/>
        </w:tabs>
        <w:numPr>
          <w:ilvl w:val="1"/>
          <w:numId w:val="53"/>
        </w:numPr>
        <w:rPr>
          <w:rFonts w:ascii="Arial" w:cs="Arial" w:eastAsia="Arial" w:hAnsi="Arial"/>
          <w:sz w:val="17"/>
          <w:szCs w:val="17"/>
          <w:color w:val="auto"/>
        </w:rPr>
      </w:pPr>
      <w:r>
        <w:rPr>
          <w:rFonts w:ascii="Arial" w:cs="Arial" w:eastAsia="Arial" w:hAnsi="Arial"/>
          <w:sz w:val="17"/>
          <w:szCs w:val="17"/>
          <w:color w:val="auto"/>
        </w:rPr>
        <w:t>the Guarantees have been duly authorized, and, assuming the Offered Securities have been authorized by the Company, when the Offered Securities have been duly executed and authenticated in accordance with the provisions of each relevant indenture under which the Offered Securities are to be issued and delivered to and paid for by the Underwriters pursuant to this Agreement, the Offered Securities will be valid and binding obligations of the Company and the Guarantees will be valid and binding obligations of the Guarantors, enforceable against them in accordance with their terms, subject to applicable bankruptcy, insolvency and similar laws affecting creditors’ rights generally, concepts of reasonableness and equitable principles of general applicability; and will be entitled to the benefits of each relevant indenture under which the Offered Securities are to be issued (except with respect to the (A) enforceability of any waiver of rights under any usury or stay law, and (B) validity, legally binding effect or enforceability of any provision that permits holders to collect any portion of stated principal amount upon acceleration of the Offered Securities to the extent determined to constitute unearned interest, as to which such counsel is not called upon to express any opinion);</w:t>
      </w:r>
    </w:p>
    <w:p>
      <w:pPr>
        <w:spacing w:after="0" w:line="69" w:lineRule="exact"/>
        <w:rPr>
          <w:rFonts w:ascii="Arial" w:cs="Arial" w:eastAsia="Arial" w:hAnsi="Arial"/>
          <w:sz w:val="17"/>
          <w:szCs w:val="17"/>
          <w:color w:val="auto"/>
        </w:rPr>
      </w:pPr>
    </w:p>
    <w:p>
      <w:pPr>
        <w:ind w:left="1260" w:hanging="303"/>
        <w:spacing w:after="0"/>
        <w:tabs>
          <w:tab w:leader="none" w:pos="12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each Guarantor party hereto;</w:t>
      </w:r>
    </w:p>
    <w:p>
      <w:pPr>
        <w:spacing w:after="0" w:line="117" w:lineRule="exact"/>
        <w:rPr>
          <w:rFonts w:ascii="Arial" w:cs="Arial" w:eastAsia="Arial" w:hAnsi="Arial"/>
          <w:sz w:val="18"/>
          <w:szCs w:val="18"/>
          <w:color w:val="auto"/>
        </w:rPr>
      </w:pPr>
    </w:p>
    <w:p>
      <w:pPr>
        <w:ind w:left="560" w:right="40" w:firstLine="397"/>
        <w:spacing w:after="0" w:line="259" w:lineRule="auto"/>
        <w:tabs>
          <w:tab w:leader="none" w:pos="1216" w:val="left"/>
        </w:tabs>
        <w:numPr>
          <w:ilvl w:val="1"/>
          <w:numId w:val="53"/>
        </w:numPr>
        <w:rPr>
          <w:rFonts w:ascii="Arial" w:cs="Arial" w:eastAsia="Arial" w:hAnsi="Arial"/>
          <w:sz w:val="18"/>
          <w:szCs w:val="18"/>
          <w:color w:val="auto"/>
        </w:rPr>
      </w:pPr>
      <w:r>
        <w:rPr>
          <w:rFonts w:ascii="Arial" w:cs="Arial" w:eastAsia="Arial" w:hAnsi="Arial"/>
          <w:sz w:val="18"/>
          <w:szCs w:val="18"/>
          <w:color w:val="auto"/>
        </w:rPr>
        <w:t>except as rights to indemnity and contribution under this Agreement may be limited under applicable law, the execution and delivery by each Issuer of, and the performance by each Issuer of its obligations under each indenture under which the Offered Securities are to be issued, the Offered Securities and this Agreement, will not contravene (A) any provision of the statutory laws of the State of New York or any federal law of the United States of America that</w:t>
      </w:r>
    </w:p>
    <w:p>
      <w:pPr>
        <w:spacing w:after="0" w:line="11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80"/>
          </w:cols>
          <w:pgMar w:left="880" w:top="274" w:right="439" w:bottom="1440" w:gutter="0" w:footer="0" w:header="0"/>
        </w:sectPr>
      </w:pPr>
    </w:p>
    <w:bookmarkStart w:id="53" w:name="page54"/>
    <w:bookmarkEnd w:id="53"/>
    <w:p>
      <w:pPr>
        <w:ind w:left="1000"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such counsel’s experience is normally applicable to general business corporations in relation to transactions of the type contemplated by each indenture under which the Offered Securities are to be issued, the Offered Securities and this Agreement (except with respect to federal, state or foreign securities laws or to laws relating specifically to the cable communications industry, as to which such counsel is not called upon to express any opinion), or (B) the certificate of incorporation or bylaws or equivalent organizational documents of any Guarantor; and</w:t>
      </w:r>
    </w:p>
    <w:p>
      <w:pPr>
        <w:spacing w:after="0" w:line="80" w:lineRule="exact"/>
        <w:rPr>
          <w:sz w:val="20"/>
          <w:szCs w:val="20"/>
          <w:color w:val="auto"/>
        </w:rPr>
      </w:pPr>
    </w:p>
    <w:p>
      <w:pPr>
        <w:ind w:left="1000" w:right="200" w:firstLine="397"/>
        <w:spacing w:after="0" w:line="273" w:lineRule="auto"/>
        <w:tabs>
          <w:tab w:leader="none" w:pos="1706" w:val="left"/>
        </w:tabs>
        <w:numPr>
          <w:ilvl w:val="0"/>
          <w:numId w:val="54"/>
        </w:numPr>
        <w:rPr>
          <w:rFonts w:ascii="Arial" w:cs="Arial" w:eastAsia="Arial" w:hAnsi="Arial"/>
          <w:sz w:val="17"/>
          <w:szCs w:val="17"/>
          <w:color w:val="auto"/>
        </w:rPr>
      </w:pPr>
      <w:r>
        <w:rPr>
          <w:rFonts w:ascii="Arial" w:cs="Arial" w:eastAsia="Arial" w:hAnsi="Arial"/>
          <w:sz w:val="17"/>
          <w:szCs w:val="17"/>
          <w:color w:val="auto"/>
        </w:rPr>
        <w:t>no consent, approval, authorization or order of, or qualification with, any governmental body or agency under the laws of the State of New York or any federal law of the United States of America that in such counsel’s experience is normally applicable to general business corporations in relation to transactions of the type contemplated by each indenture under which the Offered Securities are to be issued, the Offered Securities and this Agreement (except such as may be required under federal, state or foreign securities or Blue Sky laws and with respect to consents, approvals and authorizations relating specifically to the cable communications industry, as to which such counsel is not called upon to express any opinion).</w:t>
      </w:r>
    </w:p>
    <w:p>
      <w:pPr>
        <w:spacing w:after="0" w:line="178"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Such counsel shall state that they have considered the statements included in the Prospectus Supplement under the caption “Description of the Notes” and in the Base Prospectus under the caption “Description of Debt Securities and Guarantees” insofar as they summarize provisions of each indenture under which the Offered Securities are to be issued and, the Offered Securities and that in their opinion such statements fairly summarize these provisions in all material respects. Such counsel shall also state that the statements included in the Prospectus Supplement under the caption “Material U.S. Federal Income Tax Consequences for Non-U.S. Holders” insofar as they purport to describe provisions of U.S. federal income tax laws or legal conclusions with respect thereto, fairly and accurately summarize the matters referred to therein in all material respects.</w:t>
      </w:r>
    </w:p>
    <w:p>
      <w:pPr>
        <w:spacing w:after="0" w:line="165" w:lineRule="exact"/>
        <w:rPr>
          <w:sz w:val="20"/>
          <w:szCs w:val="20"/>
          <w:color w:val="auto"/>
        </w:rPr>
      </w:pPr>
    </w:p>
    <w:p>
      <w:pPr>
        <w:ind w:right="40" w:firstLine="441"/>
        <w:spacing w:after="0" w:line="270" w:lineRule="auto"/>
        <w:rPr>
          <w:sz w:val="20"/>
          <w:szCs w:val="20"/>
          <w:color w:val="auto"/>
        </w:rPr>
      </w:pPr>
      <w:r>
        <w:rPr>
          <w:rFonts w:ascii="Arial" w:cs="Arial" w:eastAsia="Arial" w:hAnsi="Arial"/>
          <w:sz w:val="17"/>
          <w:szCs w:val="17"/>
          <w:color w:val="auto"/>
        </w:rPr>
        <w:t>Such counsel shall also state that (a) the Registration Statement and the Prospectus appear on their face to be appropriately responsive in all material respects to the requirements of the Securities Act and the applicable rules and regulations of the Commission thereunder, and (b) nothing has come to the attention of such counsel that causes them to believe that, insofar as relevant to the offering of the Offered Securities, (1) on the date of this Agreement, the Registration Statement contained any untrue statement of a material fact or omitted to state a material fact required to be stated therein or necessary to make the statements therein not misleading; (2) at the Applicable Time, the Disclosure Package contained any untrue statement of a material fact or omitted to state a material fact necessary in order to make the statements therein, in the light of the circumstances under which they are made, not misleading; or (3) the Prospectus as of the date of this Agreement or as of the Closing Date contained or contains any untrue statement of a material fact or omitted or omits to state a material fact necessary in order to make statements therein, in the light of the circumstances under which they are made, not misleading.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54" w:name="page55"/>
    <w:bookmarkEnd w:id="54"/>
    <w:p>
      <w:pPr>
        <w:ind w:right="180" w:firstLine="441"/>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respect to the preceding paragraph, Davis Polk &amp; Wardwell LLP may state that their belief is based upon information gained in the performance of their services, but is without independent check or verification except as specified. Such counsel need not pass upon or assume responsibility for the accuracy, completeness or fairness of statements contained in, and need not have checked the accuracy, completeness or fairness of, or otherwise verified, the information furnished in, the Registration Statement, the Disclosure Package and the Prospectus, except as specified. In addition, such counsel is not called to pass upon, or express any view regarding, the financial statements or financial schedules or other financial or accounting data included in the Registration Statement, the Disclosure Package, the Prospectus or the Form T-1. Such counsel need not express a view as to the conveyance of the Disclosure Package of the information contained therein to investors.</w:t>
      </w:r>
    </w:p>
    <w:p>
      <w:pPr>
        <w:spacing w:after="0" w:line="70" w:lineRule="exact"/>
        <w:rPr>
          <w:sz w:val="20"/>
          <w:szCs w:val="20"/>
          <w:color w:val="auto"/>
        </w:rPr>
      </w:pPr>
    </w:p>
    <w:p>
      <w:pPr>
        <w:ind w:left="440" w:right="540" w:firstLine="428"/>
        <w:spacing w:after="0" w:line="277" w:lineRule="auto"/>
        <w:tabs>
          <w:tab w:leader="none" w:pos="1108"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Managers shall have received on the Closing Date an opinion of internal communications counsel for the Company, dated the Closing Date, to the effect that:</w:t>
      </w:r>
    </w:p>
    <w:p>
      <w:pPr>
        <w:spacing w:after="0" w:line="62" w:lineRule="exact"/>
        <w:rPr>
          <w:rFonts w:ascii="Arial" w:cs="Arial" w:eastAsia="Arial" w:hAnsi="Arial"/>
          <w:sz w:val="18"/>
          <w:szCs w:val="18"/>
          <w:color w:val="auto"/>
        </w:rPr>
      </w:pPr>
    </w:p>
    <w:p>
      <w:pPr>
        <w:ind w:left="1000" w:right="140" w:firstLine="397"/>
        <w:spacing w:after="0" w:line="277" w:lineRule="auto"/>
        <w:tabs>
          <w:tab w:leader="none" w:pos="1616" w:val="left"/>
        </w:tabs>
        <w:numPr>
          <w:ilvl w:val="1"/>
          <w:numId w:val="55"/>
        </w:numPr>
        <w:rPr>
          <w:rFonts w:ascii="Arial" w:cs="Arial" w:eastAsia="Arial" w:hAnsi="Arial"/>
          <w:sz w:val="18"/>
          <w:szCs w:val="18"/>
          <w:color w:val="auto"/>
        </w:rPr>
      </w:pPr>
      <w:r>
        <w:rPr>
          <w:rFonts w:ascii="Arial" w:cs="Arial" w:eastAsia="Arial" w:hAnsi="Arial"/>
          <w:sz w:val="18"/>
          <w:szCs w:val="18"/>
          <w:color w:val="auto"/>
        </w:rPr>
        <w:t>no approval of the Federal Communications Commission (the “FCC”) is required in connection with the issuance and sale of the Offered Securities;</w:t>
      </w:r>
    </w:p>
    <w:p>
      <w:pPr>
        <w:spacing w:after="0" w:line="62" w:lineRule="exact"/>
        <w:rPr>
          <w:rFonts w:ascii="Arial" w:cs="Arial" w:eastAsia="Arial" w:hAnsi="Arial"/>
          <w:sz w:val="18"/>
          <w:szCs w:val="18"/>
          <w:color w:val="auto"/>
        </w:rPr>
      </w:pPr>
    </w:p>
    <w:p>
      <w:pPr>
        <w:ind w:left="1000" w:right="100" w:firstLine="397"/>
        <w:spacing w:after="0" w:line="272" w:lineRule="auto"/>
        <w:tabs>
          <w:tab w:leader="none" w:pos="1666" w:val="left"/>
        </w:tabs>
        <w:numPr>
          <w:ilvl w:val="1"/>
          <w:numId w:val="55"/>
        </w:numPr>
        <w:rPr>
          <w:rFonts w:ascii="Arial" w:cs="Arial" w:eastAsia="Arial" w:hAnsi="Arial"/>
          <w:sz w:val="17"/>
          <w:szCs w:val="17"/>
          <w:color w:val="auto"/>
        </w:rPr>
      </w:pPr>
      <w:r>
        <w:rPr>
          <w:rFonts w:ascii="Arial" w:cs="Arial" w:eastAsia="Arial" w:hAnsi="Arial"/>
          <w:sz w:val="17"/>
          <w:szCs w:val="17"/>
          <w:color w:val="auto"/>
        </w:rPr>
        <w:t>the execution and delivery of this Agreement, each indenture under which the Offered Securities are to be issued, by each Issuer, the fulfillment of the terms set forth herein and therein by each Issuer and the consummation of the transactions contemplated hereby and thereby by each Issuer do not violate any statute, regulation or other law of the United States relating specifically to the cable communications industry (except as otherwise explicitly set forth in the Disclosure Package) or, to the knowledge of such counsel, any order, judgment or decree of any court or governmental body of the United States relating specifically to the cable communications industry and applicable to such Issuer or any subsidiary, and which violation would have a material adverse effect on the business or financial condition of such Issuer and its subsidiaries, as a whole;</w:t>
      </w:r>
    </w:p>
    <w:p>
      <w:pPr>
        <w:spacing w:after="0" w:line="69" w:lineRule="exact"/>
        <w:rPr>
          <w:rFonts w:ascii="Arial" w:cs="Arial" w:eastAsia="Arial" w:hAnsi="Arial"/>
          <w:sz w:val="17"/>
          <w:szCs w:val="17"/>
          <w:color w:val="auto"/>
        </w:rPr>
      </w:pPr>
    </w:p>
    <w:p>
      <w:pPr>
        <w:ind w:left="1000" w:firstLine="397"/>
        <w:spacing w:after="0" w:line="293" w:lineRule="auto"/>
        <w:tabs>
          <w:tab w:leader="none" w:pos="1716" w:val="left"/>
        </w:tabs>
        <w:numPr>
          <w:ilvl w:val="1"/>
          <w:numId w:val="55"/>
        </w:numPr>
        <w:rPr>
          <w:rFonts w:ascii="Arial" w:cs="Arial" w:eastAsia="Arial" w:hAnsi="Arial"/>
          <w:sz w:val="16"/>
          <w:szCs w:val="16"/>
          <w:color w:val="auto"/>
        </w:rPr>
      </w:pPr>
      <w:r>
        <w:rPr>
          <w:rFonts w:ascii="Arial" w:cs="Arial" w:eastAsia="Arial" w:hAnsi="Arial"/>
          <w:sz w:val="16"/>
          <w:szCs w:val="16"/>
          <w:color w:val="auto"/>
        </w:rPr>
        <w:t>the statements in the Company’s and NBCUniversal Media, LLC’s most recent Annual Report on Form 10-K incorporated by reference in the Registration Statement, the Disclosure Package and Prospectus relating specifically to the cable communications industry, as updated by the Company’s and NBCUniversal Media, LLC’s most recent Quarterly Reports on Form 10-Q, if any, and Current Reports on Form 8-K, if any, incorporated in the Registration Statement, the Disclosure Package and the Prospectus and as updated by the Disclosure Package, insofar as they are, or refer to, statements of federal law or legal conclusions, have been reviewed by such counsel and present in all material respects the information called for with respect to such statements of federal law or legal conclusions; and</w:t>
      </w:r>
    </w:p>
    <w:p>
      <w:pPr>
        <w:spacing w:after="0" w:line="56" w:lineRule="exact"/>
        <w:rPr>
          <w:rFonts w:ascii="Arial" w:cs="Arial" w:eastAsia="Arial" w:hAnsi="Arial"/>
          <w:sz w:val="16"/>
          <w:szCs w:val="16"/>
          <w:color w:val="auto"/>
        </w:rPr>
      </w:pPr>
    </w:p>
    <w:p>
      <w:pPr>
        <w:ind w:left="1000" w:right="340" w:firstLine="397"/>
        <w:spacing w:after="0" w:line="302" w:lineRule="auto"/>
        <w:tabs>
          <w:tab w:leader="none" w:pos="1706" w:val="left"/>
        </w:tabs>
        <w:numPr>
          <w:ilvl w:val="1"/>
          <w:numId w:val="55"/>
        </w:numPr>
        <w:rPr>
          <w:rFonts w:ascii="Arial" w:cs="Arial" w:eastAsia="Arial" w:hAnsi="Arial"/>
          <w:sz w:val="16"/>
          <w:szCs w:val="16"/>
          <w:color w:val="auto"/>
        </w:rPr>
      </w:pPr>
      <w:r>
        <w:rPr>
          <w:rFonts w:ascii="Arial" w:cs="Arial" w:eastAsia="Arial" w:hAnsi="Arial"/>
          <w:sz w:val="16"/>
          <w:szCs w:val="16"/>
          <w:color w:val="auto"/>
        </w:rPr>
        <w:t>such counsel does not know of any proceeding pending before the FCC to which the Company or any of its subsidiaries is a party or involving the cable communications properties, licenses or authorizations of the Company and its subsidiaries, or of any cable communications law or regulation relevant thereto required to be described in the Registration Statement or the Disclosure Package pursuant to Regulation S-K promulgated under the Securities Act, which is not described as required.</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55" w:name="page56"/>
    <w:bookmarkEnd w:id="55"/>
    <w:p>
      <w:pPr>
        <w:ind w:right="120" w:firstLine="428"/>
        <w:spacing w:after="0" w:line="308" w:lineRule="auto"/>
        <w:tabs>
          <w:tab w:leader="none" w:pos="648" w:val="left"/>
        </w:tabs>
        <w:numPr>
          <w:ilvl w:val="1"/>
          <w:numId w:val="5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Managers shall have received on the Closing Date an opinion of Cahill Gordon &amp; Reindel LLP, counsel for the Underwriters, dated the Closing Date, covering the matters requested by and in form and substance reasonably satisfactory to the Managers.</w:t>
      </w:r>
    </w:p>
    <w:p>
      <w:pPr>
        <w:spacing w:after="0" w:line="38" w:lineRule="exact"/>
        <w:rPr>
          <w:rFonts w:ascii="Arial" w:cs="Arial" w:eastAsia="Arial" w:hAnsi="Arial"/>
          <w:sz w:val="17"/>
          <w:szCs w:val="17"/>
          <w:color w:val="auto"/>
        </w:rPr>
      </w:pPr>
    </w:p>
    <w:p>
      <w:pPr>
        <w:ind w:right="60" w:firstLine="428"/>
        <w:spacing w:after="0" w:line="291" w:lineRule="auto"/>
        <w:tabs>
          <w:tab w:leader="none" w:pos="678" w:val="left"/>
        </w:tabs>
        <w:numPr>
          <w:ilvl w:val="1"/>
          <w:numId w:val="56"/>
        </w:numPr>
        <w:rPr>
          <w:rFonts w:ascii="Arial" w:cs="Arial" w:eastAsia="Arial" w:hAnsi="Arial"/>
          <w:sz w:val="16"/>
          <w:szCs w:val="16"/>
          <w:color w:val="auto"/>
        </w:rPr>
      </w:pPr>
      <w:r>
        <w:rPr>
          <w:rFonts w:ascii="Arial" w:cs="Arial" w:eastAsia="Arial" w:hAnsi="Arial"/>
          <w:sz w:val="16"/>
          <w:szCs w:val="16"/>
          <w:color w:val="auto"/>
        </w:rPr>
        <w:t>The Managers shall have received on the date hereof a letter dated such date and on the Closing Date a letter dated such date, in each case in form and substance satisfactory to the Managers, from Deloitte &amp; Touche LLP, independent public accountants, containing statements and information of the type ordinarily included in accountants’ “comfort letters” to underwriters with respect to the financial statements and certain financial information reviewed by them contained in or incorporated by reference in the Registration Statement, the Disclosure Package and the Prospectus and each other firm of independent accountants, if any, who audited or reviewed financial statements contained in or incorporated by reference in the Registration Statement, the Disclosure Package and the Prospectus, containing statements and information of the type ordinarily included in accountants’ “comfort letters” to underwriters with respect to such financial statements and financial information.</w:t>
      </w:r>
    </w:p>
    <w:p>
      <w:pPr>
        <w:spacing w:after="0" w:line="59" w:lineRule="exact"/>
        <w:rPr>
          <w:rFonts w:ascii="Arial" w:cs="Arial" w:eastAsia="Arial" w:hAnsi="Arial"/>
          <w:sz w:val="16"/>
          <w:szCs w:val="16"/>
          <w:color w:val="auto"/>
        </w:rPr>
      </w:pPr>
    </w:p>
    <w:p>
      <w:pPr>
        <w:ind w:right="160" w:firstLine="428"/>
        <w:spacing w:after="0" w:line="277" w:lineRule="auto"/>
        <w:tabs>
          <w:tab w:leader="none" w:pos="678"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Managers shall have received on the date hereof or on the Closing Date, as applicable, such additional documents as the Managers shall have reasonably requested to confirm compliance with the conditions to Closing listed herein.</w:t>
      </w:r>
    </w:p>
    <w:p>
      <w:pPr>
        <w:spacing w:after="0" w:line="170" w:lineRule="exact"/>
        <w:rPr>
          <w:rFonts w:ascii="Arial" w:cs="Arial" w:eastAsia="Arial" w:hAnsi="Arial"/>
          <w:sz w:val="18"/>
          <w:szCs w:val="18"/>
          <w:color w:val="auto"/>
        </w:rPr>
      </w:pPr>
    </w:p>
    <w:p>
      <w:pPr>
        <w:ind w:left="180" w:hanging="176"/>
        <w:spacing w:after="0"/>
        <w:tabs>
          <w:tab w:leader="none" w:pos="18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Covenants of the Company</w:t>
      </w:r>
      <w:r>
        <w:rPr>
          <w:rFonts w:ascii="Arial" w:cs="Arial" w:eastAsia="Arial" w:hAnsi="Arial"/>
          <w:sz w:val="16"/>
          <w:szCs w:val="16"/>
          <w:color w:val="auto"/>
        </w:rPr>
        <w:t>. In further consideration of the agreements of the Underwriters herein contained, the Issuers covenant as follows:</w:t>
      </w:r>
    </w:p>
    <w:p>
      <w:pPr>
        <w:spacing w:after="0" w:line="140" w:lineRule="exact"/>
        <w:rPr>
          <w:rFonts w:ascii="Arial" w:cs="Arial" w:eastAsia="Arial" w:hAnsi="Arial"/>
          <w:sz w:val="16"/>
          <w:szCs w:val="16"/>
          <w:color w:val="auto"/>
        </w:rPr>
      </w:pPr>
    </w:p>
    <w:p>
      <w:pPr>
        <w:ind w:firstLine="428"/>
        <w:spacing w:after="0" w:line="279" w:lineRule="auto"/>
        <w:tabs>
          <w:tab w:leader="none" w:pos="668" w:val="left"/>
        </w:tabs>
        <w:numPr>
          <w:ilvl w:val="1"/>
          <w:numId w:val="57"/>
        </w:numPr>
        <w:rPr>
          <w:rFonts w:ascii="Arial" w:cs="Arial" w:eastAsia="Arial" w:hAnsi="Arial"/>
          <w:sz w:val="17"/>
          <w:szCs w:val="17"/>
          <w:color w:val="auto"/>
        </w:rPr>
      </w:pPr>
      <w:r>
        <w:rPr>
          <w:rFonts w:ascii="Arial" w:cs="Arial" w:eastAsia="Arial" w:hAnsi="Arial"/>
          <w:sz w:val="17"/>
          <w:szCs w:val="17"/>
          <w:color w:val="auto"/>
        </w:rPr>
        <w:t>To furnish to the Managers, without charge, a copy of the Registration Statement and two signed copies of any post-effective amendment thereto specifically relating to the Offered Securities (including exhibits thereto and documents incorporated therein by reference) and, during the period mentioned in paragraph (f) below, as many copies of the Disclosure Package, the Prospectus, any documents incorporated therein by reference and any supplements and amendments thereto as the Managers may reasonably request.</w:t>
      </w:r>
    </w:p>
    <w:p>
      <w:pPr>
        <w:spacing w:after="0" w:line="63" w:lineRule="exact"/>
        <w:rPr>
          <w:rFonts w:ascii="Arial" w:cs="Arial" w:eastAsia="Arial" w:hAnsi="Arial"/>
          <w:sz w:val="17"/>
          <w:szCs w:val="17"/>
          <w:color w:val="auto"/>
        </w:rPr>
      </w:pPr>
    </w:p>
    <w:p>
      <w:pPr>
        <w:ind w:firstLine="428"/>
        <w:spacing w:after="0" w:line="277" w:lineRule="auto"/>
        <w:tabs>
          <w:tab w:leader="none" w:pos="678" w:val="left"/>
        </w:tabs>
        <w:numPr>
          <w:ilvl w:val="1"/>
          <w:numId w:val="57"/>
        </w:numPr>
        <w:rPr>
          <w:rFonts w:ascii="Arial" w:cs="Arial" w:eastAsia="Arial" w:hAnsi="Arial"/>
          <w:sz w:val="18"/>
          <w:szCs w:val="18"/>
          <w:color w:val="auto"/>
        </w:rPr>
      </w:pPr>
      <w:r>
        <w:rPr>
          <w:rFonts w:ascii="Arial" w:cs="Arial" w:eastAsia="Arial" w:hAnsi="Arial"/>
          <w:sz w:val="18"/>
          <w:szCs w:val="18"/>
          <w:color w:val="auto"/>
        </w:rPr>
        <w:t>Before amending or supplementing the Registration Statement, the Disclosure Package or the Prospectus, to furnish the Managers a copy of each such proposed amendment or supplement.</w:t>
      </w:r>
    </w:p>
    <w:p>
      <w:pPr>
        <w:spacing w:after="0" w:line="62" w:lineRule="exact"/>
        <w:rPr>
          <w:rFonts w:ascii="Arial" w:cs="Arial" w:eastAsia="Arial" w:hAnsi="Arial"/>
          <w:sz w:val="18"/>
          <w:szCs w:val="18"/>
          <w:color w:val="auto"/>
        </w:rPr>
      </w:pPr>
    </w:p>
    <w:p>
      <w:pPr>
        <w:ind w:right="120" w:firstLine="428"/>
        <w:spacing w:after="0" w:line="277" w:lineRule="auto"/>
        <w:tabs>
          <w:tab w:leader="none" w:pos="668" w:val="left"/>
        </w:tabs>
        <w:numPr>
          <w:ilvl w:val="1"/>
          <w:numId w:val="57"/>
        </w:numPr>
        <w:rPr>
          <w:rFonts w:ascii="Arial" w:cs="Arial" w:eastAsia="Arial" w:hAnsi="Arial"/>
          <w:sz w:val="18"/>
          <w:szCs w:val="18"/>
          <w:color w:val="auto"/>
        </w:rPr>
      </w:pPr>
      <w:r>
        <w:rPr>
          <w:rFonts w:ascii="Arial" w:cs="Arial" w:eastAsia="Arial" w:hAnsi="Arial"/>
          <w:sz w:val="18"/>
          <w:szCs w:val="18"/>
          <w:color w:val="auto"/>
        </w:rPr>
        <w:t>Before filing, using or referring to any free writing prospectus relating to the Offered Securities, to furnish the Managers a copy of each such free writing prospectus.</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60"/>
          </w:cols>
          <w:pgMar w:left="880" w:top="274" w:right="459" w:bottom="1440" w:gutter="0" w:footer="0" w:header="0"/>
        </w:sectPr>
      </w:pPr>
    </w:p>
    <w:bookmarkStart w:id="56" w:name="page57"/>
    <w:bookmarkEnd w:id="56"/>
    <w:p>
      <w:pPr>
        <w:jc w:val="both"/>
        <w:ind w:right="100" w:firstLine="428"/>
        <w:spacing w:after="0" w:line="264" w:lineRule="auto"/>
        <w:tabs>
          <w:tab w:leader="none" w:pos="678" w:val="left"/>
        </w:tabs>
        <w:numPr>
          <w:ilvl w:val="0"/>
          <w:numId w:val="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 to take any action that would result in an Underwriter being required to file with the Commission pursuant to Rule 433(d) under the Securities Act a free writing prospectus prepared by or on behalf of the Underwriter that the Underwriter otherwise would not have been required to file thereunder.</w:t>
      </w:r>
    </w:p>
    <w:p>
      <w:pPr>
        <w:spacing w:after="0" w:line="73" w:lineRule="exact"/>
        <w:rPr>
          <w:rFonts w:ascii="Arial" w:cs="Arial" w:eastAsia="Arial" w:hAnsi="Arial"/>
          <w:sz w:val="18"/>
          <w:szCs w:val="18"/>
          <w:color w:val="auto"/>
        </w:rPr>
      </w:pPr>
    </w:p>
    <w:p>
      <w:pPr>
        <w:ind w:right="60" w:firstLine="428"/>
        <w:spacing w:after="0" w:line="253" w:lineRule="auto"/>
        <w:tabs>
          <w:tab w:leader="none" w:pos="668"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the Disclosure Package is being used to solicit offers to buy the Offered Securities at a time when the Prospectus is not yet available to prospective purchasers and any event shall occur as a result of which it is necessary to amend or supplement the Disclosure Package in order to make the statements therein, in the light of the circumstances existing at the time, not misleading, or if any event shall occur as a result of which any free writing prospectus included as part of the Disclosure Package conflicts with the information contained in the Registration Statement then on file, the Company shall forthwith prepare and furnish, at its expense, to the Underwriters and to the dealers (whose names and addresses the Managers will furnish to the Company), either amendments or supplements to the Disclosure Package so that the statements in the Disclosure Package as so amended or supplemented will not, in the light of the circumstances existing at the time, be misleading or so that any free writing prospectus which is included as part of the Disclosure Package, as amended or supplemented, will no longer conflict with the Registration Statement.</w:t>
      </w:r>
    </w:p>
    <w:p>
      <w:pPr>
        <w:spacing w:after="0" w:line="89" w:lineRule="exact"/>
        <w:rPr>
          <w:rFonts w:ascii="Arial" w:cs="Arial" w:eastAsia="Arial" w:hAnsi="Arial"/>
          <w:sz w:val="18"/>
          <w:szCs w:val="18"/>
          <w:color w:val="auto"/>
        </w:rPr>
      </w:pPr>
    </w:p>
    <w:p>
      <w:pPr>
        <w:ind w:firstLine="428"/>
        <w:spacing w:after="0" w:line="254" w:lineRule="auto"/>
        <w:tabs>
          <w:tab w:leader="none" w:pos="648"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during such period after the first date of the public offering of the Offered Securities during which in the opinion of counsel to the Managers the Prospectus (or in lieu thereof the notice referred to in Rule 173(a) under the Securities Act) is required by law to be delivered in connection with sales by an Underwriter or dealer, any event shall occur as a result of which it is necessary to amend or supplement the Prospectus in order to make the statements therein, in the light of the circumstances existing at the time, not misleading, forthwith to prepare and furnish, at its expense, to the Underwriters and to the dealers (whose names and addresses the Managers will furnish to the Company) to which Offered Securities may have been sold by the Managers on behalf of the Underwriters and to any other dealers on request, either amendments or supplements to the Prospectus so that the statements in the Prospectus as so amended or supplemented will not, in the light of the circumstances existing at the time, be misleading.</w:t>
      </w:r>
    </w:p>
    <w:p>
      <w:pPr>
        <w:spacing w:after="0" w:line="84" w:lineRule="exact"/>
        <w:rPr>
          <w:rFonts w:ascii="Arial" w:cs="Arial" w:eastAsia="Arial" w:hAnsi="Arial"/>
          <w:sz w:val="18"/>
          <w:szCs w:val="18"/>
          <w:color w:val="auto"/>
        </w:rPr>
      </w:pPr>
    </w:p>
    <w:p>
      <w:pPr>
        <w:ind w:right="320" w:firstLine="428"/>
        <w:spacing w:after="0" w:line="277" w:lineRule="auto"/>
        <w:tabs>
          <w:tab w:leader="none" w:pos="678"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endeavor to qualify the Offered Securities for offer and sale under the securities or Blue Sky laws of such U.S. jurisdictions as the Managers shall reasonably request.</w:t>
      </w:r>
    </w:p>
    <w:p>
      <w:pPr>
        <w:spacing w:after="0" w:line="62" w:lineRule="exact"/>
        <w:rPr>
          <w:rFonts w:ascii="Arial" w:cs="Arial" w:eastAsia="Arial" w:hAnsi="Arial"/>
          <w:sz w:val="18"/>
          <w:szCs w:val="18"/>
          <w:color w:val="auto"/>
        </w:rPr>
      </w:pPr>
    </w:p>
    <w:p>
      <w:pPr>
        <w:ind w:right="100" w:firstLine="428"/>
        <w:spacing w:after="0" w:line="279" w:lineRule="auto"/>
        <w:tabs>
          <w:tab w:leader="none" w:pos="678" w:val="left"/>
        </w:tabs>
        <w:numPr>
          <w:ilvl w:val="0"/>
          <w:numId w:val="58"/>
        </w:numPr>
        <w:rPr>
          <w:rFonts w:ascii="Arial" w:cs="Arial" w:eastAsia="Arial" w:hAnsi="Arial"/>
          <w:sz w:val="17"/>
          <w:szCs w:val="17"/>
          <w:color w:val="auto"/>
        </w:rPr>
      </w:pPr>
      <w:r>
        <w:rPr>
          <w:rFonts w:ascii="Arial" w:cs="Arial" w:eastAsia="Arial" w:hAnsi="Arial"/>
          <w:sz w:val="17"/>
          <w:szCs w:val="17"/>
          <w:color w:val="auto"/>
        </w:rPr>
        <w:t>To make generally available to the Company’s security holders as soon as practicable an earnings statement covering the twelve month period beginning on the first day of the first fiscal quarter commencing after the date hereof, which shall satisfy the provisions of Section 11(a) of the Securities Act and the rules and regulations of the Commission thereunder (which may be accomplished by making generally available the Company’s financial statements in the manner provided for by Rule 158 of the Securities Act).</w:t>
      </w:r>
    </w:p>
    <w:p>
      <w:pPr>
        <w:spacing w:after="0" w:line="10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80"/>
          </w:cols>
          <w:pgMar w:left="880" w:top="274" w:right="439" w:bottom="1440" w:gutter="0" w:footer="0" w:header="0"/>
        </w:sectPr>
      </w:pPr>
    </w:p>
    <w:bookmarkStart w:id="57" w:name="page58"/>
    <w:bookmarkEnd w:id="57"/>
    <w:p>
      <w:pPr>
        <w:ind w:left="-20" w:firstLine="444"/>
        <w:spacing w:after="0" w:line="277" w:lineRule="auto"/>
        <w:tabs>
          <w:tab w:leader="none" w:pos="601"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Covenants of the Underwriters</w:t>
      </w:r>
      <w:r>
        <w:rPr>
          <w:rFonts w:ascii="Arial" w:cs="Arial" w:eastAsia="Arial" w:hAnsi="Arial"/>
          <w:sz w:val="18"/>
          <w:szCs w:val="18"/>
          <w:color w:val="auto"/>
        </w:rPr>
        <w:t>. In further consideration of the agreements of the Issuers herein contained, each Underwriter severally covenants</w:t>
      </w:r>
      <w:r>
        <w:rPr>
          <w:rFonts w:ascii="Arial" w:cs="Arial" w:eastAsia="Arial" w:hAnsi="Arial"/>
          <w:sz w:val="18"/>
          <w:szCs w:val="18"/>
          <w:i w:val="1"/>
          <w:iCs w:val="1"/>
          <w:color w:val="auto"/>
        </w:rPr>
        <w:t xml:space="preserve"> </w:t>
      </w:r>
      <w:r>
        <w:rPr>
          <w:rFonts w:ascii="Arial" w:cs="Arial" w:eastAsia="Arial" w:hAnsi="Arial"/>
          <w:sz w:val="18"/>
          <w:szCs w:val="18"/>
          <w:color w:val="auto"/>
        </w:rPr>
        <w:t>as follows:</w:t>
      </w:r>
    </w:p>
    <w:p>
      <w:pPr>
        <w:spacing w:after="0" w:line="62" w:lineRule="exact"/>
        <w:rPr>
          <w:rFonts w:ascii="Arial" w:cs="Arial" w:eastAsia="Arial" w:hAnsi="Arial"/>
          <w:sz w:val="18"/>
          <w:szCs w:val="18"/>
          <w:color w:val="auto"/>
        </w:rPr>
      </w:pPr>
    </w:p>
    <w:p>
      <w:pPr>
        <w:ind w:left="420" w:right="160" w:firstLine="428"/>
        <w:spacing w:after="0" w:line="264" w:lineRule="auto"/>
        <w:tabs>
          <w:tab w:leader="none" w:pos="1088" w:val="left"/>
        </w:tabs>
        <w:numPr>
          <w:ilvl w:val="1"/>
          <w:numId w:val="59"/>
        </w:numPr>
        <w:rPr>
          <w:rFonts w:ascii="Arial" w:cs="Arial" w:eastAsia="Arial" w:hAnsi="Arial"/>
          <w:sz w:val="18"/>
          <w:szCs w:val="18"/>
          <w:color w:val="auto"/>
        </w:rPr>
      </w:pPr>
      <w:r>
        <w:rPr>
          <w:rFonts w:ascii="Arial" w:cs="Arial" w:eastAsia="Arial" w:hAnsi="Arial"/>
          <w:sz w:val="18"/>
          <w:szCs w:val="18"/>
          <w:color w:val="auto"/>
        </w:rPr>
        <w:t>Not to take any action that would result in the Company being required to file with the Commission under Rule 433(d) a free writing prospectus prepared by or on behalf of such Underwriter that otherwise would not be required to be filed by the Company thereunder, but for the action of the Underwriter.</w:t>
      </w:r>
    </w:p>
    <w:p>
      <w:pPr>
        <w:spacing w:after="0" w:line="73" w:lineRule="exact"/>
        <w:rPr>
          <w:rFonts w:ascii="Arial" w:cs="Arial" w:eastAsia="Arial" w:hAnsi="Arial"/>
          <w:sz w:val="18"/>
          <w:szCs w:val="18"/>
          <w:color w:val="auto"/>
        </w:rPr>
      </w:pPr>
    </w:p>
    <w:p>
      <w:pPr>
        <w:ind w:left="1100" w:hanging="252"/>
        <w:spacing w:after="0"/>
        <w:tabs>
          <w:tab w:leader="none" w:pos="11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Not to use, refer to or distribute any free writing prospectus except:</w:t>
      </w:r>
    </w:p>
    <w:p>
      <w:pPr>
        <w:spacing w:after="0" w:line="117" w:lineRule="exact"/>
        <w:rPr>
          <w:rFonts w:ascii="Arial" w:cs="Arial" w:eastAsia="Arial" w:hAnsi="Arial"/>
          <w:sz w:val="18"/>
          <w:szCs w:val="18"/>
          <w:color w:val="auto"/>
        </w:rPr>
      </w:pPr>
    </w:p>
    <w:p>
      <w:pPr>
        <w:ind w:left="980" w:right="240" w:firstLine="397"/>
        <w:spacing w:after="0" w:line="286" w:lineRule="auto"/>
        <w:tabs>
          <w:tab w:leader="none" w:pos="1596" w:val="left"/>
        </w:tabs>
        <w:numPr>
          <w:ilvl w:val="2"/>
          <w:numId w:val="59"/>
        </w:numPr>
        <w:rPr>
          <w:rFonts w:ascii="Arial" w:cs="Arial" w:eastAsia="Arial" w:hAnsi="Arial"/>
          <w:sz w:val="17"/>
          <w:szCs w:val="17"/>
          <w:color w:val="auto"/>
        </w:rPr>
      </w:pPr>
      <w:r>
        <w:rPr>
          <w:rFonts w:ascii="Arial" w:cs="Arial" w:eastAsia="Arial" w:hAnsi="Arial"/>
          <w:sz w:val="17"/>
          <w:szCs w:val="17"/>
          <w:color w:val="auto"/>
        </w:rPr>
        <w:t>a free writing prospectus that (A) is not an issuer free writing prospectus and (B) contains only information describing the preliminary terms of the Offered Securities or the offering thereof, which information is limited to the categories of terms referenced on Schedule II to this Agreement or otherwise permitted under Rule 134 of the Securities Act;</w:t>
      </w:r>
    </w:p>
    <w:p>
      <w:pPr>
        <w:spacing w:after="0" w:line="57" w:lineRule="exact"/>
        <w:rPr>
          <w:rFonts w:ascii="Arial" w:cs="Arial" w:eastAsia="Arial" w:hAnsi="Arial"/>
          <w:sz w:val="17"/>
          <w:szCs w:val="17"/>
          <w:color w:val="auto"/>
        </w:rPr>
      </w:pPr>
    </w:p>
    <w:p>
      <w:pPr>
        <w:ind w:left="980" w:right="260" w:firstLine="397"/>
        <w:spacing w:after="0" w:line="264" w:lineRule="auto"/>
        <w:tabs>
          <w:tab w:leader="none" w:pos="1646" w:val="left"/>
        </w:tabs>
        <w:numPr>
          <w:ilvl w:val="2"/>
          <w:numId w:val="59"/>
        </w:numPr>
        <w:rPr>
          <w:rFonts w:ascii="Arial" w:cs="Arial" w:eastAsia="Arial" w:hAnsi="Arial"/>
          <w:sz w:val="18"/>
          <w:szCs w:val="18"/>
          <w:color w:val="auto"/>
        </w:rPr>
      </w:pPr>
      <w:r>
        <w:rPr>
          <w:rFonts w:ascii="Arial" w:cs="Arial" w:eastAsia="Arial" w:hAnsi="Arial"/>
          <w:sz w:val="18"/>
          <w:szCs w:val="18"/>
          <w:color w:val="auto"/>
        </w:rPr>
        <w:t>a free writing prospectus as shall be agreed in writing with the Company that is not distributed, used or referred to by such Underwriter in a manner reasonably designed to lead to its broad unrestricted dissemination (unless the Company consents in writing to such dissemination); or</w:t>
      </w:r>
    </w:p>
    <w:p>
      <w:pPr>
        <w:spacing w:after="0" w:line="73" w:lineRule="exact"/>
        <w:rPr>
          <w:rFonts w:ascii="Arial" w:cs="Arial" w:eastAsia="Arial" w:hAnsi="Arial"/>
          <w:sz w:val="18"/>
          <w:szCs w:val="18"/>
          <w:color w:val="auto"/>
        </w:rPr>
      </w:pPr>
    </w:p>
    <w:p>
      <w:pPr>
        <w:ind w:left="1700" w:hanging="323"/>
        <w:spacing w:after="0"/>
        <w:tabs>
          <w:tab w:leader="none" w:pos="1700" w:val="left"/>
        </w:tabs>
        <w:numPr>
          <w:ilvl w:val="2"/>
          <w:numId w:val="59"/>
        </w:numPr>
        <w:rPr>
          <w:rFonts w:ascii="Arial" w:cs="Arial" w:eastAsia="Arial" w:hAnsi="Arial"/>
          <w:sz w:val="18"/>
          <w:szCs w:val="18"/>
          <w:color w:val="auto"/>
        </w:rPr>
      </w:pPr>
      <w:r>
        <w:rPr>
          <w:rFonts w:ascii="Arial" w:cs="Arial" w:eastAsia="Arial" w:hAnsi="Arial"/>
          <w:sz w:val="18"/>
          <w:szCs w:val="18"/>
          <w:color w:val="auto"/>
        </w:rPr>
        <w:t>a free writing prospectus identified in Schedule I to this Agreement as forming part of the Disclosure Package.</w:t>
      </w:r>
    </w:p>
    <w:p>
      <w:pPr>
        <w:spacing w:after="0" w:line="225" w:lineRule="exact"/>
        <w:rPr>
          <w:rFonts w:ascii="Arial" w:cs="Arial" w:eastAsia="Arial" w:hAnsi="Arial"/>
          <w:sz w:val="18"/>
          <w:szCs w:val="18"/>
          <w:color w:val="auto"/>
        </w:rPr>
      </w:pPr>
    </w:p>
    <w:p>
      <w:pPr>
        <w:ind w:left="-20" w:firstLine="444"/>
        <w:spacing w:after="0" w:line="286" w:lineRule="auto"/>
        <w:tabs>
          <w:tab w:leader="none" w:pos="601" w:val="left"/>
        </w:tabs>
        <w:numPr>
          <w:ilvl w:val="0"/>
          <w:numId w:val="59"/>
        </w:numPr>
        <w:rPr>
          <w:rFonts w:ascii="Arial" w:cs="Arial" w:eastAsia="Arial" w:hAnsi="Arial"/>
          <w:sz w:val="16"/>
          <w:szCs w:val="16"/>
          <w:color w:val="auto"/>
        </w:rPr>
      </w:pPr>
      <w:r>
        <w:rPr>
          <w:rFonts w:ascii="Arial" w:cs="Arial" w:eastAsia="Arial" w:hAnsi="Arial"/>
          <w:sz w:val="16"/>
          <w:szCs w:val="16"/>
          <w:i w:val="1"/>
          <w:iCs w:val="1"/>
          <w:color w:val="auto"/>
        </w:rPr>
        <w:t>Indemnification and Contribution</w:t>
      </w:r>
      <w:r>
        <w:rPr>
          <w:rFonts w:ascii="Arial" w:cs="Arial" w:eastAsia="Arial" w:hAnsi="Arial"/>
          <w:sz w:val="16"/>
          <w:szCs w:val="16"/>
          <w:color w:val="auto"/>
        </w:rPr>
        <w:t>. The Issuers, jointly and severally, agree to indemnify and hold harmless each Underwriter and each person,</w:t>
      </w:r>
      <w:r>
        <w:rPr>
          <w:rFonts w:ascii="Arial" w:cs="Arial" w:eastAsia="Arial" w:hAnsi="Arial"/>
          <w:sz w:val="16"/>
          <w:szCs w:val="16"/>
          <w:i w:val="1"/>
          <w:iCs w:val="1"/>
          <w:color w:val="auto"/>
        </w:rPr>
        <w:t xml:space="preserve"> </w:t>
      </w:r>
      <w:r>
        <w:rPr>
          <w:rFonts w:ascii="Arial" w:cs="Arial" w:eastAsia="Arial" w:hAnsi="Arial"/>
          <w:sz w:val="16"/>
          <w:szCs w:val="16"/>
          <w:color w:val="auto"/>
        </w:rPr>
        <w:t>if any, who controls each Underwriter within the meaning of either Section 15 of the Securities Act or Section 20 of the Exchange Act from and against any and all losses, claims, damages and liabilities caused by any untrue statement or alleged untrue statement of a material fact contained in the Registration Statement, any preliminary prospectus, the Disclosure Package (as amended or supplemented), any issuer free writing prospectus as defined under Rule 433(d) under the Securities Act or the Prospectus (as amended or supplemented), or caused by any omission or alleged omission to state therein a material fact necessary to make the statements therein not misleading, except insofar as such losses, claims, damages or liabilities are caused by any such untrue statement or omission or alleged untrue statement or omission based upon information furnished to any Issuer in writing by such Underwriter through the Managers expressly for use therein; provided, however, that the foregoing indemnity with respect to any preliminary prospectus, any issuer free writing prospectus or the Disclosure Package shall not inure to the benefit of any Underwriter from whom the person asserting any such losses, claims, damages or liabilities purchased Offered Securities, or any person controlling any such Underwriter, if (a) the Issuers have notified such Underwriter that any preliminary prospectus, any issuer free writing prospectus or the Disclosure Package contains an untrue statement of a material fact or an omission to state a material fact necessary to make the statements therein not misleading, (b) the Issuers provided a copy of any such preliminary prospectus, issuer free writing prospectus or Disclosure Package (as then amended or supplemented if the Company shall have furnished any amendments or supplements thereto) or a separate free writing prospectus correcting such material misstatement or omission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60" w:top="274" w:right="439" w:bottom="1440" w:gutter="0" w:footer="0" w:header="0"/>
        </w:sectPr>
      </w:pPr>
    </w:p>
    <w:bookmarkStart w:id="58" w:name="page59"/>
    <w:bookmarkEnd w:id="58"/>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the contact of the Managers indicated in the notice provision contained in this Agreement sufficiently in advance of first entering into a contract of sale of Offered Securities with such person (the “</w:t>
      </w:r>
      <w:r>
        <w:rPr>
          <w:rFonts w:ascii="Arial" w:cs="Arial" w:eastAsia="Arial" w:hAnsi="Arial"/>
          <w:sz w:val="16"/>
          <w:szCs w:val="16"/>
          <w:b w:val="1"/>
          <w:bCs w:val="1"/>
          <w:color w:val="auto"/>
        </w:rPr>
        <w:t>Time of Sale</w:t>
      </w:r>
      <w:r>
        <w:rPr>
          <w:rFonts w:ascii="Arial" w:cs="Arial" w:eastAsia="Arial" w:hAnsi="Arial"/>
          <w:sz w:val="16"/>
          <w:szCs w:val="16"/>
          <w:color w:val="auto"/>
        </w:rPr>
        <w:t>”) so that such preliminary prospectus, issuer free writing prospectus or Disclosure Package (as so amended or supplemented but without reference to documents incorporated by reference therein) or separate free writing prospectus could have been conveyed to such person prior to the Applicable Time, and (c) the information contained in any such corrected preliminary prospectus, issuer free writing prospectus, Disclosure Package or separate free writing prospectus was not conveyed by or on behalf of such Underwriter to such person, if required by law so to have been conveyed, at or prior to the Time of Sale, and if such corrected preliminary prospectus, issuer free writing prospectus, or Disclosure Package (as so amended or supplemented but without reference to documents incorporated by reference therein) or separate free writing prospectus would have cured the defect giving rise to such loss, claim, damage or liability.</w:t>
      </w:r>
    </w:p>
    <w:p>
      <w:pPr>
        <w:spacing w:after="0" w:line="166" w:lineRule="exact"/>
        <w:rPr>
          <w:sz w:val="20"/>
          <w:szCs w:val="20"/>
          <w:color w:val="auto"/>
        </w:rPr>
      </w:pPr>
    </w:p>
    <w:p>
      <w:pPr>
        <w:ind w:right="40" w:firstLine="441"/>
        <w:spacing w:after="0" w:line="297" w:lineRule="auto"/>
        <w:rPr>
          <w:sz w:val="20"/>
          <w:szCs w:val="20"/>
          <w:color w:val="auto"/>
        </w:rPr>
      </w:pPr>
      <w:r>
        <w:rPr>
          <w:rFonts w:ascii="Arial" w:cs="Arial" w:eastAsia="Arial" w:hAnsi="Arial"/>
          <w:sz w:val="16"/>
          <w:szCs w:val="16"/>
          <w:color w:val="auto"/>
        </w:rPr>
        <w:t>Each Underwriter severally and not jointly agrees to indemnify and hold harmless each Issuer, their respective directors and officers who sign the Registration Statement and each person, if any, who controls an Issuer within the meaning of either Section 15 of the Securities Act or Section 20 of the Exchange Act to the same extent as the foregoing indemnity from the Issuers to such Underwriter, but only with reference to information relating to such Underwriter furnished to any Issuer in writing by such Underwriter through the Managers expressly for use in the Registration Statement, any preliminary prospectus, the Disclosure Package, any issuer free writing prospectus, the Prospectus or any amendment or supplement thereto.</w:t>
      </w:r>
    </w:p>
    <w:p>
      <w:pPr>
        <w:spacing w:after="0" w:line="158"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In case any proceeding (including any governmental investigation) shall be instituted involving any person in respect of which indemnity may be sought pursuant to either of the two preceding paragraphs, such person (hereinafter called the “indemnified party”) shall promptly notify the person against whom such indemnity may be sought (hereinafter called the “indemnifying party”)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connection with any proceeding or related proceedings in the same jurisdiction, be liable for the reasonable fees and expenses of more than one separate firm (in addition to any local counsel) for all such indemnified parties and that all such fees and expenses shall be reimbursed as they are incurred. In the case of any such separate firm for the Underwriters and such control persons of the Underwriters, such firm shall be designated in writing by the Managers. In the case of any such separate firm for the Issuers and such directors, officers and controlling persons of the Issuers, such firm shall be designated in writing by the Issuers. The indemnifying party shall not be liable for any settlement of any proceeding effected without its written consent, but if settled with such consent or if there be a final judgment for the plaintiff, the indemnifying party agrees to indemnify, to the</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59" w:name="page60"/>
    <w:bookmarkEnd w:id="59"/>
    <w:p>
      <w:pPr>
        <w:ind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extent provided in the two immediately preceding paragraphs, the 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188"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If the indemnification provided for in the first or second paragraph of this Section 7 is unavailable to an indemnified party in respect of any losses, claims, damages or liabilities for which indemnification is provided herein, then the indemnifying party, in lieu of indemnifying such indemnified party, shall contribute to the amount paid or payable by such indemnified party as a result of such losses, claims, damages or liabilities (i) in such proportion as is appropriate to reflect the relative benefits received by the Issuers on the one hand and the Underwriters on the other from the offering of the Offered Securities or (ii) if the allocation provided by clause (i) above is not permitted by applicable law, in such proportion as is appropriate to reflect not only the relative benefits referred to in clause (i) above but also the relative fault of the Issuers on the one hand and of the Underwriters on the other in connection with the statements or omissions which resulted in such losses, claims, damages or liabilities, as well as any other relevant equitable considerations. The relative benefits received by the Issuers and the Underwriters shall be deemed to be in the same respective proportions as the net proceeds from the offering (before deducting expenses) received by the Issuers bear to the total underwriting discounts and commissions received by the Underwriters in respect thereof. The relative fault of the Issuers and the Underwriters shall be determined by reference to, among other things, whether the untrue or alleged untrue statement of a material fact or the omission or alleged omission to state a material fact relates to information supplied by the Issuers or by the Underwriters and the parties’ relative intent, knowledge, access to information and opportunity to correct or prevent such statement or omission.</w:t>
      </w:r>
    </w:p>
    <w:p>
      <w:pPr>
        <w:spacing w:after="0" w:line="188" w:lineRule="exact"/>
        <w:rPr>
          <w:sz w:val="20"/>
          <w:szCs w:val="20"/>
          <w:color w:val="auto"/>
        </w:rPr>
      </w:pPr>
    </w:p>
    <w:p>
      <w:pPr>
        <w:ind w:right="40" w:firstLine="441"/>
        <w:spacing w:after="0" w:line="270" w:lineRule="auto"/>
        <w:rPr>
          <w:sz w:val="20"/>
          <w:szCs w:val="20"/>
          <w:color w:val="auto"/>
        </w:rPr>
      </w:pPr>
      <w:r>
        <w:rPr>
          <w:rFonts w:ascii="Arial" w:cs="Arial" w:eastAsia="Arial" w:hAnsi="Arial"/>
          <w:sz w:val="17"/>
          <w:szCs w:val="17"/>
          <w:color w:val="auto"/>
        </w:rPr>
        <w:t>The Issuers and the Underwriters agree that it would not be just and equitable if contribution pursuant to this Section 7 were determined by pro rata allocation (even if the Underwriters were treated as one entity for such purpose) or by any other method of allocation which does not take account of the equitable considerations referred to in the immediately preceding paragraph. The amount paid or payable by an indemnified party as a result of the losses, claims, damages and liabilities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Section 7, the Underwriters shall not be required to contribute any amount in excess of the amount by which the total price at which the Offered Securities underwritten by them and distributed to the public were offered to the public exceeds the amount of any damages which the Underwriters have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60" w:name="page61"/>
    <w:bookmarkEnd w:id="60"/>
    <w:p>
      <w:pPr>
        <w:ind w:right="80" w:firstLine="441"/>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indemnity and contribution agreement contained in this Section 7 and the representations and warranties of the Company contained in this Agreement shall remain operative and in full force and effect regardless of (i) any termination of this Agreement, (ii) any investigation made by or on behalf of the Underwriters or any person controlling the Underwriters or by or on behalf of the Issuers, their respective officers or directors or any other person controlling an Issuer and (iii) acceptance of and payment for any of the Offered Securities.</w:t>
      </w:r>
    </w:p>
    <w:p>
      <w:pPr>
        <w:spacing w:after="0" w:line="171" w:lineRule="exact"/>
        <w:rPr>
          <w:sz w:val="20"/>
          <w:szCs w:val="20"/>
          <w:color w:val="auto"/>
        </w:rPr>
      </w:pPr>
    </w:p>
    <w:p>
      <w:pPr>
        <w:ind w:right="120" w:firstLine="444"/>
        <w:spacing w:after="0" w:line="290" w:lineRule="auto"/>
        <w:tabs>
          <w:tab w:leader="none" w:pos="621"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t>Termination</w:t>
      </w:r>
      <w:r>
        <w:rPr>
          <w:rFonts w:ascii="Arial" w:cs="Arial" w:eastAsia="Arial" w:hAnsi="Arial"/>
          <w:sz w:val="16"/>
          <w:szCs w:val="16"/>
          <w:color w:val="auto"/>
        </w:rPr>
        <w:t>. This Agreement shall be subject to termination in the absolute discretion of the Managers by notice given by the Managers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Issuers, if (a) after the Applicable Time and prior to the Closing Date (i) trading generally shall have been suspended or materially limited on or by, as the case may be, the New York Stock Exchange, the American Stock Exchange, or the Financial Industry Regulatory Authority, (ii) trading of any securities of the Company shall have been suspended on the Nasdaq Global Select Market, (iii) a general moratorium on commercial banking activities in New York shall have been declared by either Federal or New York State authorities, or (iv) there shall have occurred any outbreak or escalation of hostilities or any change in financial markets or any calamity or crisis that, in the judgment of the Managers, is material and adverse and (b) in the case of any of the events specified in clauses (a)(i) through (iv), such event, singly or together with any other such event, makes it, in the judgment of the Managers, impracticable to market the Offered Securities on the terms and in the manner contemplated in the Disclosure Package.</w:t>
      </w:r>
    </w:p>
    <w:p>
      <w:pPr>
        <w:spacing w:after="0" w:line="166" w:lineRule="exact"/>
        <w:rPr>
          <w:sz w:val="20"/>
          <w:szCs w:val="20"/>
          <w:color w:val="auto"/>
        </w:rPr>
      </w:pPr>
    </w:p>
    <w:p>
      <w:pPr>
        <w:ind w:right="120" w:firstLine="441"/>
        <w:spacing w:after="0" w:line="287" w:lineRule="auto"/>
        <w:rPr>
          <w:sz w:val="20"/>
          <w:szCs w:val="20"/>
          <w:color w:val="auto"/>
        </w:rPr>
      </w:pPr>
      <w:r>
        <w:rPr>
          <w:rFonts w:ascii="Arial" w:cs="Arial" w:eastAsia="Arial" w:hAnsi="Arial"/>
          <w:sz w:val="16"/>
          <w:szCs w:val="16"/>
          <w:color w:val="auto"/>
        </w:rPr>
        <w:t>The Issuers will pay and bear all costs and expenses incident to the performance of their obligations under this Agreement, including (a) the preparation, printing and filing of the Registration Statement (including financial statements and exhibits), as originally filed and as amended, the preliminary prospectuses, the Disclosure Package, any free writing prospectus and the Prospectus and any amendments or supplements thereto, and the cost of furnishing copies thereto to the Underwriters, (b) the preparation, printing and distribution of this Agreement, each indenture under which the Offered Securities are to be issued and Blue Sky Memorandum, (c) the delivery of the Offered Securities to the Underwriters, (d) the fees and disbursements of the Issuers’ counsel and accountants, (e) the qualification of the Offered Securities under the applicable state securities or Blue Sky laws in accordance with Section 5, including filing fees and reasonable fees and disbursements of counsel for the Underwriters in connection therewith and in connection with any Blue Sky survey and any legal investment survey, (f) all fees payable to the Financial Industry Regulatory Authority in connection with the review, if any, of the offering of the Securities, (g) any fees charged by rating agencies for rating the Offered Securities and (h) the fees and expenses of the Trustee, including the fees and disbursements of counsel for the Trustee, in connection with each indenture under which the Offered Securities are to be issued and the Offered Securities. Except as specifically provided elsewhere herein, the Underwriters will pay all of their own costs and expenses, including without limitation the fees and expenses of their counsel and the expenses of selling presentations.</w:t>
      </w:r>
    </w:p>
    <w:p>
      <w:pPr>
        <w:spacing w:after="0" w:line="169"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If this Agreement shall be terminated by the Underwriters because of any failure or refusal on the part of the Issuers to comply with the terms or to fulfill any of the conditions of this Agreement, or if for any reason the Issuers shall be unable to perform their obligations under this Agreement, the Company will reimburse the Underwriters for all out-of-pocket expenses (including the fees and disbursements of their counsel) reasonably incurred by the Underwriters in connection with this Agreement or the offering contemplated hereunder. This provision shall survive the termination or cancellation of this Agreement.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4" w:right="439" w:bottom="1440" w:gutter="0" w:footer="0" w:header="0"/>
        </w:sectPr>
      </w:pPr>
    </w:p>
    <w:bookmarkStart w:id="61" w:name="page62"/>
    <w:bookmarkEnd w:id="61"/>
    <w:p>
      <w:pPr>
        <w:ind w:firstLine="444"/>
        <w:spacing w:after="0" w:line="268" w:lineRule="auto"/>
        <w:tabs>
          <w:tab w:leader="none" w:pos="621" w:val="left"/>
        </w:tabs>
        <w:numPr>
          <w:ilvl w:val="0"/>
          <w:numId w:val="61"/>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Defaulting Underwriters</w:t>
      </w:r>
      <w:r>
        <w:rPr>
          <w:rFonts w:ascii="Arial" w:cs="Arial" w:eastAsia="Arial" w:hAnsi="Arial"/>
          <w:sz w:val="17"/>
          <w:szCs w:val="17"/>
          <w:color w:val="auto"/>
        </w:rPr>
        <w:t>. If on the Closing Date any one or more of the Underwriters shall fail or refuse to purchase Offered Securities that it</w:t>
      </w:r>
      <w:r>
        <w:rPr>
          <w:rFonts w:ascii="Arial" w:cs="Arial" w:eastAsia="Arial" w:hAnsi="Arial"/>
          <w:sz w:val="17"/>
          <w:szCs w:val="17"/>
          <w:i w:val="1"/>
          <w:iCs w:val="1"/>
          <w:color w:val="auto"/>
        </w:rPr>
        <w:t xml:space="preserve"> </w:t>
      </w:r>
      <w:r>
        <w:rPr>
          <w:rFonts w:ascii="Arial" w:cs="Arial" w:eastAsia="Arial" w:hAnsi="Arial"/>
          <w:sz w:val="17"/>
          <w:szCs w:val="17"/>
          <w:color w:val="auto"/>
        </w:rPr>
        <w:t>has or they have agreed to purchase on such date, and the aggregate amount of Offered Securities which such defaulting Underwriter or Underwriters agreed but failed or refused to purchase is not more than one-tenth of the aggregate amount of the Offered Securities to be purchased on such date, the other Underwriters shall be obligated severally and not jointly in the proportions that the amount of Offered Securities set forth opposite their respective names bears to the aggregate amount of Offered Securities set forth opposite the names of all such non-defaulting Underwriters, or in such other proportions as the Managers may specify, to purchase the Offered Securities which such defaulting Underwriter or Underwriters agreed but failed or refused to purchase on such date; provided that in no event shall the amount of Offered Securities that any Underwriter has agreed to purchase pursuant to this Agreement be increased pursuant to this Section 9 by an amount in excess of one-ninth of such amount of Offered Securities without the written consent of such Underwriter. If on the Closing Date any Underwriter or Underwriters shall fail or refuse to purchase Offered Securities and the aggregate amount of Offered Securities with respect to which such default occurs is more than one-tenth of the aggregate amount of Offered Securities to be purchased on such date, and arrangements satisfactory to the Managers and the Issuers for the purchase of such Offered Securities are not made within 36 hours after such default, this Agreement shall terminate without liability on the part of any non-defaulting Underwriter or the Issuers. In any such case either the Managers or the Issuers shall have the right to postpone the Closing Date but in no event for longer than seven days, in order that the required changes, if any, in the Registration Statement and in the Prospectus or in any other documents or arrangements may be effected. Any action taken under this paragraph shall not relieve any defaulting Underwriter from liability in respect of any default of such Underwriter under this Agreement.</w:t>
      </w:r>
    </w:p>
    <w:p>
      <w:pPr>
        <w:spacing w:after="0" w:line="180" w:lineRule="exact"/>
        <w:rPr>
          <w:rFonts w:ascii="Arial" w:cs="Arial" w:eastAsia="Arial" w:hAnsi="Arial"/>
          <w:sz w:val="17"/>
          <w:szCs w:val="17"/>
          <w:color w:val="auto"/>
        </w:rPr>
      </w:pPr>
    </w:p>
    <w:p>
      <w:pPr>
        <w:ind w:right="80" w:firstLine="444"/>
        <w:spacing w:after="0" w:line="342" w:lineRule="auto"/>
        <w:tabs>
          <w:tab w:leader="none" w:pos="711" w:val="left"/>
        </w:tabs>
        <w:numPr>
          <w:ilvl w:val="0"/>
          <w:numId w:val="61"/>
        </w:numPr>
        <w:rPr>
          <w:rFonts w:ascii="Arial" w:cs="Arial" w:eastAsia="Arial" w:hAnsi="Arial"/>
          <w:sz w:val="16"/>
          <w:szCs w:val="16"/>
          <w:color w:val="auto"/>
        </w:rPr>
      </w:pPr>
      <w:r>
        <w:rPr>
          <w:rFonts w:ascii="Arial" w:cs="Arial" w:eastAsia="Arial" w:hAnsi="Arial"/>
          <w:sz w:val="16"/>
          <w:szCs w:val="16"/>
          <w:i w:val="1"/>
          <w:iCs w:val="1"/>
          <w:color w:val="auto"/>
        </w:rPr>
        <w:t>Counterparts</w:t>
      </w:r>
      <w:r>
        <w:rPr>
          <w:rFonts w:ascii="Arial" w:cs="Arial" w:eastAsia="Arial" w:hAnsi="Arial"/>
          <w:sz w:val="16"/>
          <w:szCs w:val="16"/>
          <w:color w:val="auto"/>
        </w:rPr>
        <w:t>. This Agreement may be signed in any number of counterparts (which may include counterparts delivered by any standard form</w:t>
      </w:r>
      <w:r>
        <w:rPr>
          <w:rFonts w:ascii="Arial" w:cs="Arial" w:eastAsia="Arial" w:hAnsi="Arial"/>
          <w:sz w:val="16"/>
          <w:szCs w:val="16"/>
          <w:i w:val="1"/>
          <w:iCs w:val="1"/>
          <w:color w:val="auto"/>
        </w:rPr>
        <w:t xml:space="preserve"> </w:t>
      </w:r>
      <w:r>
        <w:rPr>
          <w:rFonts w:ascii="Arial" w:cs="Arial" w:eastAsia="Arial" w:hAnsi="Arial"/>
          <w:sz w:val="16"/>
          <w:szCs w:val="16"/>
          <w:color w:val="auto"/>
        </w:rPr>
        <w:t>of telecommunication), each of which shall be an original, with the same effect as if the signatures thereto and hereto were upon the same instrument.</w:t>
      </w:r>
    </w:p>
    <w:p>
      <w:pPr>
        <w:spacing w:after="0" w:line="123" w:lineRule="exact"/>
        <w:rPr>
          <w:rFonts w:ascii="Arial" w:cs="Arial" w:eastAsia="Arial" w:hAnsi="Arial"/>
          <w:sz w:val="16"/>
          <w:szCs w:val="16"/>
          <w:color w:val="auto"/>
        </w:rPr>
      </w:pPr>
    </w:p>
    <w:p>
      <w:pPr>
        <w:ind w:left="700" w:hanging="256"/>
        <w:spacing w:after="0"/>
        <w:tabs>
          <w:tab w:leader="none" w:pos="700" w:val="left"/>
        </w:tabs>
        <w:numPr>
          <w:ilvl w:val="0"/>
          <w:numId w:val="61"/>
        </w:numPr>
        <w:rPr>
          <w:rFonts w:ascii="Arial" w:cs="Arial" w:eastAsia="Arial" w:hAnsi="Arial"/>
          <w:sz w:val="17"/>
          <w:szCs w:val="17"/>
          <w:color w:val="auto"/>
        </w:rPr>
      </w:pPr>
      <w:r>
        <w:rPr>
          <w:rFonts w:ascii="Arial" w:cs="Arial" w:eastAsia="Arial" w:hAnsi="Arial"/>
          <w:sz w:val="17"/>
          <w:szCs w:val="17"/>
          <w:i w:val="1"/>
          <w:iCs w:val="1"/>
          <w:color w:val="auto"/>
        </w:rPr>
        <w:t>Applicable Law</w:t>
      </w:r>
      <w:r>
        <w:rPr>
          <w:rFonts w:ascii="Arial" w:cs="Arial" w:eastAsia="Arial" w:hAnsi="Arial"/>
          <w:sz w:val="17"/>
          <w:szCs w:val="17"/>
          <w:color w:val="auto"/>
        </w:rPr>
        <w:t>. This Agreement shall be governed by and construed in accordance with the internal laws of the State of New York.</w:t>
      </w:r>
    </w:p>
    <w:p>
      <w:pPr>
        <w:spacing w:after="0" w:line="236" w:lineRule="exact"/>
        <w:rPr>
          <w:rFonts w:ascii="Arial" w:cs="Arial" w:eastAsia="Arial" w:hAnsi="Arial"/>
          <w:sz w:val="17"/>
          <w:szCs w:val="17"/>
          <w:color w:val="auto"/>
        </w:rPr>
      </w:pPr>
    </w:p>
    <w:p>
      <w:pPr>
        <w:ind w:right="40" w:firstLine="444"/>
        <w:spacing w:after="0" w:line="277" w:lineRule="auto"/>
        <w:tabs>
          <w:tab w:leader="none" w:pos="711"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Headings</w:t>
      </w:r>
      <w:r>
        <w:rPr>
          <w:rFonts w:ascii="Arial" w:cs="Arial" w:eastAsia="Arial" w:hAnsi="Arial"/>
          <w:sz w:val="18"/>
          <w:szCs w:val="18"/>
          <w:color w:val="auto"/>
        </w:rPr>
        <w:t>. The headings of the sections of this Agreement have been inserted for convenience of reference only and shall not be deemed a part</w:t>
      </w:r>
      <w:r>
        <w:rPr>
          <w:rFonts w:ascii="Arial" w:cs="Arial" w:eastAsia="Arial" w:hAnsi="Arial"/>
          <w:sz w:val="18"/>
          <w:szCs w:val="18"/>
          <w:i w:val="1"/>
          <w:iCs w:val="1"/>
          <w:color w:val="auto"/>
        </w:rPr>
        <w:t xml:space="preserve"> </w:t>
      </w:r>
      <w:r>
        <w:rPr>
          <w:rFonts w:ascii="Arial" w:cs="Arial" w:eastAsia="Arial" w:hAnsi="Arial"/>
          <w:sz w:val="18"/>
          <w:szCs w:val="18"/>
          <w:color w:val="auto"/>
        </w:rPr>
        <w:t>of this Agreement.</w:t>
      </w:r>
    </w:p>
    <w:p>
      <w:pPr>
        <w:spacing w:after="0" w:line="170" w:lineRule="exact"/>
        <w:rPr>
          <w:rFonts w:ascii="Arial" w:cs="Arial" w:eastAsia="Arial" w:hAnsi="Arial"/>
          <w:sz w:val="18"/>
          <w:szCs w:val="18"/>
          <w:color w:val="auto"/>
        </w:rPr>
      </w:pPr>
    </w:p>
    <w:p>
      <w:pPr>
        <w:jc w:val="both"/>
        <w:ind w:right="80" w:firstLine="444"/>
        <w:spacing w:after="0" w:line="259" w:lineRule="auto"/>
        <w:tabs>
          <w:tab w:leader="none" w:pos="711"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USA Patriot Act. </w:t>
      </w:r>
      <w:r>
        <w:rPr>
          <w:rFonts w:ascii="Arial" w:cs="Arial" w:eastAsia="Arial" w:hAnsi="Arial"/>
          <w:sz w:val="18"/>
          <w:szCs w:val="18"/>
          <w:color w:val="auto"/>
        </w:rPr>
        <w:t>In accordance with the requirements of the USA Patriot Act (Title III of Pub. L. 107-56 (signed into law October 26, 2001)),</w:t>
      </w:r>
      <w:r>
        <w:rPr>
          <w:rFonts w:ascii="Arial" w:cs="Arial" w:eastAsia="Arial" w:hAnsi="Arial"/>
          <w:sz w:val="18"/>
          <w:szCs w:val="18"/>
          <w:i w:val="1"/>
          <w:iCs w:val="1"/>
          <w:color w:val="auto"/>
        </w:rPr>
        <w:t xml:space="preserve"> </w:t>
      </w:r>
      <w:r>
        <w:rPr>
          <w:rFonts w:ascii="Arial" w:cs="Arial" w:eastAsia="Arial" w:hAnsi="Arial"/>
          <w:sz w:val="18"/>
          <w:szCs w:val="18"/>
          <w:color w:val="auto"/>
        </w:rPr>
        <w:t>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86" w:lineRule="exact"/>
        <w:rPr>
          <w:rFonts w:ascii="Arial" w:cs="Arial" w:eastAsia="Arial" w:hAnsi="Arial"/>
          <w:sz w:val="18"/>
          <w:szCs w:val="18"/>
          <w:color w:val="auto"/>
        </w:rPr>
      </w:pPr>
    </w:p>
    <w:p>
      <w:pPr>
        <w:ind w:left="720" w:hanging="276"/>
        <w:spacing w:after="0"/>
        <w:tabs>
          <w:tab w:leader="none" w:pos="72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Recognition of the U.S. Special Resolution Regimes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440" w:right="80" w:firstLine="428"/>
        <w:spacing w:after="0" w:line="259" w:lineRule="auto"/>
        <w:tabs>
          <w:tab w:leader="none" w:pos="1108" w:val="left"/>
        </w:tabs>
        <w:numPr>
          <w:ilvl w:val="1"/>
          <w:numId w:val="61"/>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78" w:lineRule="exact"/>
        <w:rPr>
          <w:rFonts w:ascii="Arial" w:cs="Arial" w:eastAsia="Arial" w:hAnsi="Arial"/>
          <w:sz w:val="18"/>
          <w:szCs w:val="18"/>
          <w:color w:val="auto"/>
        </w:rPr>
      </w:pPr>
    </w:p>
    <w:p>
      <w:pPr>
        <w:ind w:left="440" w:right="60" w:firstLine="428"/>
        <w:spacing w:after="0" w:line="259" w:lineRule="auto"/>
        <w:tabs>
          <w:tab w:leader="none" w:pos="1118" w:val="left"/>
        </w:tabs>
        <w:numPr>
          <w:ilvl w:val="1"/>
          <w:numId w:val="61"/>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7" w:lineRule="exact"/>
        <w:rPr>
          <w:sz w:val="20"/>
          <w:szCs w:val="20"/>
          <w:color w:val="auto"/>
        </w:rPr>
      </w:pPr>
    </w:p>
    <w:p>
      <w:pPr>
        <w:ind w:right="140" w:firstLine="441"/>
        <w:spacing w:after="0" w:line="272" w:lineRule="auto"/>
        <w:rPr>
          <w:sz w:val="20"/>
          <w:szCs w:val="20"/>
          <w:color w:val="auto"/>
        </w:rPr>
      </w:pPr>
      <w:r>
        <w:rPr>
          <w:rFonts w:ascii="Arial" w:cs="Arial" w:eastAsia="Arial" w:hAnsi="Arial"/>
          <w:sz w:val="17"/>
          <w:szCs w:val="17"/>
          <w:color w:val="auto"/>
        </w:rPr>
        <w:t>For purposes of this Section 14,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4.4</w:t>
      </w:r>
    </w:p>
    <w:p>
      <w:pPr>
        <w:spacing w:after="0" w:line="22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Arial" w:cs="Arial" w:eastAsia="Arial" w:hAnsi="Arial"/>
          <w:sz w:val="18"/>
          <w:szCs w:val="18"/>
          <w:b w:val="1"/>
          <w:bCs w:val="1"/>
          <w:color w:val="auto"/>
        </w:rPr>
        <w:t>DTC</w:t>
      </w:r>
      <w:r>
        <w:rPr>
          <w:rFonts w:ascii="Arial" w:cs="Arial" w:eastAsia="Arial" w:hAnsi="Arial"/>
          <w:sz w:val="18"/>
          <w:szCs w:val="18"/>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 BENEFICIAL INTEREST HEREIN.</w:t>
      </w:r>
    </w:p>
    <w:p>
      <w:pPr>
        <w:sectPr>
          <w:pgSz w:w="11900" w:h="16838" w:orient="portrait"/>
          <w:cols w:equalWidth="0" w:num="1">
            <w:col w:w="11020"/>
          </w:cols>
          <w:pgMar w:left="440" w:top="121" w:right="439" w:bottom="1440" w:gutter="0" w:footer="0" w:header="0"/>
        </w:sectPr>
      </w:pPr>
    </w:p>
    <w:bookmarkStart w:id="63" w:name="page64"/>
    <w:bookmarkEnd w:id="63"/>
    <w:p>
      <w:pPr>
        <w:ind w:left="4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COMCAST CORPORATION</w:t>
      </w:r>
    </w:p>
    <w:p>
      <w:pPr>
        <w:spacing w:after="0" w:line="225" w:lineRule="exact"/>
        <w:rPr>
          <w:sz w:val="20"/>
          <w:szCs w:val="20"/>
          <w:color w:val="auto"/>
        </w:rPr>
      </w:pPr>
    </w:p>
    <w:p>
      <w:pPr>
        <w:ind w:left="4320"/>
        <w:spacing w:after="0"/>
        <w:tabs>
          <w:tab w:leader="none" w:pos="4540" w:val="left"/>
          <w:tab w:leader="none" w:pos="6620" w:val="left"/>
        </w:tabs>
        <w:rPr>
          <w:sz w:val="20"/>
          <w:szCs w:val="20"/>
          <w:color w:val="auto"/>
        </w:rPr>
      </w:pPr>
      <w:r>
        <w:rPr>
          <w:rFonts w:ascii="Arial" w:cs="Arial" w:eastAsia="Arial" w:hAnsi="Arial"/>
          <w:sz w:val="18"/>
          <w:szCs w:val="18"/>
          <w:b w:val="1"/>
          <w:bCs w:val="1"/>
          <w:color w:val="auto"/>
        </w:rPr>
        <w:t>[</w:t>
        <w:tab/>
        <w:t>]% Senior Notes Due 20[</w:t>
        <w:tab/>
        <w:t>]</w:t>
      </w:r>
    </w:p>
    <w:p>
      <w:pPr>
        <w:sectPr>
          <w:pgSz w:w="11900" w:h="16838" w:orient="portrait"/>
          <w:cols w:equalWidth="0" w:num="1">
            <w:col w:w="11020"/>
          </w:cols>
          <w:pgMar w:left="440" w:top="270" w:right="4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No. [</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CUSIP No.: [</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ISIN No.: [</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4">
            <w:col w:w="380" w:space="180"/>
            <w:col w:w="8160" w:space="720"/>
            <w:col w:w="980" w:space="540"/>
            <w:col w:w="60"/>
          </w:cols>
          <w:pgMar w:left="440" w:top="270" w:right="439" w:bottom="1440" w:gutter="0" w:footer="0" w:header="0"/>
          <w:type w:val="continuous"/>
        </w:sectPr>
      </w:pPr>
    </w:p>
    <w:p>
      <w:pPr>
        <w:spacing w:after="0" w:line="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COMCAST CORPORATION, a Pennsylvania corporation (the “</w:t>
      </w:r>
      <w:r>
        <w:rPr>
          <w:rFonts w:ascii="Arial" w:cs="Arial" w:eastAsia="Arial" w:hAnsi="Arial"/>
          <w:sz w:val="16"/>
          <w:szCs w:val="16"/>
          <w:b w:val="1"/>
          <w:bCs w:val="1"/>
          <w:color w:val="auto"/>
        </w:rPr>
        <w:t>Issuer</w:t>
      </w:r>
      <w:r>
        <w:rPr>
          <w:rFonts w:ascii="Arial" w:cs="Arial" w:eastAsia="Arial" w:hAnsi="Arial"/>
          <w:sz w:val="16"/>
          <w:szCs w:val="16"/>
          <w:color w:val="auto"/>
        </w:rPr>
        <w:t>”, which term includes any successor entity), for value received promises</w:t>
      </w:r>
    </w:p>
    <w:p>
      <w:pPr>
        <w:spacing w:after="0" w:line="50" w:lineRule="exact"/>
        <w:rPr>
          <w:sz w:val="20"/>
          <w:szCs w:val="20"/>
          <w:color w:val="auto"/>
        </w:rPr>
      </w:pPr>
    </w:p>
    <w:p>
      <w:pPr>
        <w:spacing w:after="0"/>
        <w:tabs>
          <w:tab w:leader="none" w:pos="5440" w:val="left"/>
          <w:tab w:leader="none" w:pos="6200" w:val="left"/>
          <w:tab w:leader="none" w:pos="7760" w:val="left"/>
        </w:tabs>
        <w:rPr>
          <w:sz w:val="20"/>
          <w:szCs w:val="20"/>
          <w:color w:val="auto"/>
        </w:rPr>
      </w:pPr>
      <w:r>
        <w:rPr>
          <w:rFonts w:ascii="Arial" w:cs="Arial" w:eastAsia="Arial" w:hAnsi="Arial"/>
          <w:sz w:val="18"/>
          <w:szCs w:val="18"/>
          <w:color w:val="auto"/>
        </w:rPr>
        <w:t>to pay to CEDE &amp; CO. or registered assigns, the principal sum of $[</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 Dollars) on [</w:t>
      </w:r>
      <w:r>
        <w:rPr>
          <w:sz w:val="20"/>
          <w:szCs w:val="20"/>
          <w:color w:val="auto"/>
        </w:rPr>
        <w:tab/>
      </w:r>
      <w:r>
        <w:rPr>
          <w:rFonts w:ascii="Arial" w:cs="Arial" w:eastAsia="Arial" w:hAnsi="Arial"/>
          <w:sz w:val="18"/>
          <w:szCs w:val="18"/>
          <w:color w:val="auto"/>
        </w:rPr>
        <w:t>].</w:t>
      </w:r>
    </w:p>
    <w:p>
      <w:pPr>
        <w:sectPr>
          <w:pgSz w:w="11900" w:h="16838" w:orient="portrait"/>
          <w:cols w:equalWidth="0" w:num="1">
            <w:col w:w="11020"/>
          </w:cols>
          <w:pgMar w:left="440" w:top="270" w:right="439" w:bottom="1440" w:gutter="0" w:footer="0" w:header="0"/>
          <w:type w:val="continuous"/>
        </w:sectPr>
      </w:pP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Interest Payment Dates: [</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and [</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(each, an “</w:t>
      </w:r>
      <w:r>
        <w:rPr>
          <w:rFonts w:ascii="Arial" w:cs="Arial" w:eastAsia="Arial" w:hAnsi="Arial"/>
          <w:sz w:val="16"/>
          <w:szCs w:val="16"/>
          <w:b w:val="1"/>
          <w:bCs w:val="1"/>
          <w:color w:val="auto"/>
        </w:rPr>
        <w:t>Interest Payment Date</w:t>
      </w:r>
      <w:r>
        <w:rPr>
          <w:rFonts w:ascii="Arial" w:cs="Arial" w:eastAsia="Arial" w:hAnsi="Arial"/>
          <w:sz w:val="16"/>
          <w:szCs w:val="16"/>
          <w:color w:val="auto"/>
        </w:rPr>
        <w:t>”), commencing on [</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4">
            <w:col w:w="2260" w:space="540"/>
            <w:col w:w="480" w:space="540"/>
            <w:col w:w="4100" w:space="540"/>
            <w:col w:w="2560"/>
          </w:cols>
          <w:pgMar w:left="440" w:top="270" w:right="439" w:bottom="1440" w:gutter="0" w:footer="0" w:header="0"/>
          <w:type w:val="continuous"/>
        </w:sectPr>
      </w:pPr>
    </w:p>
    <w:p>
      <w:pPr>
        <w:spacing w:after="0" w:line="3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Interest Record Dates: [</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and [</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 (each, an “</w:t>
      </w:r>
      <w:r>
        <w:rPr>
          <w:rFonts w:ascii="Arial" w:cs="Arial" w:eastAsia="Arial" w:hAnsi="Arial"/>
          <w:sz w:val="16"/>
          <w:szCs w:val="16"/>
          <w:b w:val="1"/>
          <w:bCs w:val="1"/>
          <w:color w:val="auto"/>
        </w:rPr>
        <w:t>Interest Record Date</w:t>
      </w:r>
      <w:r>
        <w:rPr>
          <w:rFonts w:ascii="Arial" w:cs="Arial" w:eastAsia="Arial" w:hAnsi="Arial"/>
          <w:sz w:val="16"/>
          <w:szCs w:val="16"/>
          <w:color w:val="auto"/>
        </w:rPr>
        <w:t>”).</w:t>
      </w:r>
    </w:p>
    <w:p>
      <w:pPr>
        <w:spacing w:after="0" w:line="204" w:lineRule="exact"/>
        <w:rPr>
          <w:sz w:val="20"/>
          <w:szCs w:val="20"/>
          <w:color w:val="auto"/>
        </w:rPr>
      </w:pPr>
    </w:p>
    <w:p>
      <w:pPr>
        <w:sectPr>
          <w:pgSz w:w="11900" w:h="16838" w:orient="portrait"/>
          <w:cols w:equalWidth="0" w:num="3">
            <w:col w:w="2160" w:space="540"/>
            <w:col w:w="460" w:space="540"/>
            <w:col w:w="7320"/>
          </w:cols>
          <w:pgMar w:left="440" w:top="270" w:right="439" w:bottom="1440" w:gutter="0" w:footer="0" w:header="0"/>
          <w:type w:val="continuous"/>
        </w:sectPr>
      </w:pPr>
    </w:p>
    <w:p>
      <w:pPr>
        <w:spacing w:after="0" w:line="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Reference is made to the further provisions of this Security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ectPr>
          <w:pgSz w:w="11900" w:h="16838" w:orient="portrait"/>
          <w:cols w:equalWidth="0" w:num="1">
            <w:col w:w="11020"/>
          </w:cols>
          <w:pgMar w:left="440" w:top="270" w:right="439" w:bottom="1440" w:gutter="0" w:footer="0" w:header="0"/>
          <w:type w:val="continuous"/>
        </w:sectPr>
      </w:pPr>
    </w:p>
    <w:bookmarkStart w:id="64" w:name="page65"/>
    <w:bookmarkEnd w:id="64"/>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Issuer has caused this Security to be signed manually or by facsimile by its duly authorized officer under its corporate seal.</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 of Comcast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460"/>
          </w:cols>
          <w:pgMar w:left="440" w:top="274" w:right="999" w:bottom="1440" w:gutter="0" w:footer="0" w:header="0"/>
        </w:sectPr>
      </w:pPr>
    </w:p>
    <w:bookmarkStart w:id="65" w:name="page66"/>
    <w:bookmarkEnd w:id="6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is one of the series designated herein and referred to in the within-mentioned Indenture.</w:t>
      </w:r>
    </w:p>
    <w:p>
      <w:pPr>
        <w:spacing w:after="0" w:line="22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Dated: [</w:t>
      </w:r>
      <w:r>
        <w:rPr>
          <w:sz w:val="20"/>
          <w:szCs w:val="20"/>
          <w:color w:val="auto"/>
        </w:rPr>
        <w:tab/>
      </w:r>
      <w:r>
        <w:rPr>
          <w:rFonts w:ascii="Arial" w:cs="Arial" w:eastAsia="Arial" w:hAnsi="Arial"/>
          <w:sz w:val="18"/>
          <w:szCs w:val="18"/>
          <w:color w:val="auto"/>
        </w:rPr>
        <w:t>]</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THE BANK OF NEW YORK MELLON,</w:t>
      </w:r>
    </w:p>
    <w:p>
      <w:pPr>
        <w:spacing w:after="0" w:line="35"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Authorized Signatory</w:t>
      </w:r>
    </w:p>
    <w:p>
      <w:pPr>
        <w:sectPr>
          <w:pgSz w:w="11900" w:h="16838" w:orient="portrait"/>
          <w:cols w:equalWidth="0" w:num="1">
            <w:col w:w="10019"/>
          </w:cols>
          <w:pgMar w:left="440" w:top="274" w:right="1440" w:bottom="1440" w:gutter="0" w:footer="0" w:header="0"/>
        </w:sectPr>
      </w:pPr>
    </w:p>
    <w:bookmarkStart w:id="66" w:name="page67"/>
    <w:bookmarkEnd w:id="66"/>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(REVERSE OF SECURITY)</w:t>
      </w:r>
    </w:p>
    <w:p>
      <w:pPr>
        <w:spacing w:after="0" w:line="221"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COMCAST CORPORATION</w:t>
      </w:r>
    </w:p>
    <w:p>
      <w:pPr>
        <w:spacing w:after="0" w:line="225" w:lineRule="exact"/>
        <w:rPr>
          <w:sz w:val="20"/>
          <w:szCs w:val="20"/>
          <w:color w:val="auto"/>
        </w:rPr>
      </w:pPr>
    </w:p>
    <w:p>
      <w:pPr>
        <w:ind w:left="4420"/>
        <w:spacing w:after="0"/>
        <w:tabs>
          <w:tab w:leader="none" w:pos="4640" w:val="left"/>
          <w:tab w:leader="none" w:pos="6540" w:val="left"/>
        </w:tabs>
        <w:rPr>
          <w:sz w:val="20"/>
          <w:szCs w:val="20"/>
          <w:color w:val="auto"/>
        </w:rPr>
      </w:pPr>
      <w:r>
        <w:rPr>
          <w:rFonts w:ascii="Arial" w:cs="Arial" w:eastAsia="Arial" w:hAnsi="Arial"/>
          <w:sz w:val="18"/>
          <w:szCs w:val="18"/>
          <w:b w:val="1"/>
          <w:bCs w:val="1"/>
          <w:color w:val="auto"/>
        </w:rPr>
        <w:t>[</w:t>
        <w:tab/>
        <w:t>]% Senior Notes Due [</w:t>
        <w:tab/>
        <w:t>]</w:t>
      </w:r>
    </w:p>
    <w:p>
      <w:pPr>
        <w:spacing w:after="0" w:line="135" w:lineRule="exact"/>
        <w:rPr>
          <w:sz w:val="20"/>
          <w:szCs w:val="20"/>
          <w:color w:val="auto"/>
        </w:rPr>
      </w:pPr>
    </w:p>
    <w:p>
      <w:pPr>
        <w:ind w:left="980" w:hanging="544"/>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Interest.</w:t>
      </w:r>
    </w:p>
    <w:p>
      <w:pPr>
        <w:spacing w:after="0" w:line="221" w:lineRule="exact"/>
        <w:rPr>
          <w:sz w:val="20"/>
          <w:szCs w:val="20"/>
          <w:color w:val="auto"/>
        </w:rPr>
      </w:pPr>
    </w:p>
    <w:p>
      <w:pPr>
        <w:ind w:right="160" w:firstLine="441"/>
        <w:spacing w:after="0" w:line="293" w:lineRule="auto"/>
        <w:rPr>
          <w:sz w:val="20"/>
          <w:szCs w:val="20"/>
          <w:color w:val="auto"/>
        </w:rPr>
      </w:pPr>
      <w:r>
        <w:rPr>
          <w:rFonts w:ascii="Arial" w:cs="Arial" w:eastAsia="Arial" w:hAnsi="Arial"/>
          <w:sz w:val="16"/>
          <w:szCs w:val="16"/>
          <w:color w:val="auto"/>
        </w:rPr>
        <w:t>COMCAST CORPORATION, a Pennsylvania corporation (the “</w:t>
      </w:r>
      <w:r>
        <w:rPr>
          <w:rFonts w:ascii="Arial" w:cs="Arial" w:eastAsia="Arial" w:hAnsi="Arial"/>
          <w:sz w:val="16"/>
          <w:szCs w:val="16"/>
          <w:b w:val="1"/>
          <w:bCs w:val="1"/>
          <w:color w:val="auto"/>
        </w:rPr>
        <w:t>Issuer</w:t>
      </w:r>
      <w:r>
        <w:rPr>
          <w:rFonts w:ascii="Arial" w:cs="Arial" w:eastAsia="Arial" w:hAnsi="Arial"/>
          <w:sz w:val="16"/>
          <w:szCs w:val="16"/>
          <w:color w:val="auto"/>
        </w:rPr>
        <w:t>”, which term includes any successor entity), promises to pay interest on the principal amount of this Security at the rate per annum set forth above. Interest on this Security will accrue from the most recent date to which</w:t>
      </w:r>
    </w:p>
    <w:p>
      <w:pPr>
        <w:spacing w:after="0" w:line="1" w:lineRule="exact"/>
        <w:rPr>
          <w:sz w:val="20"/>
          <w:szCs w:val="20"/>
          <w:color w:val="auto"/>
        </w:rPr>
      </w:pPr>
    </w:p>
    <w:p>
      <w:pPr>
        <w:spacing w:after="0"/>
        <w:tabs>
          <w:tab w:leader="none" w:pos="7820" w:val="left"/>
        </w:tabs>
        <w:rPr>
          <w:sz w:val="20"/>
          <w:szCs w:val="20"/>
          <w:color w:val="auto"/>
        </w:rPr>
      </w:pPr>
      <w:r>
        <w:rPr>
          <w:rFonts w:ascii="Arial" w:cs="Arial" w:eastAsia="Arial" w:hAnsi="Arial"/>
          <w:sz w:val="18"/>
          <w:szCs w:val="18"/>
          <w:color w:val="auto"/>
        </w:rPr>
        <w:t>interest has been paid or duly provided for or, if no interest has been paid or duly provided for, from [</w:t>
      </w:r>
      <w:r>
        <w:rPr>
          <w:sz w:val="20"/>
          <w:szCs w:val="20"/>
          <w:color w:val="auto"/>
        </w:rPr>
        <w:tab/>
      </w:r>
      <w:r>
        <w:rPr>
          <w:rFonts w:ascii="Arial" w:cs="Arial" w:eastAsia="Arial" w:hAnsi="Arial"/>
          <w:sz w:val="16"/>
          <w:szCs w:val="16"/>
          <w:color w:val="auto"/>
        </w:rPr>
        <w:t>]. The Issuer will pay interest semiannually</w:t>
      </w:r>
    </w:p>
    <w:p>
      <w:pPr>
        <w:spacing w:after="0" w:line="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arrears on each Interest Payment Date, commencing [ ] to the Persons in whose names the Securities are registered at the close of business on the preceding Interest Record Date (whether or not a Business Day). Interest will be computed on the basis of a 360-day year consisting of twelve 30-day months and, for partial months, on the basis of actual days elapsed in a 30-day month.</w:t>
      </w:r>
    </w:p>
    <w:p>
      <w:pPr>
        <w:spacing w:after="0" w:line="190"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197" w:lineRule="exact"/>
        <w:rPr>
          <w:sz w:val="20"/>
          <w:szCs w:val="20"/>
          <w:color w:val="auto"/>
        </w:rPr>
      </w:pPr>
    </w:p>
    <w:p>
      <w:pPr>
        <w:ind w:left="980" w:hanging="544"/>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Method of Payment.</w:t>
      </w:r>
    </w:p>
    <w:p>
      <w:pPr>
        <w:spacing w:after="0" w:line="225"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Securities subsequent to such Interest Record Date and prior to such Interest Payment Date. Holders must surrender Securities to The Bank of New York Mellon (the “</w:t>
      </w:r>
      <w:r>
        <w:rPr>
          <w:rFonts w:ascii="Arial" w:cs="Arial" w:eastAsia="Arial" w:hAnsi="Arial"/>
          <w:sz w:val="16"/>
          <w:szCs w:val="16"/>
          <w:b w:val="1"/>
          <w:bCs w:val="1"/>
          <w:color w:val="auto"/>
        </w:rPr>
        <w:t>Trustee</w:t>
      </w:r>
      <w:r>
        <w:rPr>
          <w:rFonts w:ascii="Arial" w:cs="Arial" w:eastAsia="Arial" w:hAnsi="Arial"/>
          <w:sz w:val="16"/>
          <w:szCs w:val="16"/>
          <w:color w:val="auto"/>
        </w:rPr>
        <w:t>”) to collect principal payments. The Issuer shall pay principal and interest in money of the United States that at the time of payment is legal tender for payment of public and private debts (“</w:t>
      </w:r>
      <w:r>
        <w:rPr>
          <w:rFonts w:ascii="Arial" w:cs="Arial" w:eastAsia="Arial" w:hAnsi="Arial"/>
          <w:sz w:val="16"/>
          <w:szCs w:val="16"/>
          <w:b w:val="1"/>
          <w:bCs w:val="1"/>
          <w:color w:val="auto"/>
        </w:rPr>
        <w:t>U.S. Legal Tender</w:t>
      </w:r>
      <w:r>
        <w:rPr>
          <w:rFonts w:ascii="Arial" w:cs="Arial" w:eastAsia="Arial" w:hAnsi="Arial"/>
          <w:sz w:val="16"/>
          <w:szCs w:val="16"/>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R-1</w:t>
      </w:r>
    </w:p>
    <w:p>
      <w:pPr>
        <w:sectPr>
          <w:pgSz w:w="11900" w:h="16838" w:orient="portrait"/>
          <w:cols w:equalWidth="0" w:num="1">
            <w:col w:w="10960"/>
          </w:cols>
          <w:pgMar w:left="440" w:top="274" w:right="499" w:bottom="1440" w:gutter="0" w:footer="0" w:header="0"/>
        </w:sectPr>
      </w:pPr>
    </w:p>
    <w:bookmarkStart w:id="67" w:name="page68"/>
    <w:bookmarkEnd w:id="67"/>
    <w:p>
      <w:pPr>
        <w:ind w:left="980" w:hanging="544"/>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Paying Agent.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Initially, the Trustee will act as Paying Agent. The Issuer may change any Paying Agent without notice to the Holders.</w:t>
      </w:r>
    </w:p>
    <w:p>
      <w:pPr>
        <w:spacing w:after="0" w:line="252" w:lineRule="exact"/>
        <w:rPr>
          <w:sz w:val="20"/>
          <w:szCs w:val="20"/>
          <w:color w:val="auto"/>
        </w:rPr>
      </w:pPr>
    </w:p>
    <w:p>
      <w:pPr>
        <w:ind w:left="980" w:hanging="544"/>
        <w:spacing w:after="0"/>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Indenture.</w:t>
      </w:r>
    </w:p>
    <w:p>
      <w:pPr>
        <w:spacing w:after="0" w:line="225"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The Issuer issued the Securities under an Indenture dated as of September 18, 2013, by and among the Issuer, the guarantors named therein and the Trustee, as amended by the First Supplemental Indenture dated as of November 17, 2015, by and among the Issuer, the guarantors named therein (the “</w:t>
      </w:r>
      <w:r>
        <w:rPr>
          <w:rFonts w:ascii="Arial" w:cs="Arial" w:eastAsia="Arial" w:hAnsi="Arial"/>
          <w:sz w:val="17"/>
          <w:szCs w:val="17"/>
          <w:b w:val="1"/>
          <w:bCs w:val="1"/>
          <w:color w:val="auto"/>
        </w:rPr>
        <w:t>Guarantors</w:t>
      </w:r>
      <w:r>
        <w:rPr>
          <w:rFonts w:ascii="Arial" w:cs="Arial" w:eastAsia="Arial" w:hAnsi="Arial"/>
          <w:sz w:val="17"/>
          <w:szCs w:val="17"/>
          <w:color w:val="auto"/>
        </w:rPr>
        <w:t>”) and the Trustee (as amended, the “</w:t>
      </w:r>
      <w:r>
        <w:rPr>
          <w:rFonts w:ascii="Arial" w:cs="Arial" w:eastAsia="Arial" w:hAnsi="Arial"/>
          <w:sz w:val="17"/>
          <w:szCs w:val="17"/>
          <w:b w:val="1"/>
          <w:bCs w:val="1"/>
          <w:color w:val="auto"/>
        </w:rPr>
        <w:t>Indenture</w:t>
      </w:r>
      <w:r>
        <w:rPr>
          <w:rFonts w:ascii="Arial" w:cs="Arial" w:eastAsia="Arial" w:hAnsi="Arial"/>
          <w:sz w:val="17"/>
          <w:szCs w:val="17"/>
          <w:color w:val="auto"/>
        </w:rPr>
        <w:t>”). Capitalized terms herein are used as defined in the Indenture unless otherwise defined herein. The terms of the Securities include those stated in the Indenture and those made part of the Indenture by reference to the Trust Indenture Act of 1939 (15 U.S.C. Sections 77aaa-77bbbb) (the “</w:t>
      </w:r>
      <w:r>
        <w:rPr>
          <w:rFonts w:ascii="Arial" w:cs="Arial" w:eastAsia="Arial" w:hAnsi="Arial"/>
          <w:sz w:val="17"/>
          <w:szCs w:val="17"/>
          <w:b w:val="1"/>
          <w:bCs w:val="1"/>
          <w:color w:val="auto"/>
        </w:rPr>
        <w:t>TIA</w:t>
      </w:r>
      <w:r>
        <w:rPr>
          <w:rFonts w:ascii="Arial" w:cs="Arial" w:eastAsia="Arial" w:hAnsi="Arial"/>
          <w:sz w:val="17"/>
          <w:szCs w:val="17"/>
          <w:color w:val="auto"/>
        </w:rPr>
        <w:t>”), as is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 This note is a “Security” and the notes are “Securities” under the Indenture.</w:t>
      </w:r>
    </w:p>
    <w:p>
      <w:pPr>
        <w:spacing w:after="0" w:line="209" w:lineRule="exact"/>
        <w:rPr>
          <w:sz w:val="20"/>
          <w:szCs w:val="20"/>
          <w:color w:val="auto"/>
        </w:rPr>
      </w:pPr>
    </w:p>
    <w:p>
      <w:pPr>
        <w:ind w:left="980" w:hanging="544"/>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Guarantees.</w:t>
      </w:r>
    </w:p>
    <w:p>
      <w:pPr>
        <w:spacing w:after="0" w:line="225" w:lineRule="exact"/>
        <w:rPr>
          <w:sz w:val="20"/>
          <w:szCs w:val="20"/>
          <w:color w:val="auto"/>
        </w:rPr>
      </w:pPr>
    </w:p>
    <w:p>
      <w:pPr>
        <w:jc w:val="both"/>
        <w:ind w:right="380" w:firstLine="441"/>
        <w:spacing w:after="0" w:line="259" w:lineRule="auto"/>
        <w:rPr>
          <w:sz w:val="20"/>
          <w:szCs w:val="20"/>
          <w:color w:val="auto"/>
        </w:rPr>
      </w:pPr>
      <w:r>
        <w:rPr>
          <w:rFonts w:ascii="Arial" w:cs="Arial" w:eastAsia="Arial" w:hAnsi="Arial"/>
          <w:sz w:val="18"/>
          <w:szCs w:val="18"/>
          <w:color w:val="auto"/>
        </w:rPr>
        <w:t>Each of NBCUniversal Media, LLC and Comcast Cable Communications, LLC has irrevocably, fully and unconditionally guaranteed,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ectPr>
          <w:pgSz w:w="11900" w:h="16838" w:orient="portrait"/>
          <w:cols w:equalWidth="0" w:num="1">
            <w:col w:w="11000"/>
          </w:cols>
          <w:pgMar w:left="440" w:top="274" w:right="459" w:bottom="1440" w:gutter="0" w:footer="0" w:header="0"/>
        </w:sectPr>
      </w:pPr>
    </w:p>
    <w:p>
      <w:pPr>
        <w:spacing w:after="0" w:line="214" w:lineRule="exact"/>
        <w:rPr>
          <w:sz w:val="20"/>
          <w:szCs w:val="20"/>
          <w:color w:val="auto"/>
        </w:rPr>
      </w:pPr>
    </w:p>
    <w:p>
      <w:pPr>
        <w:jc w:val="center"/>
        <w:ind w:left="44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Denominations; Transfer; Exchange.</w:t>
      </w:r>
    </w:p>
    <w:p>
      <w:pPr>
        <w:spacing w:after="0" w:line="200" w:lineRule="exact"/>
        <w:rPr>
          <w:sz w:val="20"/>
          <w:szCs w:val="20"/>
          <w:color w:val="auto"/>
        </w:rPr>
      </w:pPr>
    </w:p>
    <w:p>
      <w:pPr>
        <w:sectPr>
          <w:pgSz w:w="11900" w:h="16838" w:orient="portrait"/>
          <w:cols w:equalWidth="0" w:num="2">
            <w:col w:w="580" w:space="400"/>
            <w:col w:w="10020"/>
          </w:cols>
          <w:pgMar w:left="440" w:top="274" w:right="459" w:bottom="1440" w:gutter="0" w:footer="0" w:header="0"/>
          <w:type w:val="continuous"/>
        </w:sectPr>
      </w:pPr>
    </w:p>
    <w:p>
      <w:pPr>
        <w:spacing w:after="0" w:line="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Securities are in registered form, without coupons, in denominations of $[</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and multiples of $[</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 in excess thereof. A Holder</w:t>
      </w:r>
    </w:p>
    <w:p>
      <w:pPr>
        <w:spacing w:after="0" w:line="46" w:lineRule="exact"/>
        <w:rPr>
          <w:sz w:val="20"/>
          <w:szCs w:val="20"/>
          <w:color w:val="auto"/>
        </w:rPr>
      </w:pPr>
    </w:p>
    <w:p>
      <w:pPr>
        <w:sectPr>
          <w:pgSz w:w="11900" w:h="16838" w:orient="portrait"/>
          <w:cols w:equalWidth="0" w:num="3">
            <w:col w:w="6080" w:space="540"/>
            <w:col w:w="1480" w:space="540"/>
            <w:col w:w="2360"/>
          </w:cols>
          <w:pgMar w:left="440" w:top="274" w:right="459" w:bottom="1440" w:gutter="0" w:footer="0" w:header="0"/>
          <w:type w:val="continuous"/>
        </w:sectPr>
      </w:pPr>
    </w:p>
    <w:p>
      <w:pPr>
        <w:spacing w:after="0"/>
        <w:rPr>
          <w:sz w:val="20"/>
          <w:szCs w:val="20"/>
          <w:color w:val="auto"/>
        </w:rPr>
      </w:pPr>
      <w:r>
        <w:rPr>
          <w:rFonts w:ascii="Arial" w:cs="Arial" w:eastAsia="Arial" w:hAnsi="Arial"/>
          <w:sz w:val="18"/>
          <w:szCs w:val="18"/>
          <w:color w:val="auto"/>
        </w:rPr>
        <w:t>shall register the transfer or exchange of Securities in accordance with the Indenture.</w:t>
      </w:r>
    </w:p>
    <w:p>
      <w:pPr>
        <w:spacing w:after="0" w:line="211"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or exchange of any Securities or portions thereof for a period of fifteen (15) days before the mailing of a notice of redemption, nor need the Issuer register the transfer or exchange of any Security selected for redemption in whole or in part.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R-2</w:t>
      </w:r>
    </w:p>
    <w:p>
      <w:pPr>
        <w:sectPr>
          <w:pgSz w:w="11900" w:h="16838" w:orient="portrait"/>
          <w:cols w:equalWidth="0" w:num="1">
            <w:col w:w="11000"/>
          </w:cols>
          <w:pgMar w:left="440" w:top="274" w:right="459" w:bottom="1440" w:gutter="0" w:footer="0" w:header="0"/>
          <w:type w:val="continuous"/>
        </w:sectPr>
      </w:pPr>
    </w:p>
    <w:bookmarkStart w:id="68" w:name="page69"/>
    <w:bookmarkEnd w:id="68"/>
    <w:p>
      <w:pPr>
        <w:ind w:left="980" w:hanging="544"/>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Persons Deemed Owners.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252" w:lineRule="exact"/>
        <w:rPr>
          <w:sz w:val="20"/>
          <w:szCs w:val="20"/>
          <w:color w:val="auto"/>
        </w:rPr>
      </w:pPr>
    </w:p>
    <w:p>
      <w:pPr>
        <w:ind w:left="980" w:hanging="544"/>
        <w:spacing w:after="0"/>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Unclaimed Funds.</w:t>
      </w:r>
    </w:p>
    <w:p>
      <w:pPr>
        <w:spacing w:after="0" w:line="225" w:lineRule="exact"/>
        <w:rPr>
          <w:sz w:val="20"/>
          <w:szCs w:val="20"/>
          <w:color w:val="auto"/>
        </w:rPr>
      </w:pPr>
    </w:p>
    <w:p>
      <w:pPr>
        <w:ind w:right="400" w:firstLine="441"/>
        <w:spacing w:after="0" w:line="308" w:lineRule="auto"/>
        <w:rPr>
          <w:sz w:val="20"/>
          <w:szCs w:val="20"/>
          <w:color w:val="auto"/>
        </w:rPr>
      </w:pPr>
      <w:r>
        <w:rPr>
          <w:rFonts w:ascii="Arial" w:cs="Arial" w:eastAsia="Arial" w:hAnsi="Arial"/>
          <w:sz w:val="17"/>
          <w:szCs w:val="17"/>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pacing w:after="0" w:line="174" w:lineRule="exact"/>
        <w:rPr>
          <w:sz w:val="20"/>
          <w:szCs w:val="20"/>
          <w:color w:val="auto"/>
        </w:rPr>
      </w:pPr>
    </w:p>
    <w:p>
      <w:pPr>
        <w:ind w:left="980" w:hanging="544"/>
        <w:spacing w:after="0"/>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Legal Defeasance and Covenant Defeasance.</w:t>
      </w:r>
    </w:p>
    <w:p>
      <w:pPr>
        <w:spacing w:after="0" w:line="225" w:lineRule="exact"/>
        <w:rPr>
          <w:sz w:val="20"/>
          <w:szCs w:val="20"/>
          <w:color w:val="auto"/>
        </w:rPr>
      </w:pPr>
    </w:p>
    <w:p>
      <w:pPr>
        <w:ind w:firstLine="441"/>
        <w:spacing w:after="0" w:line="286" w:lineRule="auto"/>
        <w:rPr>
          <w:sz w:val="20"/>
          <w:szCs w:val="20"/>
          <w:color w:val="auto"/>
        </w:rPr>
      </w:pPr>
      <w:r>
        <w:rPr>
          <w:rFonts w:ascii="Arial" w:cs="Arial" w:eastAsia="Arial" w:hAnsi="Arial"/>
          <w:sz w:val="17"/>
          <w:szCs w:val="17"/>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193" w:lineRule="exact"/>
        <w:rPr>
          <w:sz w:val="20"/>
          <w:szCs w:val="20"/>
          <w:color w:val="auto"/>
        </w:rPr>
      </w:pPr>
    </w:p>
    <w:p>
      <w:pPr>
        <w:ind w:left="980" w:hanging="544"/>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Information.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Issuer will furnish to the Trustee any document or report the Issuer is required to file with the Commission pursuant to Section 13 or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Section 15(d) of the Exchange Act within 15 days after such document or report is filed with the Commission; provided that in each case the delivery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materials to the Trustee by electronic means or filing documents pursuant to the Commission’s “EDGAR” system (or any successor electronic filing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system) shall be deemed to constitute “filing” with the Trustee for purposes of this Section 10. Delivery of the reports, information and documents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required by this section to be delivered to the Trustee is for informational purposes only and the Trustee’s receipt of such shall not constitute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constructive notice of any information contained therein or determinable from information contained therein.</w:t>
      </w:r>
    </w:p>
    <w:p>
      <w:pPr>
        <w:spacing w:after="0" w:line="238" w:lineRule="exact"/>
        <w:rPr>
          <w:sz w:val="20"/>
          <w:szCs w:val="20"/>
          <w:color w:val="auto"/>
        </w:rPr>
      </w:pPr>
    </w:p>
    <w:p>
      <w:pPr>
        <w:ind w:left="980" w:hanging="544"/>
        <w:spacing w:after="0"/>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Amendment; Supplement; Waiver.</w:t>
      </w:r>
    </w:p>
    <w:p>
      <w:pPr>
        <w:spacing w:after="0" w:line="225" w:lineRule="exact"/>
        <w:rPr>
          <w:sz w:val="20"/>
          <w:szCs w:val="20"/>
          <w:color w:val="auto"/>
        </w:rPr>
      </w:pPr>
    </w:p>
    <w:p>
      <w:pPr>
        <w:ind w:right="40" w:firstLine="441"/>
        <w:spacing w:after="0" w:line="272" w:lineRule="auto"/>
        <w:rPr>
          <w:sz w:val="20"/>
          <w:szCs w:val="20"/>
          <w:color w:val="auto"/>
        </w:rPr>
      </w:pPr>
      <w:r>
        <w:rPr>
          <w:rFonts w:ascii="Arial" w:cs="Arial" w:eastAsia="Arial" w:hAnsi="Arial"/>
          <w:sz w:val="17"/>
          <w:szCs w:val="17"/>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 in any material respect.</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R-3</w:t>
      </w:r>
    </w:p>
    <w:p>
      <w:pPr>
        <w:sectPr>
          <w:pgSz w:w="11900" w:h="16838" w:orient="portrait"/>
          <w:cols w:equalWidth="0" w:num="1">
            <w:col w:w="11000"/>
          </w:cols>
          <w:pgMar w:left="440" w:top="274" w:right="459" w:bottom="1440" w:gutter="0" w:footer="0" w:header="0"/>
        </w:sectPr>
      </w:pPr>
    </w:p>
    <w:bookmarkStart w:id="69" w:name="page70"/>
    <w:bookmarkEnd w:id="69"/>
    <w:p>
      <w:pPr>
        <w:ind w:left="980" w:hanging="544"/>
        <w:spacing w:after="0"/>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Restrictive Covenants.</w:t>
      </w:r>
    </w:p>
    <w:p>
      <w:pPr>
        <w:spacing w:after="0" w:line="225" w:lineRule="exact"/>
        <w:rPr>
          <w:sz w:val="20"/>
          <w:szCs w:val="20"/>
          <w:color w:val="auto"/>
        </w:rPr>
      </w:pPr>
    </w:p>
    <w:p>
      <w:pPr>
        <w:ind w:right="280" w:firstLine="441"/>
        <w:spacing w:after="0" w:line="312" w:lineRule="auto"/>
        <w:rPr>
          <w:sz w:val="20"/>
          <w:szCs w:val="20"/>
          <w:color w:val="auto"/>
        </w:rPr>
      </w:pPr>
      <w:r>
        <w:rPr>
          <w:rFonts w:ascii="Arial" w:cs="Arial" w:eastAsia="Arial" w:hAnsi="Arial"/>
          <w:sz w:val="16"/>
          <w:szCs w:val="16"/>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174" w:lineRule="exact"/>
        <w:rPr>
          <w:sz w:val="20"/>
          <w:szCs w:val="20"/>
          <w:color w:val="auto"/>
        </w:rPr>
      </w:pPr>
    </w:p>
    <w:p>
      <w:pPr>
        <w:ind w:left="980" w:hanging="544"/>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Redemption.</w:t>
      </w:r>
    </w:p>
    <w:p>
      <w:pPr>
        <w:spacing w:after="0" w:line="225"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The Issuer may at its option redeem any of the Securities in whole or in part, at any time or from time to time, prior to their maturity, on at least 30 days, but not more than 60 days, prior notice mailed to the registered address of each Holder of Securities to be redeemed such date (the “</w:t>
      </w:r>
      <w:r>
        <w:rPr>
          <w:rFonts w:ascii="Arial" w:cs="Arial" w:eastAsia="Arial" w:hAnsi="Arial"/>
          <w:sz w:val="18"/>
          <w:szCs w:val="18"/>
          <w:b w:val="1"/>
          <w:bCs w:val="1"/>
          <w:color w:val="auto"/>
        </w:rPr>
        <w:t>Redemption</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at a redemption price, calculated by the Issuer, equal to the greater of:</w:t>
      </w:r>
    </w:p>
    <w:p>
      <w:pPr>
        <w:spacing w:after="0" w:line="73" w:lineRule="exact"/>
        <w:rPr>
          <w:sz w:val="20"/>
          <w:szCs w:val="20"/>
          <w:color w:val="auto"/>
        </w:rPr>
      </w:pPr>
    </w:p>
    <w:p>
      <w:pPr>
        <w:ind w:left="660" w:hanging="216"/>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100% of the principal amount of the Securities to be redeemed; and</w:t>
      </w:r>
    </w:p>
    <w:p>
      <w:pPr>
        <w:spacing w:after="0" w:line="117" w:lineRule="exact"/>
        <w:rPr>
          <w:rFonts w:ascii="Arial" w:cs="Arial" w:eastAsia="Arial" w:hAnsi="Arial"/>
          <w:sz w:val="18"/>
          <w:szCs w:val="18"/>
          <w:color w:val="auto"/>
        </w:rPr>
      </w:pPr>
    </w:p>
    <w:p>
      <w:pPr>
        <w:ind w:firstLine="444"/>
        <w:spacing w:after="0" w:line="264" w:lineRule="auto"/>
        <w:tabs>
          <w:tab w:leader="none" w:pos="706"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principal and interest thereon (not including any portion of such payments of interest accrued as of the Redemption Date), discounted to the Redemption Date on a semiannual basis (assuming a 360-day year consisting of twelve 30-day months) at the Treasury Rate (as defined below) plus 20 basis points,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plus, in each case, accrued interest thereon to the Redemption Date.</w:t>
      </w:r>
    </w:p>
    <w:p>
      <w:pPr>
        <w:spacing w:after="0" w:line="225"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Notwithstanding the foregoing, installments of interest on Securities that are due and payable on Interest Payment Dates falling on or prior to a Redemption Date will be payable on the Interest Payment Date to the registered Holders as of the close of business on the relevant record date according to the Securities and the Indenture.</w:t>
      </w:r>
    </w:p>
    <w:p>
      <w:pPr>
        <w:spacing w:after="0" w:line="177" w:lineRule="exact"/>
        <w:rPr>
          <w:sz w:val="20"/>
          <w:szCs w:val="20"/>
          <w:color w:val="auto"/>
        </w:rPr>
      </w:pPr>
    </w:p>
    <w:p>
      <w:pPr>
        <w:ind w:right="12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Issue</w:t>
      </w:r>
      <w:r>
        <w:rPr>
          <w:rFonts w:ascii="Arial" w:cs="Arial" w:eastAsia="Arial" w:hAnsi="Arial"/>
          <w:sz w:val="18"/>
          <w:szCs w:val="18"/>
          <w:color w:val="auto"/>
        </w:rPr>
        <w:t>” means the United States Treasury security or securities selected by an Independent Investment Banker as having an actual or interpolated maturity comparable to the remaining term of the Securities to be redeemed that would be utilized, at the time of selection and in accordance with customary financial practice, in pricing new issues of corporate debt securities of a comparable maturity to the remaining term of such Securities.</w:t>
      </w:r>
    </w:p>
    <w:p>
      <w:pPr>
        <w:spacing w:after="0" w:line="180" w:lineRule="exact"/>
        <w:rPr>
          <w:sz w:val="20"/>
          <w:szCs w:val="20"/>
          <w:color w:val="auto"/>
        </w:rPr>
      </w:pPr>
    </w:p>
    <w:p>
      <w:pPr>
        <w:ind w:right="140" w:firstLine="441"/>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Comparable Treasury Price</w:t>
      </w:r>
      <w:r>
        <w:rPr>
          <w:rFonts w:ascii="Arial" w:cs="Arial" w:eastAsia="Arial" w:hAnsi="Arial"/>
          <w:sz w:val="17"/>
          <w:szCs w:val="17"/>
          <w:color w:val="auto"/>
        </w:rPr>
        <w:t>” means, with respect to any Redemption Date, (i) the average of the Reference Treasury Dealer Quotations for such Redemption Date, after excluding the highest and lowest such Reference Treasury Dealer Quotations or (ii) if the Independent Investment Banker obtains fewer than three such Reference Treasury Dealer Quotations, the average of all such quotations.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Investment Banker</w:t>
      </w:r>
      <w:r>
        <w:rPr>
          <w:rFonts w:ascii="Arial" w:cs="Arial" w:eastAsia="Arial" w:hAnsi="Arial"/>
          <w:sz w:val="18"/>
          <w:szCs w:val="18"/>
          <w:color w:val="auto"/>
        </w:rPr>
        <w:t>” means one of the Reference Treasury Dealers appointed by the Issuer.</w:t>
      </w:r>
    </w:p>
    <w:p>
      <w:pPr>
        <w:spacing w:after="0" w:line="162"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R-4</w:t>
      </w:r>
    </w:p>
    <w:p>
      <w:pPr>
        <w:sectPr>
          <w:pgSz w:w="11900" w:h="16838" w:orient="portrait"/>
          <w:cols w:equalWidth="0" w:num="1">
            <w:col w:w="11020"/>
          </w:cols>
          <w:pgMar w:left="440" w:top="274" w:right="439" w:bottom="1440" w:gutter="0" w:footer="0" w:header="0"/>
        </w:sectPr>
      </w:pPr>
    </w:p>
    <w:bookmarkStart w:id="70" w:name="page71"/>
    <w:bookmarkEnd w:id="70"/>
    <w:p>
      <w:pPr>
        <w:ind w:firstLine="441"/>
        <w:spacing w:after="0" w:line="31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color w:val="auto"/>
        </w:rPr>
        <w:t>Reference Treasury Dealer</w:t>
      </w:r>
      <w:r>
        <w:rPr>
          <w:rFonts w:ascii="Arial" w:cs="Arial" w:eastAsia="Arial" w:hAnsi="Arial"/>
          <w:sz w:val="16"/>
          <w:szCs w:val="16"/>
          <w:color w:val="auto"/>
        </w:rPr>
        <w:t>” means each of (i) [ ] or their affiliates which are primary U.S. government securities dealers (a “Primary Treasury Dealer”), and their respective successors; provided, however, that if any of the foregoing shall cease to be a primary U.S. government securities dealer, the Issuer will substitute therefor another Primary Treasury Dealer and (ii) any other Primary Treasury Dealer selected by the Issuer.</w:t>
      </w:r>
    </w:p>
    <w:p>
      <w:pPr>
        <w:spacing w:after="0" w:line="142" w:lineRule="exact"/>
        <w:rPr>
          <w:sz w:val="20"/>
          <w:szCs w:val="20"/>
          <w:color w:val="auto"/>
        </w:rPr>
      </w:pPr>
    </w:p>
    <w:p>
      <w:pPr>
        <w:ind w:right="16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 Quotation</w:t>
      </w:r>
      <w:r>
        <w:rPr>
          <w:rFonts w:ascii="Arial" w:cs="Arial" w:eastAsia="Arial" w:hAnsi="Arial"/>
          <w:sz w:val="18"/>
          <w:szCs w:val="18"/>
          <w:color w:val="auto"/>
        </w:rPr>
        <w:t>” means, with respect to each Reference Treasury Dealer and any Redemption Date, the average, as determined by the Independent Investment Banker, of the bid and asked prices for the Comparable Treasury Issue (expressed as a percentage of its principal amount) quoted in writing to the Independent Investment Banker by such Reference Treasury Dealer at 3:30 p.m. New York time on the third Business Day preceding such Redemption Date.</w:t>
      </w:r>
    </w:p>
    <w:p>
      <w:pPr>
        <w:spacing w:after="0" w:line="180" w:lineRule="exact"/>
        <w:rPr>
          <w:sz w:val="20"/>
          <w:szCs w:val="20"/>
          <w:color w:val="auto"/>
        </w:rPr>
      </w:pPr>
    </w:p>
    <w:p>
      <w:pPr>
        <w:ind w:right="6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80"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Unless the Issuer defaults in payment of the redemption price, on and after the Redemption Date, interest will cease to accrue on the Securities or portions thereof called for redemption. If less than all of the Securities are to be redeemed, the Securities to be redeemed shall be selected by the Trustee by such method as the Trustee shall deem fair and appropriate, provided that Securities held in global form will be selected in accordance with the procedures of DTC.</w:t>
      </w:r>
    </w:p>
    <w:p>
      <w:pPr>
        <w:spacing w:after="0" w:line="214" w:lineRule="exact"/>
        <w:rPr>
          <w:sz w:val="20"/>
          <w:szCs w:val="20"/>
          <w:color w:val="auto"/>
        </w:rPr>
      </w:pPr>
    </w:p>
    <w:p>
      <w:pPr>
        <w:ind w:left="980" w:hanging="544"/>
        <w:spacing w:after="0"/>
        <w:tabs>
          <w:tab w:leader="none" w:pos="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Defaults and Remedies.</w:t>
      </w:r>
    </w:p>
    <w:p>
      <w:pPr>
        <w:spacing w:after="0" w:line="225" w:lineRule="exact"/>
        <w:rPr>
          <w:sz w:val="20"/>
          <w:szCs w:val="20"/>
          <w:color w:val="auto"/>
        </w:rPr>
      </w:pPr>
    </w:p>
    <w:p>
      <w:pPr>
        <w:ind w:right="140" w:firstLine="441"/>
        <w:spacing w:after="0" w:line="289" w:lineRule="auto"/>
        <w:rPr>
          <w:sz w:val="20"/>
          <w:szCs w:val="20"/>
          <w:color w:val="auto"/>
        </w:rPr>
      </w:pPr>
      <w:r>
        <w:rPr>
          <w:rFonts w:ascii="Arial" w:cs="Arial" w:eastAsia="Arial" w:hAnsi="Arial"/>
          <w:sz w:val="16"/>
          <w:szCs w:val="16"/>
          <w:color w:val="auto"/>
        </w:rPr>
        <w:t>If an Event of Default (other than certain bankruptcy Events of Default with respect to the Issuer or any Guarantor)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Guarantor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in good faith that withholding notice is in their interest.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R-5</w:t>
      </w:r>
    </w:p>
    <w:p>
      <w:pPr>
        <w:sectPr>
          <w:pgSz w:w="11900" w:h="16838" w:orient="portrait"/>
          <w:cols w:equalWidth="0" w:num="1">
            <w:col w:w="11020"/>
          </w:cols>
          <w:pgMar w:left="440" w:top="270" w:right="439" w:bottom="1440" w:gutter="0" w:footer="0" w:header="0"/>
        </w:sectPr>
      </w:pPr>
    </w:p>
    <w:bookmarkStart w:id="71" w:name="page72"/>
    <w:bookmarkEnd w:id="71"/>
    <w:p>
      <w:pPr>
        <w:ind w:left="980" w:hanging="544"/>
        <w:spacing w:after="0"/>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Trustee Dealings with Issuer.</w:t>
      </w:r>
    </w:p>
    <w:p>
      <w:pPr>
        <w:spacing w:after="0" w:line="225"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197" w:lineRule="exact"/>
        <w:rPr>
          <w:sz w:val="20"/>
          <w:szCs w:val="20"/>
          <w:color w:val="auto"/>
        </w:rPr>
      </w:pPr>
    </w:p>
    <w:p>
      <w:pPr>
        <w:ind w:left="980" w:hanging="544"/>
        <w:spacing w:after="0"/>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No Recourse Against Others.</w:t>
      </w:r>
    </w:p>
    <w:p>
      <w:pPr>
        <w:spacing w:after="0" w:line="225"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214" w:lineRule="exact"/>
        <w:rPr>
          <w:sz w:val="20"/>
          <w:szCs w:val="20"/>
          <w:color w:val="auto"/>
        </w:rPr>
      </w:pPr>
    </w:p>
    <w:p>
      <w:pPr>
        <w:ind w:left="980" w:hanging="544"/>
        <w:spacing w:after="0"/>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Authentication.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252" w:lineRule="exact"/>
        <w:rPr>
          <w:sz w:val="20"/>
          <w:szCs w:val="20"/>
          <w:color w:val="auto"/>
        </w:rPr>
      </w:pPr>
    </w:p>
    <w:p>
      <w:pPr>
        <w:ind w:left="980" w:hanging="544"/>
        <w:spacing w:after="0"/>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Abbreviations and Defined Terms.</w:t>
      </w:r>
    </w:p>
    <w:p>
      <w:pPr>
        <w:spacing w:after="0" w:line="225"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208" w:lineRule="exact"/>
        <w:rPr>
          <w:sz w:val="20"/>
          <w:szCs w:val="20"/>
          <w:color w:val="auto"/>
        </w:rPr>
      </w:pPr>
    </w:p>
    <w:p>
      <w:pPr>
        <w:ind w:left="980" w:hanging="544"/>
        <w:spacing w:after="0"/>
        <w:tabs>
          <w:tab w:leader="none" w:pos="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CUSIP Numbers.</w:t>
      </w:r>
    </w:p>
    <w:p>
      <w:pPr>
        <w:spacing w:after="0" w:line="225" w:lineRule="exact"/>
        <w:rPr>
          <w:sz w:val="20"/>
          <w:szCs w:val="20"/>
          <w:color w:val="auto"/>
        </w:rPr>
      </w:pPr>
    </w:p>
    <w:p>
      <w:pPr>
        <w:ind w:right="500" w:firstLine="441"/>
        <w:spacing w:after="0" w:line="308" w:lineRule="auto"/>
        <w:rPr>
          <w:sz w:val="20"/>
          <w:szCs w:val="20"/>
          <w:color w:val="auto"/>
        </w:rPr>
      </w:pPr>
      <w:r>
        <w:rPr>
          <w:rFonts w:ascii="Arial" w:cs="Arial" w:eastAsia="Arial" w:hAnsi="Arial"/>
          <w:sz w:val="17"/>
          <w:szCs w:val="17"/>
          <w:color w:val="auto"/>
        </w:rPr>
        <w:t>To the extent that the Issuer has caused CUSIP numbers to be printed on the Securities, no representation is made as to the accuracy of such numbers as printed on the Securities and reliance may be placed only on the other identification numbers printed hereon.</w:t>
      </w:r>
    </w:p>
    <w:p>
      <w:pPr>
        <w:spacing w:after="0" w:line="174" w:lineRule="exact"/>
        <w:rPr>
          <w:sz w:val="20"/>
          <w:szCs w:val="20"/>
          <w:color w:val="auto"/>
        </w:rPr>
      </w:pPr>
    </w:p>
    <w:p>
      <w:pPr>
        <w:ind w:left="980" w:hanging="544"/>
        <w:spacing w:after="0"/>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laws of the State of New York shall govern the Indenture, this Security and the Guarantees.</w:t>
      </w:r>
    </w:p>
    <w:p>
      <w:pPr>
        <w:spacing w:after="0" w:line="158"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R-6</w:t>
      </w:r>
    </w:p>
    <w:p>
      <w:pPr>
        <w:sectPr>
          <w:pgSz w:w="11900" w:h="16838" w:orient="portrait"/>
          <w:cols w:equalWidth="0" w:num="1">
            <w:col w:w="11000"/>
          </w:cols>
          <w:pgMar w:left="440" w:top="274" w:right="459" w:bottom="1440" w:gutter="0" w:footer="0" w:header="0"/>
        </w:sectPr>
      </w:pPr>
    </w:p>
    <w:bookmarkStart w:id="72" w:name="page73"/>
    <w:bookmarkEnd w:id="72"/>
    <w:p>
      <w:pPr>
        <w:jc w:val="center"/>
        <w:ind w:right="-1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6997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(Print or type name, address and zip code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289560</wp:posOffset>
            </wp:positionV>
            <wp:extent cx="6997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(Insert Social Security or other identifying number of assignee or transferee)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60" w:type="dxa"/>
            <w:vAlign w:val="bottom"/>
          </w:tcPr>
          <w:p>
            <w:pPr>
              <w:spacing w:after="0"/>
              <w:rPr>
                <w:sz w:val="20"/>
                <w:szCs w:val="20"/>
                <w:color w:val="auto"/>
              </w:rPr>
            </w:pPr>
            <w:r>
              <w:rPr>
                <w:rFonts w:ascii="Arial" w:cs="Arial" w:eastAsia="Arial" w:hAnsi="Arial"/>
                <w:sz w:val="18"/>
                <w:szCs w:val="18"/>
                <w:color w:val="auto"/>
                <w:w w:val="93"/>
              </w:rPr>
              <w:t>and irrevocably appoint</w:t>
            </w:r>
          </w:p>
        </w:tc>
        <w:tc>
          <w:tcPr>
            <w:tcW w:w="5300" w:type="dxa"/>
            <w:vAlign w:val="bottom"/>
            <w:tcBorders>
              <w:bottom w:val="single" w:sz="8" w:color="auto"/>
            </w:tcBorders>
          </w:tcPr>
          <w:p>
            <w:pPr>
              <w:spacing w:after="0"/>
              <w:rPr>
                <w:sz w:val="17"/>
                <w:szCs w:val="17"/>
                <w:color w:val="auto"/>
              </w:rPr>
            </w:pPr>
          </w:p>
        </w:tc>
        <w:tc>
          <w:tcPr>
            <w:tcW w:w="3600" w:type="dxa"/>
            <w:vAlign w:val="bottom"/>
          </w:tcPr>
          <w:p>
            <w:pPr>
              <w:ind w:left="60"/>
              <w:spacing w:after="0"/>
              <w:rPr>
                <w:sz w:val="20"/>
                <w:szCs w:val="20"/>
                <w:color w:val="auto"/>
              </w:rPr>
            </w:pPr>
            <w:r>
              <w:rPr>
                <w:rFonts w:ascii="Arial" w:cs="Arial" w:eastAsia="Arial" w:hAnsi="Arial"/>
                <w:sz w:val="18"/>
                <w:szCs w:val="18"/>
                <w:color w:val="auto"/>
                <w:w w:val="89"/>
              </w:rPr>
              <w:t>agent to transfer this Security on the books of the</w:t>
            </w:r>
          </w:p>
        </w:tc>
      </w:tr>
      <w:tr>
        <w:trPr>
          <w:trHeight w:val="237"/>
        </w:trPr>
        <w:tc>
          <w:tcPr>
            <w:tcW w:w="7060" w:type="dxa"/>
            <w:vAlign w:val="bottom"/>
            <w:gridSpan w:val="2"/>
          </w:tcPr>
          <w:p>
            <w:pPr>
              <w:spacing w:after="0"/>
              <w:rPr>
                <w:sz w:val="20"/>
                <w:szCs w:val="20"/>
                <w:color w:val="auto"/>
              </w:rPr>
            </w:pPr>
            <w:r>
              <w:rPr>
                <w:rFonts w:ascii="Arial" w:cs="Arial" w:eastAsia="Arial" w:hAnsi="Arial"/>
                <w:sz w:val="18"/>
                <w:szCs w:val="18"/>
                <w:color w:val="auto"/>
              </w:rPr>
              <w:t>Issuer. The agent may substitute another to act for him.</w:t>
            </w:r>
          </w:p>
        </w:tc>
        <w:tc>
          <w:tcPr>
            <w:tcW w:w="3600" w:type="dxa"/>
            <w:vAlign w:val="bottom"/>
          </w:tcPr>
          <w:p>
            <w:pPr>
              <w:spacing w:after="0"/>
              <w:rPr>
                <w:sz w:val="20"/>
                <w:szCs w:val="20"/>
                <w:color w:val="auto"/>
              </w:rPr>
            </w:pPr>
          </w:p>
        </w:tc>
      </w:tr>
      <w:tr>
        <w:trPr>
          <w:trHeight w:val="432"/>
        </w:trPr>
        <w:tc>
          <w:tcPr>
            <w:tcW w:w="7060" w:type="dxa"/>
            <w:vAlign w:val="bottom"/>
            <w:gridSpan w:val="2"/>
          </w:tcPr>
          <w:p>
            <w:pPr>
              <w:spacing w:after="0"/>
              <w:rPr>
                <w:sz w:val="20"/>
                <w:szCs w:val="20"/>
                <w:color w:val="auto"/>
              </w:rPr>
            </w:pPr>
            <w:r>
              <w:rPr>
                <w:rFonts w:ascii="Arial" w:cs="Arial" w:eastAsia="Arial" w:hAnsi="Arial"/>
                <w:sz w:val="18"/>
                <w:szCs w:val="18"/>
                <w:color w:val="auto"/>
              </w:rPr>
              <w:t>Dated:</w:t>
            </w:r>
          </w:p>
        </w:tc>
        <w:tc>
          <w:tcPr>
            <w:tcW w:w="3600" w:type="dxa"/>
            <w:vAlign w:val="bottom"/>
          </w:tcPr>
          <w:p>
            <w:pPr>
              <w:ind w:left="460"/>
              <w:spacing w:after="0"/>
              <w:rPr>
                <w:sz w:val="20"/>
                <w:szCs w:val="20"/>
                <w:color w:val="auto"/>
              </w:rPr>
            </w:pPr>
            <w:r>
              <w:rPr>
                <w:rFonts w:ascii="Arial" w:cs="Arial" w:eastAsia="Arial" w:hAnsi="Arial"/>
                <w:sz w:val="18"/>
                <w:szCs w:val="18"/>
                <w:color w:val="auto"/>
              </w:rPr>
              <w:t>Signed: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wp:posOffset>
            </wp:positionH>
            <wp:positionV relativeFrom="paragraph">
              <wp:posOffset>0</wp:posOffset>
            </wp:positionV>
            <wp:extent cx="186944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1">
                      <a:extLst>
                        <a:ext uri="{28A0092B-C50C-407E-A947-70E740481C1C}"/>
                      </a:extLst>
                    </a:blip>
                    <a:srcRect/>
                    <a:stretch>
                      <a:fillRect/>
                    </a:stretch>
                  </pic:blipFill>
                  <pic:spPr bwMode="auto">
                    <a:xfrm>
                      <a:off x="0" y="0"/>
                      <a:ext cx="1869440" cy="8890"/>
                    </a:xfrm>
                    <a:prstGeom prst="rect">
                      <a:avLst/>
                    </a:prstGeom>
                    <a:noFill/>
                  </pic:spPr>
                </pic:pic>
              </a:graphicData>
            </a:graphic>
          </wp:anchor>
        </w:drawing>
        <w:drawing>
          <wp:anchor simplePos="0" relativeHeight="251657728" behindDoc="1" locked="0" layoutInCell="0" allowOverlap="1">
            <wp:simplePos x="0" y="0"/>
            <wp:positionH relativeFrom="column">
              <wp:posOffset>5194935</wp:posOffset>
            </wp:positionH>
            <wp:positionV relativeFrom="paragraph">
              <wp:posOffset>0</wp:posOffset>
            </wp:positionV>
            <wp:extent cx="180975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ind w:left="8180"/>
        <w:spacing w:after="0"/>
        <w:rPr>
          <w:sz w:val="20"/>
          <w:szCs w:val="20"/>
          <w:color w:val="auto"/>
        </w:rPr>
      </w:pPr>
      <w:r>
        <w:rPr>
          <w:rFonts w:ascii="Arial" w:cs="Arial" w:eastAsia="Arial" w:hAnsi="Arial"/>
          <w:sz w:val="18"/>
          <w:szCs w:val="18"/>
          <w:color w:val="auto"/>
        </w:rPr>
        <w:t>(Signed exactly as name appears</w:t>
      </w:r>
    </w:p>
    <w:p>
      <w:pPr>
        <w:spacing w:after="0" w:line="23"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on the other side of this Security)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2056130</wp:posOffset>
            </wp:positionH>
            <wp:positionV relativeFrom="paragraph">
              <wp:posOffset>14605</wp:posOffset>
            </wp:positionV>
            <wp:extent cx="494855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3">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16" w:lineRule="exact"/>
        <w:rPr>
          <w:sz w:val="20"/>
          <w:szCs w:val="20"/>
          <w:color w:val="auto"/>
        </w:rPr>
      </w:pPr>
    </w:p>
    <w:p>
      <w:pPr>
        <w:ind w:left="3240"/>
        <w:spacing w:after="0" w:line="277" w:lineRule="auto"/>
        <w:rPr>
          <w:sz w:val="20"/>
          <w:szCs w:val="20"/>
          <w:color w:val="auto"/>
        </w:rPr>
      </w:pPr>
      <w:r>
        <w:rPr>
          <w:rFonts w:ascii="Arial" w:cs="Arial" w:eastAsia="Arial" w:hAnsi="Arial"/>
          <w:sz w:val="18"/>
          <w:szCs w:val="18"/>
          <w:color w:val="auto"/>
        </w:rPr>
        <w:t>Participant in a recognized Signature Guarantee Medallion Program (or other signature guarantor program reasonably acceptable to the Trustee)</w:t>
      </w:r>
    </w:p>
    <w:p>
      <w:pPr>
        <w:sectPr>
          <w:pgSz w:w="11900" w:h="16838" w:orient="portrait"/>
          <w:cols w:equalWidth="0" w:num="1">
            <w:col w:w="10880"/>
          </w:cols>
          <w:pgMar w:left="440" w:top="274" w:right="579" w:bottom="1440" w:gutter="0" w:footer="0" w:header="0"/>
        </w:sectPr>
      </w:pPr>
    </w:p>
    <w:bookmarkStart w:id="73" w:name="page74"/>
    <w:bookmarkEnd w:id="73"/>
    <w:p>
      <w:pPr>
        <w:jc w:val="center"/>
        <w:ind w:right="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OF INCREASES OR DECREASES IN GLOBAL SECURITY</w:t>
      </w:r>
    </w:p>
    <w:p>
      <w:pPr>
        <w:spacing w:after="0" w:line="225" w:lineRule="exact"/>
        <w:rPr>
          <w:sz w:val="20"/>
          <w:szCs w:val="20"/>
          <w:color w:val="auto"/>
        </w:rPr>
      </w:pPr>
    </w:p>
    <w:p>
      <w:pPr>
        <w:spacing w:after="0"/>
        <w:tabs>
          <w:tab w:leader="none" w:pos="4580" w:val="left"/>
        </w:tabs>
        <w:rPr>
          <w:sz w:val="20"/>
          <w:szCs w:val="20"/>
          <w:color w:val="auto"/>
        </w:rPr>
      </w:pPr>
      <w:r>
        <w:rPr>
          <w:rFonts w:ascii="Arial" w:cs="Arial" w:eastAsia="Arial" w:hAnsi="Arial"/>
          <w:sz w:val="18"/>
          <w:szCs w:val="18"/>
          <w:color w:val="auto"/>
        </w:rPr>
        <w:t>The initial principal amount of this Global Security is $[</w:t>
      </w:r>
      <w:r>
        <w:rPr>
          <w:sz w:val="20"/>
          <w:szCs w:val="20"/>
          <w:color w:val="auto"/>
        </w:rPr>
        <w:tab/>
      </w:r>
      <w:r>
        <w:rPr>
          <w:rFonts w:ascii="Arial" w:cs="Arial" w:eastAsia="Arial" w:hAnsi="Arial"/>
          <w:sz w:val="16"/>
          <w:szCs w:val="16"/>
          <w:color w:val="auto"/>
        </w:rPr>
        <w:t>]. The following increases or decreases in this Global Security have been made: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700" w:type="dxa"/>
            <w:vAlign w:val="bottom"/>
            <w:gridSpan w:val="2"/>
          </w:tcPr>
          <w:p>
            <w:pPr>
              <w:jc w:val="center"/>
              <w:ind w:left="608"/>
              <w:spacing w:after="0"/>
              <w:rPr>
                <w:sz w:val="20"/>
                <w:szCs w:val="20"/>
                <w:color w:val="auto"/>
              </w:rPr>
            </w:pPr>
            <w:r>
              <w:rPr>
                <w:rFonts w:ascii="Arial" w:cs="Arial" w:eastAsia="Arial" w:hAnsi="Arial"/>
                <w:sz w:val="14"/>
                <w:szCs w:val="14"/>
                <w:color w:val="auto"/>
                <w:w w:val="93"/>
              </w:rPr>
              <w:t>Principal amount</w:t>
            </w: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7"/>
              </w:rPr>
              <w:t>Amount of</w:t>
            </w:r>
          </w:p>
        </w:tc>
        <w:tc>
          <w:tcPr>
            <w:tcW w:w="7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7"/>
              </w:rPr>
              <w:t>Amount of</w:t>
            </w:r>
          </w:p>
        </w:tc>
        <w:tc>
          <w:tcPr>
            <w:tcW w:w="7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5"/>
              </w:rPr>
              <w:t>of this Global</w:t>
            </w:r>
          </w:p>
        </w:tc>
        <w:tc>
          <w:tcPr>
            <w:tcW w:w="7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88"/>
              </w:rPr>
              <w:t>decrease in</w:t>
            </w:r>
          </w:p>
        </w:tc>
        <w:tc>
          <w:tcPr>
            <w:tcW w:w="7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1"/>
              </w:rPr>
              <w:t>increase in</w:t>
            </w:r>
          </w:p>
        </w:tc>
        <w:tc>
          <w:tcPr>
            <w:tcW w:w="7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4"/>
              </w:rPr>
              <w:t>Security</w:t>
            </w:r>
          </w:p>
        </w:tc>
        <w:tc>
          <w:tcPr>
            <w:tcW w:w="7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2"/>
              </w:rPr>
              <w:t>Signature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280" w:type="dxa"/>
            <w:vAlign w:val="bottom"/>
            <w:gridSpan w:val="2"/>
          </w:tcPr>
          <w:p>
            <w:pPr>
              <w:jc w:val="center"/>
              <w:ind w:left="2188"/>
              <w:spacing w:after="0" w:line="149" w:lineRule="exact"/>
              <w:rPr>
                <w:sz w:val="20"/>
                <w:szCs w:val="20"/>
                <w:color w:val="auto"/>
              </w:rPr>
            </w:pPr>
            <w:r>
              <w:rPr>
                <w:rFonts w:ascii="Arial" w:cs="Arial" w:eastAsia="Arial" w:hAnsi="Arial"/>
                <w:sz w:val="14"/>
                <w:szCs w:val="14"/>
                <w:color w:val="auto"/>
                <w:w w:val="93"/>
              </w:rPr>
              <w:t>Principal amount</w:t>
            </w:r>
          </w:p>
        </w:tc>
        <w:tc>
          <w:tcPr>
            <w:tcW w:w="1700" w:type="dxa"/>
            <w:vAlign w:val="bottom"/>
            <w:gridSpan w:val="2"/>
          </w:tcPr>
          <w:p>
            <w:pPr>
              <w:jc w:val="center"/>
              <w:ind w:left="608"/>
              <w:spacing w:after="0" w:line="149" w:lineRule="exact"/>
              <w:rPr>
                <w:sz w:val="20"/>
                <w:szCs w:val="20"/>
                <w:color w:val="auto"/>
              </w:rPr>
            </w:pPr>
            <w:r>
              <w:rPr>
                <w:rFonts w:ascii="Arial" w:cs="Arial" w:eastAsia="Arial" w:hAnsi="Arial"/>
                <w:sz w:val="14"/>
                <w:szCs w:val="14"/>
                <w:color w:val="auto"/>
                <w:w w:val="93"/>
              </w:rPr>
              <w:t>Principal amount</w:t>
            </w:r>
          </w:p>
        </w:tc>
        <w:tc>
          <w:tcPr>
            <w:tcW w:w="7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7"/>
              </w:rPr>
              <w:t>following such</w:t>
            </w:r>
          </w:p>
        </w:tc>
        <w:tc>
          <w:tcPr>
            <w:tcW w:w="1720" w:type="dxa"/>
            <w:vAlign w:val="bottom"/>
            <w:gridSpan w:val="2"/>
          </w:tcPr>
          <w:p>
            <w:pPr>
              <w:jc w:val="center"/>
              <w:ind w:left="628"/>
              <w:spacing w:after="0" w:line="149" w:lineRule="exact"/>
              <w:rPr>
                <w:sz w:val="20"/>
                <w:szCs w:val="20"/>
                <w:color w:val="auto"/>
              </w:rPr>
            </w:pPr>
            <w:r>
              <w:rPr>
                <w:rFonts w:ascii="Arial" w:cs="Arial" w:eastAsia="Arial" w:hAnsi="Arial"/>
                <w:sz w:val="14"/>
                <w:szCs w:val="14"/>
                <w:color w:val="auto"/>
                <w:w w:val="94"/>
              </w:rPr>
              <w:t>authorized officer</w:t>
            </w:r>
          </w:p>
        </w:tc>
        <w:tc>
          <w:tcPr>
            <w:tcW w:w="0" w:type="dxa"/>
            <w:vAlign w:val="bottom"/>
          </w:tcPr>
          <w:p>
            <w:pPr>
              <w:spacing w:after="0"/>
              <w:rPr>
                <w:sz w:val="1"/>
                <w:szCs w:val="1"/>
                <w:color w:val="auto"/>
              </w:rPr>
            </w:pPr>
          </w:p>
        </w:tc>
      </w:tr>
      <w:tr>
        <w:trPr>
          <w:trHeight w:val="149"/>
        </w:trPr>
        <w:tc>
          <w:tcPr>
            <w:tcW w:w="1740" w:type="dxa"/>
            <w:vAlign w:val="bottom"/>
            <w:gridSpan w:val="2"/>
            <w:vMerge w:val="restart"/>
          </w:tcPr>
          <w:p>
            <w:pPr>
              <w:spacing w:after="0"/>
              <w:rPr>
                <w:sz w:val="20"/>
                <w:szCs w:val="20"/>
                <w:color w:val="auto"/>
              </w:rPr>
            </w:pPr>
            <w:r>
              <w:rPr>
                <w:rFonts w:ascii="Arial" w:cs="Arial" w:eastAsia="Arial" w:hAnsi="Arial"/>
                <w:sz w:val="14"/>
                <w:szCs w:val="14"/>
                <w:color w:val="auto"/>
                <w:w w:val="93"/>
              </w:rPr>
              <w:t>Date of Exchange or Transfer</w:t>
            </w:r>
          </w:p>
        </w:tc>
        <w:tc>
          <w:tcPr>
            <w:tcW w:w="22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5"/>
              </w:rPr>
              <w:t>of this Global</w:t>
            </w:r>
          </w:p>
        </w:tc>
        <w:tc>
          <w:tcPr>
            <w:tcW w:w="7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5"/>
              </w:rPr>
              <w:t>of this Global</w:t>
            </w:r>
          </w:p>
        </w:tc>
        <w:tc>
          <w:tcPr>
            <w:tcW w:w="7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89"/>
              </w:rPr>
              <w:t>decrease or</w:t>
            </w:r>
          </w:p>
        </w:tc>
        <w:tc>
          <w:tcPr>
            <w:tcW w:w="7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3"/>
              </w:rPr>
              <w:t>of Trustee or</w:t>
            </w:r>
          </w:p>
        </w:tc>
        <w:tc>
          <w:tcPr>
            <w:tcW w:w="0" w:type="dxa"/>
            <w:vAlign w:val="bottom"/>
          </w:tcPr>
          <w:p>
            <w:pPr>
              <w:spacing w:after="0"/>
              <w:rPr>
                <w:sz w:val="1"/>
                <w:szCs w:val="1"/>
                <w:color w:val="auto"/>
              </w:rPr>
            </w:pPr>
          </w:p>
        </w:tc>
      </w:tr>
      <w:tr>
        <w:trPr>
          <w:trHeight w:val="161"/>
        </w:trPr>
        <w:tc>
          <w:tcPr>
            <w:tcW w:w="1740" w:type="dxa"/>
            <w:vAlign w:val="bottom"/>
            <w:gridSpan w:val="2"/>
            <w:vMerge w:val="continue"/>
          </w:tcPr>
          <w:p>
            <w:pPr>
              <w:spacing w:after="0"/>
              <w:rPr>
                <w:sz w:val="13"/>
                <w:szCs w:val="13"/>
                <w:color w:val="auto"/>
              </w:rPr>
            </w:pPr>
          </w:p>
        </w:tc>
        <w:tc>
          <w:tcPr>
            <w:tcW w:w="2280" w:type="dxa"/>
            <w:vAlign w:val="bottom"/>
          </w:tcPr>
          <w:p>
            <w:pPr>
              <w:spacing w:after="0"/>
              <w:rPr>
                <w:sz w:val="13"/>
                <w:szCs w:val="13"/>
                <w:color w:val="auto"/>
              </w:rPr>
            </w:pPr>
          </w:p>
        </w:tc>
        <w:tc>
          <w:tcPr>
            <w:tcW w:w="1000" w:type="dxa"/>
            <w:vAlign w:val="bottom"/>
          </w:tcPr>
          <w:p>
            <w:pPr>
              <w:jc w:val="center"/>
              <w:spacing w:after="0" w:line="154" w:lineRule="exact"/>
              <w:rPr>
                <w:sz w:val="20"/>
                <w:szCs w:val="20"/>
                <w:color w:val="auto"/>
              </w:rPr>
            </w:pPr>
            <w:r>
              <w:rPr>
                <w:rFonts w:ascii="Arial" w:cs="Arial" w:eastAsia="Arial" w:hAnsi="Arial"/>
                <w:sz w:val="14"/>
                <w:szCs w:val="14"/>
                <w:color w:val="auto"/>
                <w:w w:val="94"/>
              </w:rPr>
              <w:t>Security</w:t>
            </w:r>
          </w:p>
        </w:tc>
        <w:tc>
          <w:tcPr>
            <w:tcW w:w="700" w:type="dxa"/>
            <w:vAlign w:val="bottom"/>
          </w:tcPr>
          <w:p>
            <w:pPr>
              <w:spacing w:after="0"/>
              <w:rPr>
                <w:sz w:val="13"/>
                <w:szCs w:val="13"/>
                <w:color w:val="auto"/>
              </w:rPr>
            </w:pPr>
          </w:p>
        </w:tc>
        <w:tc>
          <w:tcPr>
            <w:tcW w:w="1000" w:type="dxa"/>
            <w:vAlign w:val="bottom"/>
          </w:tcPr>
          <w:p>
            <w:pPr>
              <w:jc w:val="center"/>
              <w:spacing w:after="0" w:line="154" w:lineRule="exact"/>
              <w:rPr>
                <w:sz w:val="20"/>
                <w:szCs w:val="20"/>
                <w:color w:val="auto"/>
              </w:rPr>
            </w:pPr>
            <w:r>
              <w:rPr>
                <w:rFonts w:ascii="Arial" w:cs="Arial" w:eastAsia="Arial" w:hAnsi="Arial"/>
                <w:sz w:val="14"/>
                <w:szCs w:val="14"/>
                <w:color w:val="auto"/>
                <w:w w:val="94"/>
              </w:rPr>
              <w:t>Security</w:t>
            </w:r>
          </w:p>
        </w:tc>
        <w:tc>
          <w:tcPr>
            <w:tcW w:w="700" w:type="dxa"/>
            <w:vAlign w:val="bottom"/>
          </w:tcPr>
          <w:p>
            <w:pPr>
              <w:spacing w:after="0"/>
              <w:rPr>
                <w:sz w:val="13"/>
                <w:szCs w:val="13"/>
                <w:color w:val="auto"/>
              </w:rPr>
            </w:pPr>
          </w:p>
        </w:tc>
        <w:tc>
          <w:tcPr>
            <w:tcW w:w="1000" w:type="dxa"/>
            <w:vAlign w:val="bottom"/>
          </w:tcPr>
          <w:p>
            <w:pPr>
              <w:jc w:val="center"/>
              <w:spacing w:after="0" w:line="154" w:lineRule="exact"/>
              <w:rPr>
                <w:sz w:val="20"/>
                <w:szCs w:val="20"/>
                <w:color w:val="auto"/>
              </w:rPr>
            </w:pPr>
            <w:r>
              <w:rPr>
                <w:rFonts w:ascii="Arial" w:cs="Arial" w:eastAsia="Arial" w:hAnsi="Arial"/>
                <w:sz w:val="14"/>
                <w:szCs w:val="14"/>
                <w:color w:val="auto"/>
                <w:w w:val="86"/>
              </w:rPr>
              <w:t>increase</w:t>
            </w:r>
          </w:p>
        </w:tc>
        <w:tc>
          <w:tcPr>
            <w:tcW w:w="700" w:type="dxa"/>
            <w:vAlign w:val="bottom"/>
          </w:tcPr>
          <w:p>
            <w:pPr>
              <w:spacing w:after="0"/>
              <w:rPr>
                <w:sz w:val="13"/>
                <w:szCs w:val="13"/>
                <w:color w:val="auto"/>
              </w:rPr>
            </w:pPr>
          </w:p>
        </w:tc>
        <w:tc>
          <w:tcPr>
            <w:tcW w:w="1020" w:type="dxa"/>
            <w:vAlign w:val="bottom"/>
          </w:tcPr>
          <w:p>
            <w:pPr>
              <w:jc w:val="center"/>
              <w:spacing w:after="0" w:line="154" w:lineRule="exact"/>
              <w:rPr>
                <w:sz w:val="20"/>
                <w:szCs w:val="20"/>
                <w:color w:val="auto"/>
              </w:rPr>
            </w:pPr>
            <w:r>
              <w:rPr>
                <w:rFonts w:ascii="Arial" w:cs="Arial" w:eastAsia="Arial" w:hAnsi="Arial"/>
                <w:sz w:val="14"/>
                <w:szCs w:val="14"/>
                <w:color w:val="auto"/>
                <w:w w:val="91"/>
              </w:rPr>
              <w:t>Custodian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20" w:type="dxa"/>
            <w:vAlign w:val="bottom"/>
            <w:tcBorders>
              <w:top w:val="single" w:sz="8" w:color="auto"/>
            </w:tcBorders>
            <w:shd w:val="clear" w:color="auto" w:fill="CCEEFF"/>
          </w:tcPr>
          <w:p>
            <w:pPr>
              <w:spacing w:after="0"/>
              <w:rPr>
                <w:sz w:val="11"/>
                <w:szCs w:val="11"/>
                <w:color w:val="auto"/>
              </w:rPr>
            </w:pPr>
          </w:p>
        </w:tc>
        <w:tc>
          <w:tcPr>
            <w:tcW w:w="228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0340"/>
          </w:cols>
          <w:pgMar w:left="880" w:top="274" w:right="67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5.1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COMCAST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August 1,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Comcast Corporation, a Pennsylvania corporation (the “</w:t>
      </w:r>
      <w:r>
        <w:rPr>
          <w:rFonts w:ascii="Arial" w:cs="Arial" w:eastAsia="Arial" w:hAnsi="Arial"/>
          <w:sz w:val="17"/>
          <w:szCs w:val="17"/>
          <w:b w:val="1"/>
          <w:bCs w:val="1"/>
          <w:color w:val="auto"/>
        </w:rPr>
        <w:t>Company</w:t>
      </w:r>
      <w:r>
        <w:rPr>
          <w:rFonts w:ascii="Arial" w:cs="Arial" w:eastAsia="Arial" w:hAnsi="Arial"/>
          <w:sz w:val="17"/>
          <w:szCs w:val="17"/>
          <w:color w:val="auto"/>
        </w:rPr>
        <w:t>”) is filing with the Securities and Exchange Commission a Registration</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Statement on Form S-3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for the purpose of registering under the Securities Act of 1933, as amended (the “</w:t>
      </w:r>
      <w:r>
        <w:rPr>
          <w:rFonts w:ascii="Arial" w:cs="Arial" w:eastAsia="Arial" w:hAnsi="Arial"/>
          <w:sz w:val="16"/>
          <w:szCs w:val="16"/>
          <w:b w:val="1"/>
          <w:bCs w:val="1"/>
          <w:color w:val="auto"/>
        </w:rPr>
        <w:t>Securities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w:t>
      </w:r>
      <w:r>
        <w:rPr>
          <w:rFonts w:ascii="Arial" w:cs="Arial" w:eastAsia="Arial" w:hAnsi="Arial"/>
          <w:sz w:val="16"/>
          <w:szCs w:val="16"/>
          <w:color w:val="auto"/>
        </w:rPr>
        <w:t>”), the offer and sale of (i) shares of the Company’s Class A Common Stock, par value $0.01 per share (the “</w:t>
      </w:r>
      <w:r>
        <w:rPr>
          <w:rFonts w:ascii="Arial" w:cs="Arial" w:eastAsia="Arial" w:hAnsi="Arial"/>
          <w:sz w:val="16"/>
          <w:szCs w:val="16"/>
          <w:b w:val="1"/>
          <w:bCs w:val="1"/>
          <w:color w:val="auto"/>
        </w:rPr>
        <w:t>Class A Common Stock</w:t>
      </w:r>
      <w:r>
        <w:rPr>
          <w:rFonts w:ascii="Arial" w:cs="Arial" w:eastAsia="Arial" w:hAnsi="Arial"/>
          <w:sz w:val="16"/>
          <w:szCs w:val="16"/>
          <w:color w:val="auto"/>
        </w:rPr>
        <w:t>”); (ii) shares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Company’s preferred stock, without par value (the “</w:t>
      </w:r>
      <w:r>
        <w:rPr>
          <w:rFonts w:ascii="Arial" w:cs="Arial" w:eastAsia="Arial" w:hAnsi="Arial"/>
          <w:sz w:val="16"/>
          <w:szCs w:val="16"/>
          <w:b w:val="1"/>
          <w:bCs w:val="1"/>
          <w:color w:val="auto"/>
        </w:rPr>
        <w:t>Preferred Stock</w:t>
      </w:r>
      <w:r>
        <w:rPr>
          <w:rFonts w:ascii="Arial" w:cs="Arial" w:eastAsia="Arial" w:hAnsi="Arial"/>
          <w:sz w:val="16"/>
          <w:szCs w:val="16"/>
          <w:color w:val="auto"/>
        </w:rPr>
        <w:t>”); (iii) the Company’s senior debt securities (the “</w:t>
      </w:r>
      <w:r>
        <w:rPr>
          <w:rFonts w:ascii="Arial" w:cs="Arial" w:eastAsia="Arial" w:hAnsi="Arial"/>
          <w:sz w:val="16"/>
          <w:szCs w:val="16"/>
          <w:b w:val="1"/>
          <w:bCs w:val="1"/>
          <w:color w:val="auto"/>
        </w:rPr>
        <w:t>Debt Securities</w:t>
      </w:r>
      <w:r>
        <w:rPr>
          <w:rFonts w:ascii="Arial" w:cs="Arial" w:eastAsia="Arial" w:hAnsi="Arial"/>
          <w:sz w:val="16"/>
          <w:szCs w:val="16"/>
          <w:color w:val="auto"/>
        </w:rPr>
        <w:t>”), which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may be fully and unconditionally guaranteed by each of NBCUniversal Media, LLC and Comcast Cable Communications, LLC (together,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Guarantors</w:t>
      </w:r>
      <w:r>
        <w:rPr>
          <w:rFonts w:ascii="Arial" w:cs="Arial" w:eastAsia="Arial" w:hAnsi="Arial"/>
          <w:sz w:val="17"/>
          <w:szCs w:val="17"/>
          <w:color w:val="auto"/>
        </w:rPr>
        <w:t>”); (iv) warrants (the “</w:t>
      </w:r>
      <w:r>
        <w:rPr>
          <w:rFonts w:ascii="Arial" w:cs="Arial" w:eastAsia="Arial" w:hAnsi="Arial"/>
          <w:sz w:val="17"/>
          <w:szCs w:val="17"/>
          <w:b w:val="1"/>
          <w:bCs w:val="1"/>
          <w:color w:val="auto"/>
        </w:rPr>
        <w:t>Warrants</w:t>
      </w:r>
      <w:r>
        <w:rPr>
          <w:rFonts w:ascii="Arial" w:cs="Arial" w:eastAsia="Arial" w:hAnsi="Arial"/>
          <w:sz w:val="17"/>
          <w:szCs w:val="17"/>
          <w:color w:val="auto"/>
        </w:rPr>
        <w:t>”), which may be issued pursuant to a warrant agreement (the “</w:t>
      </w:r>
      <w:r>
        <w:rPr>
          <w:rFonts w:ascii="Arial" w:cs="Arial" w:eastAsia="Arial" w:hAnsi="Arial"/>
          <w:sz w:val="17"/>
          <w:szCs w:val="17"/>
          <w:b w:val="1"/>
          <w:bCs w:val="1"/>
          <w:color w:val="auto"/>
        </w:rPr>
        <w:t>Warrant Agreement</w:t>
      </w:r>
      <w:r>
        <w:rPr>
          <w:rFonts w:ascii="Arial" w:cs="Arial" w:eastAsia="Arial" w:hAnsi="Arial"/>
          <w:sz w:val="17"/>
          <w:szCs w:val="17"/>
          <w:color w:val="auto"/>
        </w:rPr>
        <w:t>”) between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Company and the warrant agent to be named therein; (v) purchase contracts (the “</w:t>
      </w:r>
      <w:r>
        <w:rPr>
          <w:rFonts w:ascii="Arial" w:cs="Arial" w:eastAsia="Arial" w:hAnsi="Arial"/>
          <w:sz w:val="17"/>
          <w:szCs w:val="17"/>
          <w:b w:val="1"/>
          <w:bCs w:val="1"/>
          <w:color w:val="auto"/>
        </w:rPr>
        <w:t>Purchase Contracts</w:t>
      </w:r>
      <w:r>
        <w:rPr>
          <w:rFonts w:ascii="Arial" w:cs="Arial" w:eastAsia="Arial" w:hAnsi="Arial"/>
          <w:sz w:val="17"/>
          <w:szCs w:val="17"/>
          <w:color w:val="auto"/>
        </w:rPr>
        <w:t>”) which may be issued under one or more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purchase contract agreements (each, a “</w:t>
      </w:r>
      <w:r>
        <w:rPr>
          <w:rFonts w:ascii="Arial" w:cs="Arial" w:eastAsia="Arial" w:hAnsi="Arial"/>
          <w:sz w:val="16"/>
          <w:szCs w:val="16"/>
          <w:b w:val="1"/>
          <w:bCs w:val="1"/>
          <w:color w:val="auto"/>
        </w:rPr>
        <w:t>Purchase Contract Agreement</w:t>
      </w:r>
      <w:r>
        <w:rPr>
          <w:rFonts w:ascii="Arial" w:cs="Arial" w:eastAsia="Arial" w:hAnsi="Arial"/>
          <w:sz w:val="16"/>
          <w:szCs w:val="16"/>
          <w:color w:val="auto"/>
        </w:rPr>
        <w:t>”) to be entered into between the Company and the purchase contract agent to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named therein (the “</w:t>
      </w:r>
      <w:r>
        <w:rPr>
          <w:rFonts w:ascii="Arial" w:cs="Arial" w:eastAsia="Arial" w:hAnsi="Arial"/>
          <w:sz w:val="16"/>
          <w:szCs w:val="16"/>
          <w:b w:val="1"/>
          <w:bCs w:val="1"/>
          <w:color w:val="auto"/>
        </w:rPr>
        <w:t>Purchase Contract Agent</w:t>
      </w:r>
      <w:r>
        <w:rPr>
          <w:rFonts w:ascii="Arial" w:cs="Arial" w:eastAsia="Arial" w:hAnsi="Arial"/>
          <w:sz w:val="16"/>
          <w:szCs w:val="16"/>
          <w:color w:val="auto"/>
        </w:rPr>
        <w:t>”) requiring the holders thereof to purchase or sell (A) the Company’s securities or securities of an entity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unaffiliated or affiliated with the Company, a basket of such securities, an index or indices of such securities or any combination of the above,</w:t>
      </w:r>
    </w:p>
    <w:p>
      <w:pPr>
        <w:spacing w:after="0" w:line="21" w:lineRule="exact"/>
        <w:rPr>
          <w:sz w:val="20"/>
          <w:szCs w:val="20"/>
          <w:color w:val="auto"/>
        </w:rPr>
      </w:pPr>
    </w:p>
    <w:p>
      <w:pPr>
        <w:ind w:right="20" w:firstLine="4"/>
        <w:spacing w:after="0" w:line="267" w:lineRule="auto"/>
        <w:tabs>
          <w:tab w:leader="none" w:pos="285" w:val="left"/>
        </w:tabs>
        <w:numPr>
          <w:ilvl w:val="0"/>
          <w:numId w:val="82"/>
        </w:numPr>
        <w:rPr>
          <w:rFonts w:ascii="Arial" w:cs="Arial" w:eastAsia="Arial" w:hAnsi="Arial"/>
          <w:sz w:val="17"/>
          <w:szCs w:val="17"/>
          <w:color w:val="auto"/>
        </w:rPr>
      </w:pPr>
      <w:r>
        <w:rPr>
          <w:rFonts w:ascii="Arial" w:cs="Arial" w:eastAsia="Arial" w:hAnsi="Arial"/>
          <w:sz w:val="17"/>
          <w:szCs w:val="17"/>
          <w:color w:val="auto"/>
        </w:rPr>
        <w:t>currencies or composite currencies or (C) commodities; (vi) units (the “</w:t>
      </w:r>
      <w:r>
        <w:rPr>
          <w:rFonts w:ascii="Arial" w:cs="Arial" w:eastAsia="Arial" w:hAnsi="Arial"/>
          <w:sz w:val="17"/>
          <w:szCs w:val="17"/>
          <w:b w:val="1"/>
          <w:bCs w:val="1"/>
          <w:color w:val="auto"/>
        </w:rPr>
        <w:t>Units</w:t>
      </w:r>
      <w:r>
        <w:rPr>
          <w:rFonts w:ascii="Arial" w:cs="Arial" w:eastAsia="Arial" w:hAnsi="Arial"/>
          <w:sz w:val="17"/>
          <w:szCs w:val="17"/>
          <w:color w:val="auto"/>
        </w:rPr>
        <w:t>”) consisting of Debt Securities, Warrants, Purchase Contracts, Preferred Stock or Class A Common Stock or any combination of the foregoing to be issued under one or more unit agreements to be entered into among the Company, a bank or trust company, as unit agent (the “</w:t>
      </w:r>
      <w:r>
        <w:rPr>
          <w:rFonts w:ascii="Arial" w:cs="Arial" w:eastAsia="Arial" w:hAnsi="Arial"/>
          <w:sz w:val="17"/>
          <w:szCs w:val="17"/>
          <w:b w:val="1"/>
          <w:bCs w:val="1"/>
          <w:color w:val="auto"/>
        </w:rPr>
        <w:t>Unit Agent</w:t>
      </w:r>
      <w:r>
        <w:rPr>
          <w:rFonts w:ascii="Arial" w:cs="Arial" w:eastAsia="Arial" w:hAnsi="Arial"/>
          <w:sz w:val="17"/>
          <w:szCs w:val="17"/>
          <w:color w:val="auto"/>
        </w:rPr>
        <w:t>”), and the holders from time to time of the Units (each such unit agreement, a “</w:t>
      </w:r>
      <w:r>
        <w:rPr>
          <w:rFonts w:ascii="Arial" w:cs="Arial" w:eastAsia="Arial" w:hAnsi="Arial"/>
          <w:sz w:val="17"/>
          <w:szCs w:val="17"/>
          <w:b w:val="1"/>
          <w:bCs w:val="1"/>
          <w:color w:val="auto"/>
        </w:rPr>
        <w:t>Unit Agreement</w:t>
      </w:r>
      <w:r>
        <w:rPr>
          <w:rFonts w:ascii="Arial" w:cs="Arial" w:eastAsia="Arial" w:hAnsi="Arial"/>
          <w:sz w:val="17"/>
          <w:szCs w:val="17"/>
          <w:color w:val="auto"/>
        </w:rPr>
        <w:t>”); (vii) guarantees (the “</w:t>
      </w:r>
      <w:r>
        <w:rPr>
          <w:rFonts w:ascii="Arial" w:cs="Arial" w:eastAsia="Arial" w:hAnsi="Arial"/>
          <w:sz w:val="17"/>
          <w:szCs w:val="17"/>
          <w:b w:val="1"/>
          <w:bCs w:val="1"/>
          <w:color w:val="auto"/>
        </w:rPr>
        <w:t>Guarantees</w:t>
      </w:r>
      <w:r>
        <w:rPr>
          <w:rFonts w:ascii="Arial" w:cs="Arial" w:eastAsia="Arial" w:hAnsi="Arial"/>
          <w:sz w:val="17"/>
          <w:szCs w:val="17"/>
          <w:color w:val="auto"/>
        </w:rPr>
        <w:t>”) of the Debt Securities by the Guarantors; and (viii) guarantees (the “</w:t>
      </w:r>
      <w:r>
        <w:rPr>
          <w:rFonts w:ascii="Arial" w:cs="Arial" w:eastAsia="Arial" w:hAnsi="Arial"/>
          <w:sz w:val="17"/>
          <w:szCs w:val="17"/>
          <w:b w:val="1"/>
          <w:bCs w:val="1"/>
          <w:color w:val="auto"/>
        </w:rPr>
        <w:t>Additional</w:t>
      </w:r>
      <w:r>
        <w:rPr>
          <w:rFonts w:ascii="Arial" w:cs="Arial" w:eastAsia="Arial" w:hAnsi="Arial"/>
          <w:sz w:val="17"/>
          <w:szCs w:val="17"/>
          <w:color w:val="auto"/>
        </w:rPr>
        <w:t xml:space="preserve"> </w:t>
      </w:r>
      <w:r>
        <w:rPr>
          <w:rFonts w:ascii="Arial" w:cs="Arial" w:eastAsia="Arial" w:hAnsi="Arial"/>
          <w:sz w:val="17"/>
          <w:szCs w:val="17"/>
          <w:b w:val="1"/>
          <w:bCs w:val="1"/>
          <w:color w:val="auto"/>
        </w:rPr>
        <w:t>Guarantees</w:t>
      </w:r>
      <w:r>
        <w:rPr>
          <w:rFonts w:ascii="Arial" w:cs="Arial" w:eastAsia="Arial" w:hAnsi="Arial"/>
          <w:sz w:val="17"/>
          <w:szCs w:val="17"/>
          <w:color w:val="auto"/>
        </w:rPr>
        <w:t>”) of Warrants, Purchase Contracts and Units or any combination of the foregoing by the Guarantors to be issued under one or more</w:t>
      </w:r>
      <w:r>
        <w:rPr>
          <w:rFonts w:ascii="Arial" w:cs="Arial" w:eastAsia="Arial" w:hAnsi="Arial"/>
          <w:sz w:val="17"/>
          <w:szCs w:val="17"/>
          <w:b w:val="1"/>
          <w:bCs w:val="1"/>
          <w:color w:val="auto"/>
        </w:rPr>
        <w:t xml:space="preserve"> </w:t>
      </w:r>
      <w:r>
        <w:rPr>
          <w:rFonts w:ascii="Arial" w:cs="Arial" w:eastAsia="Arial" w:hAnsi="Arial"/>
          <w:sz w:val="17"/>
          <w:szCs w:val="17"/>
          <w:color w:val="auto"/>
        </w:rPr>
        <w:t>guarantee agreements (each, a “</w:t>
      </w:r>
      <w:r>
        <w:rPr>
          <w:rFonts w:ascii="Arial" w:cs="Arial" w:eastAsia="Arial" w:hAnsi="Arial"/>
          <w:sz w:val="17"/>
          <w:szCs w:val="17"/>
          <w:b w:val="1"/>
          <w:bCs w:val="1"/>
          <w:color w:val="auto"/>
        </w:rPr>
        <w:t>Guarantee Agreement</w:t>
      </w:r>
      <w:r>
        <w:rPr>
          <w:rFonts w:ascii="Arial" w:cs="Arial" w:eastAsia="Arial" w:hAnsi="Arial"/>
          <w:sz w:val="17"/>
          <w:szCs w:val="17"/>
          <w:color w:val="auto"/>
        </w:rPr>
        <w:t>”) to be entered into by the Guarantors. The Debt Securities, Preferred Stock, Class A Common Stock, Warrants, Purchase Contracts, Units, Guarantees and Additional Guarantees are herein collectively referred to as the “</w:t>
      </w:r>
      <w:r>
        <w:rPr>
          <w:rFonts w:ascii="Arial" w:cs="Arial" w:eastAsia="Arial" w:hAnsi="Arial"/>
          <w:sz w:val="17"/>
          <w:szCs w:val="17"/>
          <w:b w:val="1"/>
          <w:bCs w:val="1"/>
          <w:color w:val="auto"/>
        </w:rPr>
        <w:t>Securities.</w:t>
      </w:r>
      <w:r>
        <w:rPr>
          <w:rFonts w:ascii="Arial" w:cs="Arial" w:eastAsia="Arial" w:hAnsi="Arial"/>
          <w:sz w:val="17"/>
          <w:szCs w:val="17"/>
          <w:color w:val="auto"/>
        </w:rPr>
        <w:t>” The Debt Securities and the Preferred Stock may be convertible and/or exchangeable for Securities or other securities or rights. The Debt Securities are to be issued pursuant to an indenture dated September 18, 2013, as amended and supplemented from time to time (the “</w:t>
      </w:r>
      <w:r>
        <w:rPr>
          <w:rFonts w:ascii="Arial" w:cs="Arial" w:eastAsia="Arial" w:hAnsi="Arial"/>
          <w:sz w:val="17"/>
          <w:szCs w:val="17"/>
          <w:b w:val="1"/>
          <w:bCs w:val="1"/>
          <w:color w:val="auto"/>
        </w:rPr>
        <w:t>Indenture</w:t>
      </w:r>
      <w:r>
        <w:rPr>
          <w:rFonts w:ascii="Arial" w:cs="Arial" w:eastAsia="Arial" w:hAnsi="Arial"/>
          <w:sz w:val="17"/>
          <w:szCs w:val="17"/>
          <w:color w:val="auto"/>
        </w:rPr>
        <w:t>”), among the Company, the Guarantors and The Bank of New York Mellon, as Trustee. The Company may offer Depositary Shares (the “</w:t>
      </w:r>
      <w:r>
        <w:rPr>
          <w:rFonts w:ascii="Arial" w:cs="Arial" w:eastAsia="Arial" w:hAnsi="Arial"/>
          <w:sz w:val="17"/>
          <w:szCs w:val="17"/>
          <w:b w:val="1"/>
          <w:bCs w:val="1"/>
          <w:color w:val="auto"/>
        </w:rPr>
        <w:t>Depositary Shares</w:t>
      </w:r>
      <w:r>
        <w:rPr>
          <w:rFonts w:ascii="Arial" w:cs="Arial" w:eastAsia="Arial" w:hAnsi="Arial"/>
          <w:sz w:val="17"/>
          <w:szCs w:val="17"/>
          <w:color w:val="auto"/>
        </w:rPr>
        <w:t>”) representing interests in Preferred Stock deposited with a Depositary and evidenced by Depositary Receipts, and such Depositary Shares are also covered by the Registration Statement.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75" w:name="page76"/>
    <w:bookmarkEnd w:id="75"/>
    <w:p>
      <w:pPr>
        <w:ind w:right="440" w:firstLine="441"/>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have examined originals or copies, certified or otherwise identified to my satisfaction, of such documents, corporate records, certificates of public officials and other instruments as I have deemed necessary or advisable for the purpose of rendering this opinion.</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Based upon the foregoing, I advise you that, in my opinion:</w:t>
      </w:r>
    </w:p>
    <w:p>
      <w:pPr>
        <w:spacing w:after="0" w:line="117" w:lineRule="exact"/>
        <w:rPr>
          <w:sz w:val="20"/>
          <w:szCs w:val="20"/>
          <w:color w:val="auto"/>
        </w:rPr>
      </w:pPr>
    </w:p>
    <w:p>
      <w:pPr>
        <w:ind w:firstLine="444"/>
        <w:spacing w:after="0" w:line="272" w:lineRule="auto"/>
        <w:tabs>
          <w:tab w:leader="none" w:pos="621" w:val="left"/>
        </w:tabs>
        <w:numPr>
          <w:ilvl w:val="0"/>
          <w:numId w:val="83"/>
        </w:numPr>
        <w:rPr>
          <w:rFonts w:ascii="Arial" w:cs="Arial" w:eastAsia="Arial" w:hAnsi="Arial"/>
          <w:sz w:val="17"/>
          <w:szCs w:val="17"/>
          <w:color w:val="auto"/>
        </w:rPr>
      </w:pPr>
      <w:r>
        <w:rPr>
          <w:rFonts w:ascii="Arial" w:cs="Arial" w:eastAsia="Arial" w:hAnsi="Arial"/>
          <w:sz w:val="17"/>
          <w:szCs w:val="17"/>
          <w:color w:val="auto"/>
        </w:rPr>
        <w:t>When the necessary corporate action on the part of the Company has been taken to authorize the issuance and sale of such shares of Class A Common Stock proposed to be sold by the Company, and when such shares of Class A Common Stock are issued and delivered in accordance with the applicable underwriting or other agreement against payment therefor (in an amount not less than the par value thereof) or upon conversion or exercise of any security offered under the Registration Statement (the “</w:t>
      </w:r>
      <w:r>
        <w:rPr>
          <w:rFonts w:ascii="Arial" w:cs="Arial" w:eastAsia="Arial" w:hAnsi="Arial"/>
          <w:sz w:val="17"/>
          <w:szCs w:val="17"/>
          <w:b w:val="1"/>
          <w:bCs w:val="1"/>
          <w:color w:val="auto"/>
        </w:rPr>
        <w:t>Offered Security</w:t>
      </w:r>
      <w:r>
        <w:rPr>
          <w:rFonts w:ascii="Arial" w:cs="Arial" w:eastAsia="Arial" w:hAnsi="Arial"/>
          <w:sz w:val="17"/>
          <w:szCs w:val="17"/>
          <w:color w:val="auto"/>
        </w:rPr>
        <w:t>”), in accordance with the terms of such Offered Security or the instrument governing such Offered Security providing for such conversion or exercise as approved by the Board of Directors, for the consideration approved by the Board of Directors (which consideration is not less than the par value of the Class A Common Stock), such shares of Class A Common Stock will be validly issued, fully-paid and non-assessable.</w:t>
      </w:r>
    </w:p>
    <w:p>
      <w:pPr>
        <w:spacing w:after="0" w:line="177" w:lineRule="exact"/>
        <w:rPr>
          <w:rFonts w:ascii="Arial" w:cs="Arial" w:eastAsia="Arial" w:hAnsi="Arial"/>
          <w:sz w:val="17"/>
          <w:szCs w:val="17"/>
          <w:color w:val="auto"/>
        </w:rPr>
      </w:pPr>
    </w:p>
    <w:p>
      <w:pPr>
        <w:ind w:right="160" w:firstLine="444"/>
        <w:spacing w:after="0" w:line="293" w:lineRule="auto"/>
        <w:tabs>
          <w:tab w:leader="none" w:pos="621" w:val="left"/>
        </w:tabs>
        <w:numPr>
          <w:ilvl w:val="0"/>
          <w:numId w:val="83"/>
        </w:numPr>
        <w:rPr>
          <w:rFonts w:ascii="Arial" w:cs="Arial" w:eastAsia="Arial" w:hAnsi="Arial"/>
          <w:sz w:val="16"/>
          <w:szCs w:val="16"/>
          <w:color w:val="auto"/>
        </w:rPr>
      </w:pPr>
      <w:r>
        <w:rPr>
          <w:rFonts w:ascii="Arial" w:cs="Arial" w:eastAsia="Arial" w:hAnsi="Arial"/>
          <w:sz w:val="16"/>
          <w:szCs w:val="16"/>
          <w:color w:val="auto"/>
        </w:rPr>
        <w:t>Upon designation of the relative rights, preferences and limitations of any series of Preferred Stock by the Board of Directors of the Company and proper filing with the Secretary of State of the Commonwealth of Pennsylvania of a Certificate of Designations relating to such series of Preferred Stock, all necessary corporate action on the part of the Company will have been taken to authorize the issuance and sale of such series of Preferred Stock proposed to be sold by the Company, and when such shares of Preferred Stock are issued and delivered in accordance with the applicable underwriting or other agreement against payment therefor or upon conversion in accordance with the terms of any other Security that has been duly authorized, issued, paid for and delivered, such shares of Preferred Stock will be validly issued, fully paid and non-assessable.</w:t>
      </w:r>
    </w:p>
    <w:p>
      <w:pPr>
        <w:spacing w:after="0" w:line="164" w:lineRule="exact"/>
        <w:rPr>
          <w:rFonts w:ascii="Arial" w:cs="Arial" w:eastAsia="Arial" w:hAnsi="Arial"/>
          <w:sz w:val="16"/>
          <w:szCs w:val="16"/>
          <w:color w:val="auto"/>
        </w:rPr>
      </w:pPr>
    </w:p>
    <w:p>
      <w:pPr>
        <w:ind w:right="280" w:firstLine="444"/>
        <w:spacing w:after="0" w:line="264" w:lineRule="auto"/>
        <w:tabs>
          <w:tab w:leader="none" w:pos="621" w:val="left"/>
        </w:tabs>
        <w:numPr>
          <w:ilvl w:val="0"/>
          <w:numId w:val="83"/>
        </w:numPr>
        <w:rPr>
          <w:rFonts w:ascii="Arial" w:cs="Arial" w:eastAsia="Arial" w:hAnsi="Arial"/>
          <w:sz w:val="18"/>
          <w:szCs w:val="18"/>
          <w:color w:val="auto"/>
        </w:rPr>
      </w:pPr>
      <w:r>
        <w:rPr>
          <w:rFonts w:ascii="Arial" w:cs="Arial" w:eastAsia="Arial" w:hAnsi="Arial"/>
          <w:sz w:val="18"/>
          <w:szCs w:val="18"/>
          <w:color w:val="auto"/>
        </w:rPr>
        <w:t>When Depositary Shares evidenced by Depositary Receipts are issued and delivered in accordance with the terms of a Deposit Agreement against the deposit of duly authorized, validly issued, fully paid and non-assessable shares of Preferred Stock, such Depositary Shares will entitle the holders thereof to the rights specified in the Deposit Agreement.</w:t>
      </w:r>
    </w:p>
    <w:p>
      <w:pPr>
        <w:spacing w:after="0" w:line="181" w:lineRule="exact"/>
        <w:rPr>
          <w:rFonts w:ascii="Arial" w:cs="Arial" w:eastAsia="Arial" w:hAnsi="Arial"/>
          <w:sz w:val="18"/>
          <w:szCs w:val="18"/>
          <w:color w:val="auto"/>
        </w:rPr>
      </w:pPr>
    </w:p>
    <w:p>
      <w:pPr>
        <w:ind w:left="620" w:hanging="176"/>
        <w:spacing w:after="0"/>
        <w:tabs>
          <w:tab w:leader="none" w:pos="6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Indenture has been duly authorized, executed and delivered by the Company.</w:t>
      </w:r>
    </w:p>
    <w:p>
      <w:pPr>
        <w:spacing w:after="0" w:line="225"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In connection with my opinions expressed above, I have assumed that, at or prior to the time of the delivery of any such Security, (i) the Board of Directors shall have duly established the terms of such Security; (ii) the Company is, and shall remain, validly subsisting as a corporation in good standing under the laws of the Commonwealth of</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76" w:name="page77"/>
    <w:bookmarkEnd w:id="76"/>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Pennsylvania; (iii) the Registration Statement shall have become effective and such effectiveness shall not have been terminated or rescinded; (iv) the Indentures and the Debt Securities are each valid, binding and enforceable agreements of each party thereto (other than as expressly covered above in respect of the Company); and (v) there shall not have occurred any change in law affecting the validity or enforceability of such Security. I have also assumed that none of the terms of any Security to be established subsequent to the date hereof, nor the issuance and delivery of such Security, nor the compliance by the Company with the terms of such Security will violate any applicable law or public policy or will result in a violation of any provision of any instrument or agreement then binding upon the Company, or any restriction imposed by any court or governmental body having jurisdiction over the Company.</w:t>
      </w:r>
    </w:p>
    <w:p>
      <w:pPr>
        <w:spacing w:after="0" w:line="189" w:lineRule="exact"/>
        <w:rPr>
          <w:sz w:val="20"/>
          <w:szCs w:val="20"/>
          <w:color w:val="auto"/>
        </w:rPr>
      </w:pPr>
    </w:p>
    <w:p>
      <w:pPr>
        <w:ind w:right="520" w:firstLine="441"/>
        <w:spacing w:after="0" w:line="277" w:lineRule="auto"/>
        <w:rPr>
          <w:sz w:val="20"/>
          <w:szCs w:val="20"/>
          <w:color w:val="auto"/>
        </w:rPr>
      </w:pPr>
      <w:r>
        <w:rPr>
          <w:rFonts w:ascii="Arial" w:cs="Arial" w:eastAsia="Arial" w:hAnsi="Arial"/>
          <w:sz w:val="18"/>
          <w:szCs w:val="18"/>
          <w:color w:val="auto"/>
        </w:rPr>
        <w:t>I am a member of the Bar of the Commonwealth of Pennsylvania and the foregoing opinion is limited to the laws of the Commonwealth of Pennsylvania.</w:t>
      </w:r>
    </w:p>
    <w:p>
      <w:pPr>
        <w:spacing w:after="0" w:line="170"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I hereby consent to the filing of this opinion as an exhibit to the Registration Statement referred to above and further consent to the reference to my name under the caption “Legal Matters” in the prospectus, which is a part of the Registration Statement. In giving this consent, I do not admit that I am in the category of persons whose consent is required under Section 7 of the Securities Act.</w:t>
      </w:r>
    </w:p>
    <w:p>
      <w:pPr>
        <w:spacing w:after="0" w:line="20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Elizabeth Wideman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14605</wp:posOffset>
            </wp:positionV>
            <wp:extent cx="25730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Elizabeth Wideman</w:t>
      </w:r>
    </w:p>
    <w:p>
      <w:pPr>
        <w:spacing w:after="0" w:line="23" w:lineRule="exact"/>
        <w:rPr>
          <w:sz w:val="20"/>
          <w:szCs w:val="20"/>
          <w:color w:val="auto"/>
        </w:rPr>
      </w:pPr>
    </w:p>
    <w:p>
      <w:pPr>
        <w:jc w:val="both"/>
        <w:ind w:left="6980"/>
        <w:spacing w:after="0"/>
        <w:tabs>
          <w:tab w:leader="none" w:pos="7540" w:val="left"/>
        </w:tabs>
        <w:rPr>
          <w:sz w:val="20"/>
          <w:szCs w:val="20"/>
          <w:color w:val="auto"/>
        </w:rPr>
      </w:pPr>
      <w:r>
        <w:rPr>
          <w:rFonts w:ascii="Arial" w:cs="Arial" w:eastAsia="Arial" w:hAnsi="Arial"/>
          <w:sz w:val="18"/>
          <w:szCs w:val="18"/>
          <w:color w:val="auto"/>
        </w:rPr>
        <w:t>Title:</w:t>
        <w:tab/>
        <w:t>Vice President, Senior Deputy General Counsel</w:t>
      </w:r>
    </w:p>
    <w:p>
      <w:pPr>
        <w:spacing w:after="0" w:line="9"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and Assistant Secretary</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77" w:name="page78"/>
    <w:bookmarkEnd w:id="77"/>
    <w:p>
      <w:pPr>
        <w:spacing w:after="0" w:line="200" w:lineRule="exact"/>
        <w:rPr>
          <w:sz w:val="20"/>
          <w:szCs w:val="20"/>
          <w:color w:val="auto"/>
        </w:rPr>
      </w:pPr>
    </w:p>
    <w:p>
      <w:pPr>
        <w:spacing w:after="0" w:line="259" w:lineRule="exact"/>
        <w:rPr>
          <w:sz w:val="20"/>
          <w:szCs w:val="20"/>
          <w:color w:val="auto"/>
        </w:rPr>
      </w:pPr>
    </w:p>
    <w:p>
      <w:pPr>
        <w:ind w:left="7860"/>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0"/>
          <w:szCs w:val="20"/>
          <w:color w:val="auto"/>
        </w:rPr>
      </w:pPr>
    </w:p>
    <w:p>
      <w:pPr>
        <w:ind w:left="7860"/>
        <w:spacing w:after="0"/>
        <w:rPr>
          <w:sz w:val="20"/>
          <w:szCs w:val="20"/>
          <w:color w:val="auto"/>
        </w:rPr>
      </w:pPr>
      <w:r>
        <w:rPr>
          <w:rFonts w:ascii="Arial" w:cs="Arial" w:eastAsia="Arial" w:hAnsi="Arial"/>
          <w:sz w:val="17"/>
          <w:szCs w:val="17"/>
          <w:b w:val="1"/>
          <w:bCs w:val="1"/>
          <w:color w:val="auto"/>
        </w:rPr>
        <w:t>Northern California</w:t>
      </w:r>
    </w:p>
    <w:p>
      <w:pPr>
        <w:spacing w:after="0" w:line="21" w:lineRule="exact"/>
        <w:rPr>
          <w:sz w:val="20"/>
          <w:szCs w:val="20"/>
          <w:color w:val="auto"/>
        </w:rPr>
      </w:pPr>
    </w:p>
    <w:p>
      <w:pPr>
        <w:ind w:left="7860"/>
        <w:spacing w:after="0"/>
        <w:rPr>
          <w:sz w:val="20"/>
          <w:szCs w:val="20"/>
          <w:color w:val="auto"/>
        </w:rPr>
      </w:pPr>
      <w:r>
        <w:rPr>
          <w:rFonts w:ascii="Arial" w:cs="Arial" w:eastAsia="Arial" w:hAnsi="Arial"/>
          <w:sz w:val="18"/>
          <w:szCs w:val="18"/>
          <w:b w:val="1"/>
          <w:bCs w:val="1"/>
          <w:color w:val="auto"/>
        </w:rPr>
        <w:t>Washington DC</w:t>
      </w:r>
    </w:p>
    <w:p>
      <w:pPr>
        <w:spacing w:after="0" w:line="9" w:lineRule="exact"/>
        <w:rPr>
          <w:sz w:val="20"/>
          <w:szCs w:val="20"/>
          <w:color w:val="auto"/>
        </w:rPr>
      </w:pPr>
    </w:p>
    <w:p>
      <w:pPr>
        <w:ind w:left="7860"/>
        <w:spacing w:after="0"/>
        <w:rPr>
          <w:sz w:val="20"/>
          <w:szCs w:val="20"/>
          <w:color w:val="auto"/>
        </w:rPr>
      </w:pPr>
      <w:r>
        <w:rPr>
          <w:rFonts w:ascii="Arial" w:cs="Arial" w:eastAsia="Arial" w:hAnsi="Arial"/>
          <w:sz w:val="18"/>
          <w:szCs w:val="18"/>
          <w:b w:val="1"/>
          <w:bCs w:val="1"/>
          <w:color w:val="auto"/>
        </w:rPr>
        <w:t>São Paulo</w:t>
      </w:r>
    </w:p>
    <w:p>
      <w:pPr>
        <w:spacing w:after="0" w:line="9" w:lineRule="exact"/>
        <w:rPr>
          <w:sz w:val="20"/>
          <w:szCs w:val="20"/>
          <w:color w:val="auto"/>
        </w:rPr>
      </w:pPr>
    </w:p>
    <w:p>
      <w:pPr>
        <w:ind w:left="7860"/>
        <w:spacing w:after="0"/>
        <w:rPr>
          <w:sz w:val="20"/>
          <w:szCs w:val="20"/>
          <w:color w:val="auto"/>
        </w:rPr>
      </w:pPr>
      <w:r>
        <w:rPr>
          <w:rFonts w:ascii="Arial" w:cs="Arial" w:eastAsia="Arial" w:hAnsi="Arial"/>
          <w:sz w:val="18"/>
          <w:szCs w:val="18"/>
          <w:b w:val="1"/>
          <w:bCs w:val="1"/>
          <w:color w:val="auto"/>
        </w:rPr>
        <w:t>London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1363345" cy="2489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8">
                      <a:extLst>
                        <a:ext uri="{28A0092B-C50C-407E-A947-70E740481C1C}"/>
                      </a:extLst>
                    </a:blip>
                    <a:srcRect/>
                    <a:stretch>
                      <a:fillRect/>
                    </a:stretch>
                  </pic:blipFill>
                  <pic:spPr bwMode="auto">
                    <a:xfrm>
                      <a:off x="0" y="0"/>
                      <a:ext cx="136334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 xml:space="preserve">Davis Polk &amp; Wardwell </w:t>
            </w:r>
            <w:r>
              <w:rPr>
                <w:rFonts w:ascii="Arial" w:cs="Arial" w:eastAsia="Arial" w:hAnsi="Arial"/>
                <w:sz w:val="15"/>
                <w:szCs w:val="15"/>
                <w:color w:val="auto"/>
              </w:rPr>
              <w:t>LLP</w:t>
            </w:r>
          </w:p>
        </w:tc>
        <w:tc>
          <w:tcPr>
            <w:tcW w:w="1480" w:type="dxa"/>
            <w:vAlign w:val="bottom"/>
          </w:tcPr>
          <w:p>
            <w:pPr>
              <w:ind w:left="260"/>
              <w:spacing w:after="0"/>
              <w:rPr>
                <w:sz w:val="20"/>
                <w:szCs w:val="20"/>
                <w:color w:val="auto"/>
              </w:rPr>
            </w:pPr>
            <w:r>
              <w:rPr>
                <w:rFonts w:ascii="Arial" w:cs="Arial" w:eastAsia="Arial" w:hAnsi="Arial"/>
                <w:sz w:val="18"/>
                <w:szCs w:val="18"/>
                <w:color w:val="auto"/>
                <w:w w:val="89"/>
              </w:rPr>
              <w:t>212 450 4000 tel</w:t>
            </w:r>
          </w:p>
        </w:tc>
      </w:tr>
    </w:tbl>
    <w:p>
      <w:pPr>
        <w:spacing w:after="0"/>
        <w:rPr>
          <w:sz w:val="20"/>
          <w:szCs w:val="20"/>
          <w:color w:val="auto"/>
        </w:rPr>
      </w:pPr>
      <w:r>
        <w:rPr>
          <w:rFonts w:ascii="Arial" w:cs="Arial" w:eastAsia="Arial" w:hAnsi="Arial"/>
          <w:sz w:val="18"/>
          <w:szCs w:val="18"/>
          <w:color w:val="auto"/>
        </w:rPr>
        <w:t>450 Lexington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10017</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August 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Arial" w:cs="Arial" w:eastAsia="Arial" w:hAnsi="Arial"/>
          <w:sz w:val="16"/>
          <w:szCs w:val="16"/>
          <w:b w:val="1"/>
          <w:bCs w:val="1"/>
          <w:color w:val="auto"/>
        </w:rPr>
        <w:t>Exhibit 5.2</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Madrid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Hong Kong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Beijing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Tokyo</w:t>
      </w:r>
    </w:p>
    <w:p>
      <w:pPr>
        <w:spacing w:after="0" w:line="3799" w:lineRule="exact"/>
        <w:rPr>
          <w:sz w:val="20"/>
          <w:szCs w:val="20"/>
          <w:color w:val="auto"/>
        </w:rPr>
      </w:pPr>
    </w:p>
    <w:p>
      <w:pPr>
        <w:sectPr>
          <w:pgSz w:w="11900" w:h="16838" w:orient="portrait"/>
          <w:cols w:equalWidth="0" w:num="2">
            <w:col w:w="9420" w:space="720"/>
            <w:col w:w="880"/>
          </w:cols>
          <w:pgMar w:left="440" w:top="121" w:right="439" w:bottom="1440" w:gutter="0" w:footer="0" w:header="0"/>
        </w:sectPr>
      </w:pPr>
    </w:p>
    <w:p>
      <w:pPr>
        <w:spacing w:after="0"/>
        <w:rPr>
          <w:sz w:val="20"/>
          <w:szCs w:val="20"/>
          <w:color w:val="auto"/>
        </w:rPr>
      </w:pPr>
      <w:r>
        <w:rPr>
          <w:rFonts w:ascii="Arial" w:cs="Arial" w:eastAsia="Arial" w:hAnsi="Arial"/>
          <w:sz w:val="16"/>
          <w:szCs w:val="16"/>
          <w:color w:val="auto"/>
        </w:rPr>
        <w:t>Comcast Corporation, a Pennsylvania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is filing with the Securities and Exchange Commission a Registration Statement on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Form S-3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for the purpose of registering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(i) shares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Company’s Class A Common Stock, par value $0.01 per share (the “</w:t>
      </w:r>
      <w:r>
        <w:rPr>
          <w:rFonts w:ascii="Arial" w:cs="Arial" w:eastAsia="Arial" w:hAnsi="Arial"/>
          <w:sz w:val="16"/>
          <w:szCs w:val="16"/>
          <w:b w:val="1"/>
          <w:bCs w:val="1"/>
          <w:color w:val="auto"/>
        </w:rPr>
        <w:t>Class A Common Stock</w:t>
      </w:r>
      <w:r>
        <w:rPr>
          <w:rFonts w:ascii="Arial" w:cs="Arial" w:eastAsia="Arial" w:hAnsi="Arial"/>
          <w:sz w:val="16"/>
          <w:szCs w:val="16"/>
          <w:color w:val="auto"/>
        </w:rPr>
        <w:t>”); (ii) shares of the Company’s preferred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without par value (the “</w:t>
      </w:r>
      <w:r>
        <w:rPr>
          <w:rFonts w:ascii="Arial" w:cs="Arial" w:eastAsia="Arial" w:hAnsi="Arial"/>
          <w:sz w:val="16"/>
          <w:szCs w:val="16"/>
          <w:b w:val="1"/>
          <w:bCs w:val="1"/>
          <w:color w:val="auto"/>
        </w:rPr>
        <w:t>Preferred Stock</w:t>
      </w:r>
      <w:r>
        <w:rPr>
          <w:rFonts w:ascii="Arial" w:cs="Arial" w:eastAsia="Arial" w:hAnsi="Arial"/>
          <w:sz w:val="16"/>
          <w:szCs w:val="16"/>
          <w:color w:val="auto"/>
        </w:rPr>
        <w:t>”); (iii) the Company’s senior debt securities (the “</w:t>
      </w:r>
      <w:r>
        <w:rPr>
          <w:rFonts w:ascii="Arial" w:cs="Arial" w:eastAsia="Arial" w:hAnsi="Arial"/>
          <w:sz w:val="16"/>
          <w:szCs w:val="16"/>
          <w:b w:val="1"/>
          <w:bCs w:val="1"/>
          <w:color w:val="auto"/>
        </w:rPr>
        <w:t>Debt Securities</w:t>
      </w:r>
      <w:r>
        <w:rPr>
          <w:rFonts w:ascii="Arial" w:cs="Arial" w:eastAsia="Arial" w:hAnsi="Arial"/>
          <w:sz w:val="16"/>
          <w:szCs w:val="16"/>
          <w:color w:val="auto"/>
        </w:rPr>
        <w:t>”), which may be fully and unconditionally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guaranteed by each of NBCUniversal Media, LLC and Comcast Cable Communications, LLC (together, the “</w:t>
      </w:r>
      <w:r>
        <w:rPr>
          <w:rFonts w:ascii="Arial" w:cs="Arial" w:eastAsia="Arial" w:hAnsi="Arial"/>
          <w:sz w:val="16"/>
          <w:szCs w:val="16"/>
          <w:b w:val="1"/>
          <w:bCs w:val="1"/>
          <w:color w:val="auto"/>
        </w:rPr>
        <w:t>Guarantors</w:t>
      </w:r>
      <w:r>
        <w:rPr>
          <w:rFonts w:ascii="Arial" w:cs="Arial" w:eastAsia="Arial" w:hAnsi="Arial"/>
          <w:sz w:val="16"/>
          <w:szCs w:val="16"/>
          <w:color w:val="auto"/>
        </w:rPr>
        <w:t>”), and which may be issued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pursuant to an indenture dated as of September 18, 2013 (the “</w:t>
      </w:r>
      <w:r>
        <w:rPr>
          <w:rFonts w:ascii="Arial" w:cs="Arial" w:eastAsia="Arial" w:hAnsi="Arial"/>
          <w:sz w:val="16"/>
          <w:szCs w:val="16"/>
          <w:b w:val="1"/>
          <w:bCs w:val="1"/>
          <w:color w:val="auto"/>
        </w:rPr>
        <w:t>Base Indenture</w:t>
      </w:r>
      <w:r>
        <w:rPr>
          <w:rFonts w:ascii="Arial" w:cs="Arial" w:eastAsia="Arial" w:hAnsi="Arial"/>
          <w:sz w:val="16"/>
          <w:szCs w:val="16"/>
          <w:color w:val="auto"/>
        </w:rPr>
        <w:t>”) by and among the Company, the guarantors named therein and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Bank of New York Mellon, as trustee (the “</w:t>
      </w:r>
      <w:r>
        <w:rPr>
          <w:rFonts w:ascii="Arial" w:cs="Arial" w:eastAsia="Arial" w:hAnsi="Arial"/>
          <w:sz w:val="16"/>
          <w:szCs w:val="16"/>
          <w:b w:val="1"/>
          <w:bCs w:val="1"/>
          <w:color w:val="auto"/>
        </w:rPr>
        <w:t>Trustee</w:t>
      </w:r>
      <w:r>
        <w:rPr>
          <w:rFonts w:ascii="Arial" w:cs="Arial" w:eastAsia="Arial" w:hAnsi="Arial"/>
          <w:sz w:val="16"/>
          <w:szCs w:val="16"/>
          <w:color w:val="auto"/>
        </w:rPr>
        <w:t>”), as supplemented by the First Supplemental Indenture dated as of November 17, 2015 (the “</w:t>
      </w:r>
      <w:r>
        <w:rPr>
          <w:rFonts w:ascii="Arial" w:cs="Arial" w:eastAsia="Arial" w:hAnsi="Arial"/>
          <w:sz w:val="16"/>
          <w:szCs w:val="16"/>
          <w:b w:val="1"/>
          <w:bCs w:val="1"/>
          <w:color w:val="auto"/>
        </w:rPr>
        <w:t>First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Supplemental Indenture</w:t>
      </w:r>
      <w:r>
        <w:rPr>
          <w:rFonts w:ascii="Arial" w:cs="Arial" w:eastAsia="Arial" w:hAnsi="Arial"/>
          <w:sz w:val="17"/>
          <w:szCs w:val="17"/>
          <w:color w:val="auto"/>
        </w:rPr>
        <w:t>” and, together with the Base Indenture, the “</w:t>
      </w:r>
      <w:r>
        <w:rPr>
          <w:rFonts w:ascii="Arial" w:cs="Arial" w:eastAsia="Arial" w:hAnsi="Arial"/>
          <w:sz w:val="17"/>
          <w:szCs w:val="17"/>
          <w:b w:val="1"/>
          <w:bCs w:val="1"/>
          <w:color w:val="auto"/>
        </w:rPr>
        <w:t>Indenture</w:t>
      </w:r>
      <w:r>
        <w:rPr>
          <w:rFonts w:ascii="Arial" w:cs="Arial" w:eastAsia="Arial" w:hAnsi="Arial"/>
          <w:sz w:val="17"/>
          <w:szCs w:val="17"/>
          <w:color w:val="auto"/>
        </w:rPr>
        <w:t>”), among the Company, the guarantors named therein, and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Trustee, as may be further amended and supplemented from time to time; (iv) warrants of the Company (the “</w:t>
      </w:r>
      <w:r>
        <w:rPr>
          <w:rFonts w:ascii="Arial" w:cs="Arial" w:eastAsia="Arial" w:hAnsi="Arial"/>
          <w:sz w:val="16"/>
          <w:szCs w:val="16"/>
          <w:b w:val="1"/>
          <w:bCs w:val="1"/>
          <w:color w:val="auto"/>
        </w:rPr>
        <w:t>Warrants</w:t>
      </w:r>
      <w:r>
        <w:rPr>
          <w:rFonts w:ascii="Arial" w:cs="Arial" w:eastAsia="Arial" w:hAnsi="Arial"/>
          <w:sz w:val="16"/>
          <w:szCs w:val="16"/>
          <w:color w:val="auto"/>
        </w:rPr>
        <w:t>”), which may be issued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one or more warrant agreements (each a “</w:t>
      </w:r>
      <w:r>
        <w:rPr>
          <w:rFonts w:ascii="Arial" w:cs="Arial" w:eastAsia="Arial" w:hAnsi="Arial"/>
          <w:sz w:val="16"/>
          <w:szCs w:val="16"/>
          <w:b w:val="1"/>
          <w:bCs w:val="1"/>
          <w:color w:val="auto"/>
        </w:rPr>
        <w:t>Warrant Agreement</w:t>
      </w:r>
      <w:r>
        <w:rPr>
          <w:rFonts w:ascii="Arial" w:cs="Arial" w:eastAsia="Arial" w:hAnsi="Arial"/>
          <w:sz w:val="16"/>
          <w:szCs w:val="16"/>
          <w:color w:val="auto"/>
        </w:rPr>
        <w:t>”) to be entered into between the Company and the warrant agent to be named therein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Warrant Agent</w:t>
      </w:r>
      <w:r>
        <w:rPr>
          <w:rFonts w:ascii="Arial" w:cs="Arial" w:eastAsia="Arial" w:hAnsi="Arial"/>
          <w:sz w:val="16"/>
          <w:szCs w:val="16"/>
          <w:color w:val="auto"/>
        </w:rPr>
        <w:t>”); (v) purchase contracts (the “</w:t>
      </w:r>
      <w:r>
        <w:rPr>
          <w:rFonts w:ascii="Arial" w:cs="Arial" w:eastAsia="Arial" w:hAnsi="Arial"/>
          <w:sz w:val="16"/>
          <w:szCs w:val="16"/>
          <w:b w:val="1"/>
          <w:bCs w:val="1"/>
          <w:color w:val="auto"/>
        </w:rPr>
        <w:t>Purchase Contracts</w:t>
      </w:r>
      <w:r>
        <w:rPr>
          <w:rFonts w:ascii="Arial" w:cs="Arial" w:eastAsia="Arial" w:hAnsi="Arial"/>
          <w:sz w:val="16"/>
          <w:szCs w:val="16"/>
          <w:color w:val="auto"/>
        </w:rPr>
        <w:t>”) which may be issued under one or more purchase contract agreements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(each, a “</w:t>
      </w:r>
      <w:r>
        <w:rPr>
          <w:rFonts w:ascii="Arial" w:cs="Arial" w:eastAsia="Arial" w:hAnsi="Arial"/>
          <w:sz w:val="17"/>
          <w:szCs w:val="17"/>
          <w:b w:val="1"/>
          <w:bCs w:val="1"/>
          <w:color w:val="auto"/>
        </w:rPr>
        <w:t>Purchase Contract Agreement</w:t>
      </w:r>
      <w:r>
        <w:rPr>
          <w:rFonts w:ascii="Arial" w:cs="Arial" w:eastAsia="Arial" w:hAnsi="Arial"/>
          <w:sz w:val="17"/>
          <w:szCs w:val="17"/>
          <w:color w:val="auto"/>
        </w:rPr>
        <w:t>”) to be entered into between the Company and the purchase contract agent to be named therein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Purchase Contract Agent</w:t>
      </w:r>
      <w:r>
        <w:rPr>
          <w:rFonts w:ascii="Arial" w:cs="Arial" w:eastAsia="Arial" w:hAnsi="Arial"/>
          <w:sz w:val="17"/>
          <w:szCs w:val="17"/>
          <w:color w:val="auto"/>
        </w:rPr>
        <w:t>”) requiring the holders thereof to purchase or sell (A) the Company’s securities or securities of an entity unaffiliated 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affiliated with the Company, a basket of such securities, an index or indices of such securities or any combination of the above, (B) currencies 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composite currencies or (C) commodities; (vi) units (the “</w:t>
      </w:r>
      <w:r>
        <w:rPr>
          <w:rFonts w:ascii="Arial" w:cs="Arial" w:eastAsia="Arial" w:hAnsi="Arial"/>
          <w:sz w:val="17"/>
          <w:szCs w:val="17"/>
          <w:b w:val="1"/>
          <w:bCs w:val="1"/>
          <w:color w:val="auto"/>
        </w:rPr>
        <w:t>Units</w:t>
      </w:r>
      <w:r>
        <w:rPr>
          <w:rFonts w:ascii="Arial" w:cs="Arial" w:eastAsia="Arial" w:hAnsi="Arial"/>
          <w:sz w:val="17"/>
          <w:szCs w:val="17"/>
          <w:color w:val="auto"/>
        </w:rPr>
        <w:t>”) consisting of Debt Securities, Warrants, Purchase Contracts, Preferred Stock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Class A Common Stock or any combination of the foregoing to be issued under one or more unit agreements to be entered into among the Company,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bank or trust company, as unit agent (the “</w:t>
      </w:r>
      <w:r>
        <w:rPr>
          <w:rFonts w:ascii="Arial" w:cs="Arial" w:eastAsia="Arial" w:hAnsi="Arial"/>
          <w:sz w:val="18"/>
          <w:szCs w:val="18"/>
          <w:b w:val="1"/>
          <w:bCs w:val="1"/>
          <w:color w:val="auto"/>
        </w:rPr>
        <w:t>Unit Agent</w:t>
      </w:r>
      <w:r>
        <w:rPr>
          <w:rFonts w:ascii="Arial" w:cs="Arial" w:eastAsia="Arial" w:hAnsi="Arial"/>
          <w:sz w:val="18"/>
          <w:szCs w:val="18"/>
          <w:color w:val="auto"/>
        </w:rPr>
        <w:t>”), and the holders from time to time of the Units (each such unit agreement, a “</w:t>
      </w:r>
      <w:r>
        <w:rPr>
          <w:rFonts w:ascii="Arial" w:cs="Arial" w:eastAsia="Arial" w:hAnsi="Arial"/>
          <w:sz w:val="18"/>
          <w:szCs w:val="18"/>
          <w:b w:val="1"/>
          <w:bCs w:val="1"/>
          <w:color w:val="auto"/>
        </w:rPr>
        <w:t>Unit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r>
        <w:rPr>
          <w:rFonts w:ascii="Arial" w:cs="Arial" w:eastAsia="Arial" w:hAnsi="Arial"/>
          <w:sz w:val="18"/>
          <w:szCs w:val="18"/>
          <w:color w:val="auto"/>
        </w:rPr>
        <w:t>”); and (vii) guarantees (the “</w:t>
      </w:r>
      <w:r>
        <w:rPr>
          <w:rFonts w:ascii="Arial" w:cs="Arial" w:eastAsia="Arial" w:hAnsi="Arial"/>
          <w:sz w:val="18"/>
          <w:szCs w:val="18"/>
          <w:b w:val="1"/>
          <w:bCs w:val="1"/>
          <w:color w:val="auto"/>
        </w:rPr>
        <w:t>Guarantees</w:t>
      </w:r>
      <w:r>
        <w:rPr>
          <w:rFonts w:ascii="Arial" w:cs="Arial" w:eastAsia="Arial" w:hAnsi="Arial"/>
          <w:sz w:val="18"/>
          <w:szCs w:val="18"/>
          <w:color w:val="auto"/>
        </w:rPr>
        <w:t>”) of the Debt Securities by the Guarantors, to</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type w:val="continuous"/>
        </w:sectPr>
      </w:pPr>
    </w:p>
    <w:bookmarkStart w:id="78" w:name="page79"/>
    <w:bookmarkEnd w:id="78"/>
    <w:p>
      <w:pPr>
        <w:spacing w:after="0"/>
        <w:tabs>
          <w:tab w:leader="none" w:pos="99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Comcast Corporation</w:t>
      </w:r>
      <w:r>
        <w:rPr>
          <w:sz w:val="20"/>
          <w:szCs w:val="20"/>
          <w:color w:val="auto"/>
        </w:rPr>
        <w:tab/>
      </w:r>
      <w:r>
        <w:rPr>
          <w:rFonts w:ascii="Arial" w:cs="Arial" w:eastAsia="Arial" w:hAnsi="Arial"/>
          <w:sz w:val="16"/>
          <w:szCs w:val="16"/>
          <w:color w:val="auto"/>
        </w:rPr>
        <w:t>August 1, 2019</w:t>
      </w:r>
    </w:p>
    <w:p>
      <w:pPr>
        <w:spacing w:after="0" w:line="154"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be issued under the Indenture; (viii) guarantees (the “</w:t>
      </w:r>
      <w:r>
        <w:rPr>
          <w:rFonts w:ascii="Arial" w:cs="Arial" w:eastAsia="Arial" w:hAnsi="Arial"/>
          <w:sz w:val="18"/>
          <w:szCs w:val="18"/>
          <w:b w:val="1"/>
          <w:bCs w:val="1"/>
          <w:color w:val="auto"/>
        </w:rPr>
        <w:t>Additional Guarantees</w:t>
      </w:r>
      <w:r>
        <w:rPr>
          <w:rFonts w:ascii="Arial" w:cs="Arial" w:eastAsia="Arial" w:hAnsi="Arial"/>
          <w:sz w:val="18"/>
          <w:szCs w:val="18"/>
          <w:color w:val="auto"/>
        </w:rPr>
        <w:t>”) of Warrants, Purchase Contracts, Units or any combination of the foregoing by the Guarantors to be issued under one or more guarantee agreements (each, a “</w:t>
      </w:r>
      <w:r>
        <w:rPr>
          <w:rFonts w:ascii="Arial" w:cs="Arial" w:eastAsia="Arial" w:hAnsi="Arial"/>
          <w:sz w:val="18"/>
          <w:szCs w:val="18"/>
          <w:b w:val="1"/>
          <w:bCs w:val="1"/>
          <w:color w:val="auto"/>
        </w:rPr>
        <w:t>Guarantee Agreement</w:t>
      </w:r>
      <w:r>
        <w:rPr>
          <w:rFonts w:ascii="Arial" w:cs="Arial" w:eastAsia="Arial" w:hAnsi="Arial"/>
          <w:sz w:val="18"/>
          <w:szCs w:val="18"/>
          <w:color w:val="auto"/>
        </w:rPr>
        <w:t>”) to be entered into by the Guarantors. The Debt Securities, Preferred Stock, Class A Common Stock, Warrants, Purchase Contracts, Units, Guarantees and Additional Guarantees are herein collectively referred to as the “</w:t>
      </w:r>
      <w:r>
        <w:rPr>
          <w:rFonts w:ascii="Arial" w:cs="Arial" w:eastAsia="Arial" w:hAnsi="Arial"/>
          <w:sz w:val="18"/>
          <w:szCs w:val="18"/>
          <w:b w:val="1"/>
          <w:bCs w:val="1"/>
          <w:color w:val="auto"/>
        </w:rPr>
        <w:t>Securities.</w:t>
      </w:r>
      <w:r>
        <w:rPr>
          <w:rFonts w:ascii="Arial" w:cs="Arial" w:eastAsia="Arial" w:hAnsi="Arial"/>
          <w:sz w:val="18"/>
          <w:szCs w:val="18"/>
          <w:color w:val="auto"/>
        </w:rPr>
        <w:t>” The Debt Securities and the Preferred Stock may be convertible and/or exchangeable for Securities or other securities or rights.</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7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rendering the opinions expressed herein, we have, without independent inquiry or investigation, assumed that (i) all documents submitted to us as originals are authentic and complete, (ii) all documents submitted to us as copies conform to authentic, complete originals, (iii) all documents filed as exhibits to the Registration Statement that have not been executed will conform to the forms thereof, (iv) all signatures on all documents that we reviewed are genuine, (v) all natural persons executing documents had and have the legal capacity to do so, (vi) all statements in certificates of public officials and officers of the Company and the Guarantors that we reviewed were and are accurate and (vii) all representations made by the Company and the Guarantors as to matters of fact in the documents that we reviewed were and are accurate.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Based upon the foregoing, and subject to the additional assumptions and qualifications set forth below, we advise you that, in our opinion:</w:t>
      </w:r>
    </w:p>
    <w:p>
      <w:pPr>
        <w:spacing w:after="0" w:line="117" w:lineRule="exact"/>
        <w:rPr>
          <w:sz w:val="20"/>
          <w:szCs w:val="20"/>
          <w:color w:val="auto"/>
        </w:rPr>
      </w:pPr>
    </w:p>
    <w:p>
      <w:pPr>
        <w:ind w:firstLine="444"/>
        <w:spacing w:after="0" w:line="290" w:lineRule="auto"/>
        <w:tabs>
          <w:tab w:leader="none" w:pos="621" w:val="left"/>
        </w:tabs>
        <w:numPr>
          <w:ilvl w:val="0"/>
          <w:numId w:val="84"/>
        </w:numPr>
        <w:rPr>
          <w:rFonts w:ascii="Arial" w:cs="Arial" w:eastAsia="Arial" w:hAnsi="Arial"/>
          <w:sz w:val="16"/>
          <w:szCs w:val="16"/>
          <w:color w:val="auto"/>
        </w:rPr>
      </w:pPr>
      <w:r>
        <w:rPr>
          <w:rFonts w:ascii="Arial" w:cs="Arial" w:eastAsia="Arial" w:hAnsi="Arial"/>
          <w:sz w:val="16"/>
          <w:szCs w:val="16"/>
          <w:color w:val="auto"/>
        </w:rPr>
        <w:t>Assuming the Indenture and any amendment or supplement thereto has been duly authorized, executed and delivered by the Trustee and the Company, and when any supplemental indenture to be entered into in connection with the issuance of any Debt Securities has been duly authorized, executed and delivered by the Trustee, the Company and, if applicable, the Guarantors; the specific terms of a particular series of Debt Securities and the related Guarantees have been duly authorized and established in accordance with the Indenture; and such Debt Securities and the related Guarantees have been duly authorized, executed, authenticated, issued and delivered in accordance with the Indenture and the applicable underwriting or other agreement against payment therefor, such Debt Securities will constitute valid and binding obligations of the Company and each of the related Guarantees will constitute valid and binding obligations of each respective Guarantor, enforceable in accordance with their terms, subject to applicable bankruptcy, insolvency and similar laws affecting creditors’ rights generally, concepts of reasonableness and equitable principles of general applicability.</w:t>
      </w:r>
    </w:p>
    <w:p>
      <w:pPr>
        <w:spacing w:after="0" w:line="166" w:lineRule="exact"/>
        <w:rPr>
          <w:rFonts w:ascii="Arial" w:cs="Arial" w:eastAsia="Arial" w:hAnsi="Arial"/>
          <w:sz w:val="16"/>
          <w:szCs w:val="16"/>
          <w:color w:val="auto"/>
        </w:rPr>
      </w:pPr>
    </w:p>
    <w:p>
      <w:pPr>
        <w:ind w:right="160" w:firstLine="444"/>
        <w:spacing w:after="0" w:line="273" w:lineRule="auto"/>
        <w:tabs>
          <w:tab w:leader="none" w:pos="621" w:val="left"/>
        </w:tabs>
        <w:numPr>
          <w:ilvl w:val="0"/>
          <w:numId w:val="84"/>
        </w:numPr>
        <w:rPr>
          <w:rFonts w:ascii="Arial" w:cs="Arial" w:eastAsia="Arial" w:hAnsi="Arial"/>
          <w:sz w:val="17"/>
          <w:szCs w:val="17"/>
          <w:color w:val="auto"/>
        </w:rPr>
      </w:pPr>
      <w:r>
        <w:rPr>
          <w:rFonts w:ascii="Arial" w:cs="Arial" w:eastAsia="Arial" w:hAnsi="Arial"/>
          <w:sz w:val="17"/>
          <w:szCs w:val="17"/>
          <w:color w:val="auto"/>
        </w:rPr>
        <w:t>When the Warrant Agreement to be entered into in connection with the issuance of any Warrants has been duly authorized, executed and delivered by the Warrant Agent and the Company; the specific terms of the Warrants have been duly authorized and established in accordance with the Warrant Agreement; and such Warrants have been duly authorized, executed, issued and delivered in accordance with the Warrant Agreement and the applicable underwriting or other agreement against payment therefor, such Warrants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w:t>
      </w:r>
    </w:p>
    <w:p>
      <w:pPr>
        <w:spacing w:after="0" w:line="178" w:lineRule="exact"/>
        <w:rPr>
          <w:rFonts w:ascii="Arial" w:cs="Arial" w:eastAsia="Arial" w:hAnsi="Arial"/>
          <w:sz w:val="17"/>
          <w:szCs w:val="17"/>
          <w:color w:val="auto"/>
        </w:rPr>
      </w:pPr>
    </w:p>
    <w:p>
      <w:pPr>
        <w:ind w:right="420" w:firstLine="444"/>
        <w:spacing w:after="0" w:line="308" w:lineRule="auto"/>
        <w:tabs>
          <w:tab w:leader="none" w:pos="621" w:val="left"/>
        </w:tabs>
        <w:numPr>
          <w:ilvl w:val="0"/>
          <w:numId w:val="84"/>
        </w:numPr>
        <w:rPr>
          <w:rFonts w:ascii="Arial" w:cs="Arial" w:eastAsia="Arial" w:hAnsi="Arial"/>
          <w:sz w:val="17"/>
          <w:szCs w:val="17"/>
          <w:color w:val="auto"/>
        </w:rPr>
      </w:pPr>
      <w:r>
        <w:rPr>
          <w:rFonts w:ascii="Arial" w:cs="Arial" w:eastAsia="Arial" w:hAnsi="Arial"/>
          <w:sz w:val="17"/>
          <w:szCs w:val="17"/>
          <w:color w:val="auto"/>
        </w:rPr>
        <w:t>When the Guarantee Agreement to be entered into in connection with the issuance of any Additional Guarantees has been duly authorized, executed and delivered by the Guarantors and any agent party thereto; the Additional Guarantees have been duly authorized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79" w:name="page80"/>
    <w:bookmarkEnd w:id="79"/>
    <w:p>
      <w:pPr>
        <w:spacing w:after="0"/>
        <w:tabs>
          <w:tab w:leader="none" w:pos="99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Comcast Corporation</w:t>
      </w:r>
      <w:r>
        <w:rPr>
          <w:sz w:val="20"/>
          <w:szCs w:val="20"/>
          <w:color w:val="auto"/>
        </w:rPr>
        <w:tab/>
      </w:r>
      <w:r>
        <w:rPr>
          <w:rFonts w:ascii="Arial" w:cs="Arial" w:eastAsia="Arial" w:hAnsi="Arial"/>
          <w:sz w:val="16"/>
          <w:szCs w:val="16"/>
          <w:color w:val="auto"/>
        </w:rPr>
        <w:t>August 1, 2019</w:t>
      </w:r>
    </w:p>
    <w:p>
      <w:pPr>
        <w:spacing w:after="0" w:line="15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and established in accordance with the Guarantee Agreement; and such Additional Guarantees have been duly authorized, executed, issued and delivered in accordance with the Guarantee Agreement and the applicable underwriting or other agreement against payment therefor, such Additional Guarantees will constitute valid and binding obligations of the applicable Guarantors, enforceable in accordance with their terms, subject to applicable bankruptcy, insolvency and similar laws affecting creditors’ rights generally, concepts of reasonableness and equitable principles of general applicability.</w:t>
      </w:r>
    </w:p>
    <w:p>
      <w:pPr>
        <w:spacing w:after="0" w:line="154" w:lineRule="exact"/>
        <w:rPr>
          <w:sz w:val="20"/>
          <w:szCs w:val="20"/>
          <w:color w:val="auto"/>
        </w:rPr>
      </w:pPr>
    </w:p>
    <w:p>
      <w:pPr>
        <w:ind w:firstLine="444"/>
        <w:spacing w:after="0" w:line="293" w:lineRule="auto"/>
        <w:tabs>
          <w:tab w:leader="none" w:pos="621" w:val="left"/>
        </w:tabs>
        <w:numPr>
          <w:ilvl w:val="0"/>
          <w:numId w:val="85"/>
        </w:numPr>
        <w:rPr>
          <w:rFonts w:ascii="Arial" w:cs="Arial" w:eastAsia="Arial" w:hAnsi="Arial"/>
          <w:sz w:val="16"/>
          <w:szCs w:val="16"/>
          <w:color w:val="auto"/>
        </w:rPr>
      </w:pPr>
      <w:r>
        <w:rPr>
          <w:rFonts w:ascii="Arial" w:cs="Arial" w:eastAsia="Arial" w:hAnsi="Arial"/>
          <w:sz w:val="16"/>
          <w:szCs w:val="16"/>
          <w:color w:val="auto"/>
        </w:rPr>
        <w:t>When the Purchase Contract Agreement to be entered into in connection with the issuance of any Purchase Contracts has been duly authorized, executed and delivered by the Purchase Contract Agent and the Company; the specific terms of the Purchase Contracts have been duly authorized and established in accordance with the Purchase Contract Agreement; and such Purchase Contracts have been duly authorized, executed, issued and delivered in accordance with the Purchase Contract Agreement and the applicable underwriting or other agreement against payment therefor, such Purchase Contracts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w:t>
      </w:r>
    </w:p>
    <w:p>
      <w:pPr>
        <w:spacing w:after="0" w:line="164" w:lineRule="exact"/>
        <w:rPr>
          <w:rFonts w:ascii="Arial" w:cs="Arial" w:eastAsia="Arial" w:hAnsi="Arial"/>
          <w:sz w:val="16"/>
          <w:szCs w:val="16"/>
          <w:color w:val="auto"/>
        </w:rPr>
      </w:pPr>
    </w:p>
    <w:p>
      <w:pPr>
        <w:ind w:right="40" w:firstLine="444"/>
        <w:spacing w:after="0" w:line="255" w:lineRule="auto"/>
        <w:tabs>
          <w:tab w:leader="none" w:pos="621" w:val="left"/>
        </w:tabs>
        <w:numPr>
          <w:ilvl w:val="0"/>
          <w:numId w:val="85"/>
        </w:numPr>
        <w:rPr>
          <w:rFonts w:ascii="Arial" w:cs="Arial" w:eastAsia="Arial" w:hAnsi="Arial"/>
          <w:sz w:val="18"/>
          <w:szCs w:val="18"/>
          <w:color w:val="auto"/>
        </w:rPr>
      </w:pPr>
      <w:r>
        <w:rPr>
          <w:rFonts w:ascii="Arial" w:cs="Arial" w:eastAsia="Arial" w:hAnsi="Arial"/>
          <w:sz w:val="18"/>
          <w:szCs w:val="18"/>
          <w:color w:val="auto"/>
        </w:rPr>
        <w:t>When the Unit Agreement to be entered into in connection with the issuance of any Units has been duly authorized, executed and delivered by the Unit Agent and the Company; the specific terms of the Units have been duly authorized and established in accordance with the Unit Agreement; and such Units have been duly authorized, executed, issued and delivered in accordance with the Unit Agreement and the applicable underwriting or other agreement against payment therefor, such Units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w:t>
      </w:r>
    </w:p>
    <w:p>
      <w:pPr>
        <w:spacing w:after="0" w:line="19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connection with the opinions expressed above, we have assumed that, at or prior to the time of the delivery of any such Security, (i) the Board of Directors or, in the case of a limited liability company, the managing member, shall have duly established the terms of such Security and duly authorized the issuance and sale of such Security and such authorization shall not have been modified or rescinded; (ii) each of the Company and the Guarantors is, and shall remain validly existing and in good standing under the laws of the Commonwealth of Pennsylvania or the State of Delaware, as applicable;</w:t>
      </w:r>
    </w:p>
    <w:p>
      <w:pPr>
        <w:spacing w:after="0" w:line="2" w:lineRule="exact"/>
        <w:rPr>
          <w:sz w:val="20"/>
          <w:szCs w:val="20"/>
          <w:color w:val="auto"/>
        </w:rPr>
      </w:pPr>
    </w:p>
    <w:p>
      <w:pPr>
        <w:ind w:left="320" w:hanging="316"/>
        <w:spacing w:after="0"/>
        <w:tabs>
          <w:tab w:leader="none" w:pos="3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Registration Statement shall have become effective pursuant to Rule 462(e) and such effectiveness shall not have been terminated or rescinded;</w:t>
      </w:r>
    </w:p>
    <w:p>
      <w:pPr>
        <w:spacing w:after="0" w:line="32" w:lineRule="exact"/>
        <w:rPr>
          <w:rFonts w:ascii="Arial" w:cs="Arial" w:eastAsia="Arial" w:hAnsi="Arial"/>
          <w:sz w:val="16"/>
          <w:szCs w:val="16"/>
          <w:color w:val="auto"/>
        </w:rPr>
      </w:pPr>
    </w:p>
    <w:p>
      <w:pPr>
        <w:ind w:right="20" w:firstLine="4"/>
        <w:spacing w:after="0" w:line="281" w:lineRule="auto"/>
        <w:tabs>
          <w:tab w:leader="none" w:pos="305"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Indenture, the Debt Securities, the Warrant Agreement, the Purchase Contract Agreement, the Unit Agreement and the Guarantee Agreement are each valid, binding and enforceable agreements of each party thereto (other than as expressly covered above in respect of the Company and each Guarantor); and (v) there shall not have occurred any change in law affecting the validity or enforceability of such Security. We have also assumed that the execution, delivery and performance by the Company or any Guarantor of any Security whose terms are established subsequent to the date hereof</w:t>
      </w:r>
    </w:p>
    <w:p>
      <w:pPr>
        <w:spacing w:after="0" w:line="2" w:lineRule="exact"/>
        <w:rPr>
          <w:rFonts w:ascii="Arial" w:cs="Arial" w:eastAsia="Arial" w:hAnsi="Arial"/>
          <w:sz w:val="16"/>
          <w:szCs w:val="16"/>
          <w:color w:val="auto"/>
        </w:rPr>
      </w:pPr>
    </w:p>
    <w:p>
      <w:pPr>
        <w:ind w:right="200"/>
        <w:spacing w:after="0" w:line="273" w:lineRule="auto"/>
        <w:rPr>
          <w:rFonts w:ascii="Arial" w:cs="Arial" w:eastAsia="Arial" w:hAnsi="Arial"/>
          <w:sz w:val="16"/>
          <w:szCs w:val="16"/>
          <w:color w:val="auto"/>
        </w:rPr>
      </w:pPr>
      <w:r>
        <w:rPr>
          <w:rFonts w:ascii="Arial" w:cs="Arial" w:eastAsia="Arial" w:hAnsi="Arial"/>
          <w:sz w:val="17"/>
          <w:szCs w:val="17"/>
          <w:color w:val="auto"/>
        </w:rPr>
        <w:t>(a) are within their corporate or limited liability company powers, as applicable, (b) do not contravene, or constitute a default under, the certificate of incorporation or bylaws or other constitutive documents of the Company or any Guarantor, (c) require no action by or in respect of, or filing with, any governmental body, agency or official and (d) do not contravene, or constitute a default under, any provision of applicable law or regulation or any judgment, injunction, order or decree or any agreement or other instrument binding upon the Company or any Guarantor.</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80" w:name="page81"/>
    <w:bookmarkEnd w:id="80"/>
    <w:p>
      <w:pPr>
        <w:spacing w:after="0"/>
        <w:tabs>
          <w:tab w:leader="none" w:pos="99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Comcast Corporation</w:t>
      </w:r>
      <w:r>
        <w:rPr>
          <w:sz w:val="20"/>
          <w:szCs w:val="20"/>
          <w:color w:val="auto"/>
        </w:rPr>
        <w:tab/>
      </w:r>
      <w:r>
        <w:rPr>
          <w:rFonts w:ascii="Arial" w:cs="Arial" w:eastAsia="Arial" w:hAnsi="Arial"/>
          <w:sz w:val="16"/>
          <w:szCs w:val="16"/>
          <w:color w:val="auto"/>
        </w:rPr>
        <w:t>August 1, 2019</w:t>
      </w:r>
    </w:p>
    <w:p>
      <w:pPr>
        <w:spacing w:after="0" w:line="158"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We are members of the Bar of the State of New York and the foregoing opinion is limited to the laws of the State of New York and the General Corporation Law of the State of Delaware.</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hereby consent to the filing of this opinion as an exhibit to the Registration Statement referred to above and further consent to the reference to our name under the caption “Legal Matters” in the prospectus, which is a part of the Registration Statement. In giving this consent, we do not admit that we are in the category of persons whose consent is required under Section 7 of the Securities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Davis Polk &amp; Wardwell LLP</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consent to the incorporation by reference in this Registration Statement on Form S-3 of our reports dated January 31, 2019, relating to the consolidated financial statements and consolidated financial statement schedule of Comcast Corporation and subsidiaries, and the effectiveness of Comcast Corporation’s and subsidiaries internal control over financial reporting, appearing in the Annual Report on Form 10-K of Comcast Corporation and subsidiaries for the year ended December 31, 2018, and to the reference to us under the heading “Experts” in the Prospectus, which is part of this Registration Statement.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 2019</w:t>
      </w:r>
    </w:p>
    <w:p>
      <w:pPr>
        <w:sectPr>
          <w:pgSz w:w="11900" w:h="16838" w:orient="portrait"/>
          <w:cols w:equalWidth="0" w:num="1">
            <w:col w:w="11020"/>
          </w:cols>
          <w:pgMar w:left="440" w:top="121" w:right="4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consent to the incorporation by reference in this Registration Statement on Form S-3 of our reports dated January 31, 2019, relating to the consolidated financial statements and consolidated financial statement schedule of NBCUniversal Media, LLC and subsidiaries appearing in the Annual Report on Form 10-K of NBCUniversal Media, LLC and subsidiaries for the year ended December 31, 2018, and to the reference to us under the heading “Experts” in the Prospectus, which is part of this Registration Statement.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 2019</w:t>
      </w:r>
    </w:p>
    <w:p>
      <w:pPr>
        <w:sectPr>
          <w:pgSz w:w="11900" w:h="16838" w:orient="portrait"/>
          <w:cols w:equalWidth="0" w:num="1">
            <w:col w:w="11020"/>
          </w:cols>
          <w:pgMar w:left="440" w:top="121" w:right="4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23.3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AUDITORS</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consent to the incorporation by reference in this Registration Statement on Form S-3 of our report dated 18 December 2018, related to the consolidated financial statements of Sky plc as of and for the year ended June 30, 2018 (which report expresses a qualified opinion relating to the lack of presentation of comparative information for the preceding period and includes an emphasis-of-matter paragraph relating to the use of a basis of accounting different from accounting principles generally accepted in the United States of America), incorporated by reference in the prospectus, which is part of this Registration Statement, and to the reference to us under the heading “Experts” in such prospectus.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London, 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August 2019</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4ED43B"/>
    <w:multiLevelType w:val="hybridMultilevel"/>
    <w:lvl w:ilvl="0">
      <w:lvlJc w:val="left"/>
      <w:lvlText w:val="(%1)"/>
      <w:numFmt w:val="decimal"/>
      <w:start w:val="1"/>
    </w:lvl>
  </w:abstractNum>
  <w:abstractNum w:abstractNumId="1">
    <w:nsid w:val="725A06FB"/>
    <w:multiLevelType w:val="hybridMultilevel"/>
    <w:lvl w:ilvl="0">
      <w:lvlJc w:val="left"/>
      <w:lvlText w:val="(%1)"/>
      <w:numFmt w:val="decimal"/>
      <w:start w:val="1"/>
    </w:lvl>
    <w:lvl w:ilvl="1">
      <w:lvlJc w:val="left"/>
      <w:lvlText w:val="•"/>
      <w:numFmt w:val="bullet"/>
      <w:start w:val="1"/>
    </w:lvl>
  </w:abstractNum>
  <w:abstractNum w:abstractNumId="2">
    <w:nsid w:val="2CD89A32"/>
    <w:multiLevelType w:val="hybridMultilevel"/>
    <w:lvl w:ilvl="0">
      <w:lvlJc w:val="left"/>
      <w:lvlText w:val="•"/>
      <w:numFmt w:val="bullet"/>
      <w:start w:val="1"/>
    </w:lvl>
  </w:abstractNum>
  <w:abstractNum w:abstractNumId="3">
    <w:nsid w:val="57E4CCAF"/>
    <w:multiLevelType w:val="hybridMultilevel"/>
    <w:lvl w:ilvl="0">
      <w:lvlJc w:val="left"/>
      <w:lvlText w:val="•"/>
      <w:numFmt w:val="bullet"/>
      <w:start w:val="1"/>
    </w:lvl>
  </w:abstractNum>
  <w:abstractNum w:abstractNumId="4">
    <w:nsid w:val="7A6D8D3C"/>
    <w:multiLevelType w:val="hybridMultilevel"/>
    <w:lvl w:ilvl="0">
      <w:lvlJc w:val="left"/>
      <w:lvlText w:val="•"/>
      <w:numFmt w:val="bullet"/>
      <w:start w:val="1"/>
    </w:lvl>
  </w:abstractNum>
  <w:abstractNum w:abstractNumId="5">
    <w:nsid w:val="4B588F54"/>
    <w:multiLevelType w:val="hybridMultilevel"/>
    <w:lvl w:ilvl="0">
      <w:lvlJc w:val="left"/>
      <w:lvlText w:val="•"/>
      <w:numFmt w:val="bullet"/>
      <w:start w:val="1"/>
    </w:lvl>
  </w:abstractNum>
  <w:abstractNum w:abstractNumId="6">
    <w:nsid w:val="542289EC"/>
    <w:multiLevelType w:val="hybridMultilevel"/>
    <w:lvl w:ilvl="0">
      <w:lvlJc w:val="left"/>
      <w:lvlText w:val="•"/>
      <w:numFmt w:val="bullet"/>
      <w:start w:val="1"/>
    </w:lvl>
  </w:abstractNum>
  <w:abstractNum w:abstractNumId="7">
    <w:nsid w:val="6DE91B18"/>
    <w:multiLevelType w:val="hybridMultilevel"/>
    <w:lvl w:ilvl="0">
      <w:lvlJc w:val="left"/>
      <w:lvlText w:val="(%1)"/>
      <w:numFmt w:val="lowerLetter"/>
      <w:start w:val="1"/>
    </w:lvl>
  </w:abstractNum>
  <w:abstractNum w:abstractNumId="8">
    <w:nsid w:val="38437FDB"/>
    <w:multiLevelType w:val="hybridMultilevel"/>
    <w:lvl w:ilvl="0">
      <w:lvlJc w:val="left"/>
      <w:lvlText w:val="(%1)"/>
      <w:numFmt w:val="lowerLetter"/>
      <w:start w:val="2"/>
    </w:lvl>
  </w:abstractNum>
  <w:abstractNum w:abstractNumId="9">
    <w:nsid w:val="7644A45C"/>
    <w:multiLevelType w:val="hybridMultilevel"/>
    <w:lvl w:ilvl="0">
      <w:lvlJc w:val="left"/>
      <w:lvlText w:val="(%1)"/>
      <w:numFmt w:val="lowerLetter"/>
      <w:start w:val="1"/>
    </w:lvl>
  </w:abstractNum>
  <w:abstractNum w:abstractNumId="10">
    <w:nsid w:val="32FFF902"/>
    <w:multiLevelType w:val="hybridMultilevel"/>
    <w:lvl w:ilvl="0">
      <w:lvlJc w:val="left"/>
      <w:lvlText w:val="(%1)"/>
      <w:numFmt w:val="lowerRoman"/>
      <w:start w:val="1"/>
    </w:lvl>
  </w:abstractNum>
  <w:abstractNum w:abstractNumId="11">
    <w:nsid w:val="684A481A"/>
    <w:multiLevelType w:val="hybridMultilevel"/>
    <w:lvl w:ilvl="0">
      <w:lvlJc w:val="left"/>
      <w:lvlText w:val="(%1)"/>
      <w:numFmt w:val="lowerLetter"/>
      <w:start w:val="1"/>
    </w:lvl>
  </w:abstractNum>
  <w:abstractNum w:abstractNumId="12">
    <w:nsid w:val="579478FE"/>
    <w:multiLevelType w:val="hybridMultilevel"/>
    <w:lvl w:ilvl="0">
      <w:lvlJc w:val="left"/>
      <w:lvlText w:val="(%1)"/>
      <w:numFmt w:val="lowerLetter"/>
      <w:start w:val="13"/>
    </w:lvl>
  </w:abstractNum>
  <w:abstractNum w:abstractNumId="13">
    <w:nsid w:val="749ABB43"/>
    <w:multiLevelType w:val="hybridMultilevel"/>
    <w:lvl w:ilvl="0">
      <w:lvlJc w:val="left"/>
      <w:lvlText w:val="•"/>
      <w:numFmt w:val="bullet"/>
      <w:start w:val="1"/>
    </w:lvl>
  </w:abstractNum>
  <w:abstractNum w:abstractNumId="14">
    <w:nsid w:val="3DC240FB"/>
    <w:multiLevelType w:val="hybridMultilevel"/>
    <w:lvl w:ilvl="0">
      <w:lvlJc w:val="left"/>
      <w:lvlText w:val="•"/>
      <w:numFmt w:val="bullet"/>
      <w:start w:val="1"/>
    </w:lvl>
  </w:abstractNum>
  <w:abstractNum w:abstractNumId="15">
    <w:nsid w:val="1BA026FA"/>
    <w:multiLevelType w:val="hybridMultilevel"/>
    <w:lvl w:ilvl="0">
      <w:lvlJc w:val="left"/>
      <w:lvlText w:val="•"/>
      <w:numFmt w:val="bullet"/>
      <w:start w:val="1"/>
    </w:lvl>
  </w:abstractNum>
  <w:abstractNum w:abstractNumId="16">
    <w:nsid w:val="79A1DEAA"/>
    <w:multiLevelType w:val="hybridMultilevel"/>
    <w:lvl w:ilvl="0">
      <w:lvlJc w:val="left"/>
      <w:lvlText w:val="•"/>
      <w:numFmt w:val="bullet"/>
      <w:start w:val="1"/>
    </w:lvl>
  </w:abstractNum>
  <w:abstractNum w:abstractNumId="17">
    <w:nsid w:val="75C6C33A"/>
    <w:multiLevelType w:val="hybridMultilevel"/>
    <w:lvl w:ilvl="0">
      <w:lvlJc w:val="left"/>
      <w:lvlText w:val="•"/>
      <w:numFmt w:val="bullet"/>
      <w:start w:val="1"/>
    </w:lvl>
  </w:abstractNum>
  <w:abstractNum w:abstractNumId="18">
    <w:nsid w:val="12E685FB"/>
    <w:multiLevelType w:val="hybridMultilevel"/>
    <w:lvl w:ilvl="0">
      <w:lvlJc w:val="left"/>
      <w:lvlText w:val="•"/>
      <w:numFmt w:val="bullet"/>
      <w:start w:val="1"/>
    </w:lvl>
  </w:abstractNum>
  <w:abstractNum w:abstractNumId="19">
    <w:nsid w:val="70C6A529"/>
    <w:multiLevelType w:val="hybridMultilevel"/>
    <w:lvl w:ilvl="0">
      <w:lvlJc w:val="left"/>
      <w:lvlText w:val="(%1)"/>
      <w:numFmt w:val="lowerLetter"/>
      <w:start w:val="2"/>
    </w:lvl>
  </w:abstractNum>
  <w:abstractNum w:abstractNumId="20">
    <w:nsid w:val="520EEDD1"/>
    <w:multiLevelType w:val="hybridMultilevel"/>
    <w:lvl w:ilvl="0">
      <w:lvlJc w:val="left"/>
      <w:lvlText w:val="•"/>
      <w:numFmt w:val="bullet"/>
      <w:start w:val="1"/>
    </w:lvl>
  </w:abstractNum>
  <w:abstractNum w:abstractNumId="21">
    <w:nsid w:val="374A3FE6"/>
    <w:multiLevelType w:val="hybridMultilevel"/>
    <w:lvl w:ilvl="0">
      <w:lvlJc w:val="left"/>
      <w:lvlText w:val="•"/>
      <w:numFmt w:val="bullet"/>
      <w:start w:val="1"/>
    </w:lvl>
  </w:abstractNum>
  <w:abstractNum w:abstractNumId="22">
    <w:nsid w:val="4F4EF005"/>
    <w:multiLevelType w:val="hybridMultilevel"/>
    <w:lvl w:ilvl="0">
      <w:lvlJc w:val="left"/>
      <w:lvlText w:val="•"/>
      <w:numFmt w:val="bullet"/>
      <w:start w:val="1"/>
    </w:lvl>
  </w:abstractNum>
  <w:abstractNum w:abstractNumId="23">
    <w:nsid w:val="23F9C13C"/>
    <w:multiLevelType w:val="hybridMultilevel"/>
    <w:lvl w:ilvl="0">
      <w:lvlJc w:val="left"/>
      <w:lvlText w:val="•"/>
      <w:numFmt w:val="bullet"/>
      <w:start w:val="1"/>
    </w:lvl>
  </w:abstractNum>
  <w:abstractNum w:abstractNumId="24">
    <w:nsid w:val="649BB77C"/>
    <w:multiLevelType w:val="hybridMultilevel"/>
    <w:lvl w:ilvl="0">
      <w:lvlJc w:val="left"/>
      <w:lvlText w:val="•"/>
      <w:numFmt w:val="bullet"/>
      <w:start w:val="1"/>
    </w:lvl>
  </w:abstractNum>
  <w:abstractNum w:abstractNumId="25">
    <w:nsid w:val="275AC794"/>
    <w:multiLevelType w:val="hybridMultilevel"/>
    <w:lvl w:ilvl="0">
      <w:lvlJc w:val="left"/>
      <w:lvlText w:val="•"/>
      <w:numFmt w:val="bullet"/>
      <w:start w:val="1"/>
    </w:lvl>
  </w:abstractNum>
  <w:abstractNum w:abstractNumId="26">
    <w:nsid w:val="39386575"/>
    <w:multiLevelType w:val="hybridMultilevel"/>
    <w:lvl w:ilvl="0">
      <w:lvlJc w:val="left"/>
      <w:lvlText w:val="•"/>
      <w:numFmt w:val="bullet"/>
      <w:start w:val="1"/>
    </w:lvl>
  </w:abstractNum>
  <w:abstractNum w:abstractNumId="27">
    <w:nsid w:val="1CF10FD8"/>
    <w:multiLevelType w:val="hybridMultilevel"/>
    <w:lvl w:ilvl="0">
      <w:lvlJc w:val="left"/>
      <w:lvlText w:val="•"/>
      <w:numFmt w:val="bullet"/>
      <w:start w:val="1"/>
    </w:lvl>
  </w:abstractNum>
  <w:abstractNum w:abstractNumId="28">
    <w:nsid w:val="180115BE"/>
    <w:multiLevelType w:val="hybridMultilevel"/>
    <w:lvl w:ilvl="0">
      <w:lvlJc w:val="left"/>
      <w:lvlText w:val="•"/>
      <w:numFmt w:val="bullet"/>
      <w:start w:val="1"/>
    </w:lvl>
  </w:abstractNum>
  <w:abstractNum w:abstractNumId="29">
    <w:nsid w:val="235BA861"/>
    <w:multiLevelType w:val="hybridMultilevel"/>
    <w:lvl w:ilvl="0">
      <w:lvlJc w:val="left"/>
      <w:lvlText w:val="$"/>
      <w:numFmt w:val="bullet"/>
      <w:start w:val="1"/>
    </w:lvl>
  </w:abstractNum>
  <w:abstractNum w:abstractNumId="30">
    <w:nsid w:val="47398C89"/>
    <w:multiLevelType w:val="hybridMultilevel"/>
    <w:lvl w:ilvl="0">
      <w:lvlJc w:val="left"/>
      <w:lvlText w:val="$"/>
      <w:numFmt w:val="bullet"/>
      <w:start w:val="1"/>
    </w:lvl>
  </w:abstractNum>
  <w:abstractNum w:abstractNumId="31">
    <w:nsid w:val="354FE9F9"/>
    <w:multiLevelType w:val="hybridMultilevel"/>
    <w:lvl w:ilvl="0">
      <w:lvlJc w:val="left"/>
      <w:lvlText w:val="*"/>
      <w:numFmt w:val="bullet"/>
      <w:start w:val="1"/>
    </w:lvl>
  </w:abstractNum>
  <w:abstractNum w:abstractNumId="32">
    <w:nsid w:val="15B5AF5C"/>
    <w:multiLevelType w:val="hybridMultilevel"/>
    <w:lvl w:ilvl="0">
      <w:lvlJc w:val="left"/>
      <w:lvlText w:val="**"/>
      <w:numFmt w:val="bullet"/>
      <w:start w:val="1"/>
    </w:lvl>
  </w:abstractNum>
  <w:abstractNum w:abstractNumId="33">
    <w:nsid w:val="741226BB"/>
    <w:multiLevelType w:val="hybridMultilevel"/>
    <w:lvl w:ilvl="0">
      <w:lvlJc w:val="left"/>
      <w:lvlText w:val="*"/>
      <w:numFmt w:val="bullet"/>
      <w:start w:val="1"/>
    </w:lvl>
  </w:abstractNum>
  <w:abstractNum w:abstractNumId="34">
    <w:nsid w:val="D34B6A8"/>
    <w:multiLevelType w:val="hybridMultilevel"/>
    <w:lvl w:ilvl="0">
      <w:lvlJc w:val="left"/>
      <w:lvlText w:val="**"/>
      <w:numFmt w:val="bullet"/>
      <w:start w:val="1"/>
    </w:lvl>
  </w:abstractNum>
  <w:abstractNum w:abstractNumId="35">
    <w:nsid w:val="10233C9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6">
    <w:nsid w:val="3F6AB60F"/>
    <w:multiLevelType w:val="hybridMultilevel"/>
    <w:lvl w:ilvl="0">
      <w:lvlJc w:val="left"/>
      <w:lvlText w:val="(%1)"/>
      <w:numFmt w:val="decimal"/>
      <w:start w:val="2"/>
    </w:lvl>
    <w:lvl w:ilvl="1">
      <w:lvlJc w:val="left"/>
      <w:lvlText w:val="(%2)"/>
      <w:numFmt w:val="lowerRoman"/>
      <w:start w:val="1"/>
    </w:lvl>
  </w:abstractNum>
  <w:abstractNum w:abstractNumId="37">
    <w:nsid w:val="61574095"/>
    <w:multiLevelType w:val="hybridMultilevel"/>
    <w:lvl w:ilvl="0">
      <w:lvlJc w:val="left"/>
      <w:lvlText w:val="%1"/>
      <w:numFmt w:val="decimal"/>
      <w:start w:val="1"/>
    </w:lvl>
    <w:lvl w:ilvl="1">
      <w:lvlJc w:val="left"/>
      <w:lvlText w:val="(%2)"/>
      <w:numFmt w:val="lowerRoman"/>
      <w:start w:val="2"/>
    </w:lvl>
  </w:abstractNum>
  <w:abstractNum w:abstractNumId="38">
    <w:nsid w:val="7E0C57B1"/>
    <w:multiLevelType w:val="hybridMultilevel"/>
    <w:lvl w:ilvl="0">
      <w:lvlJc w:val="left"/>
      <w:lvlText w:val="(%1)"/>
      <w:numFmt w:val="decimal"/>
      <w:start w:val="5"/>
    </w:lvl>
    <w:lvl w:ilvl="1">
      <w:lvlJc w:val="left"/>
      <w:lvlText w:val="%2"/>
      <w:numFmt w:val="lowerRoman"/>
      <w:start w:val="1"/>
    </w:lvl>
  </w:abstractNum>
  <w:abstractNum w:abstractNumId="39">
    <w:nsid w:val="77AE35EB"/>
    <w:multiLevelType w:val="hybridMultilevel"/>
    <w:lvl w:ilvl="0">
      <w:lvlJc w:val="left"/>
      <w:lvlText w:val="%1"/>
      <w:numFmt w:val="lowerLetter"/>
      <w:start w:val="1"/>
    </w:lvl>
    <w:lvl w:ilvl="1">
      <w:lvlJc w:val="left"/>
      <w:lvlText w:val="(%2)"/>
      <w:numFmt w:val="lowerRoman"/>
      <w:start w:val="2"/>
    </w:lvl>
  </w:abstractNum>
  <w:abstractNum w:abstractNumId="40">
    <w:nsid w:val="579BE4F1"/>
    <w:multiLevelType w:val="hybridMultilevel"/>
    <w:lvl w:ilvl="0">
      <w:lvlJc w:val="left"/>
      <w:lvlText w:val="(%1)"/>
      <w:numFmt w:val="lowerLetter"/>
      <w:start w:val="2"/>
    </w:lvl>
    <w:lvl w:ilvl="1">
      <w:lvlJc w:val="left"/>
      <w:lvlText w:val="%2"/>
      <w:numFmt w:val="lowerRoman"/>
      <w:start w:val="1"/>
    </w:lvl>
  </w:abstractNum>
  <w:abstractNum w:abstractNumId="41">
    <w:nsid w:val="310C50B3"/>
    <w:multiLevelType w:val="hybridMultilevel"/>
    <w:lvl w:ilvl="0">
      <w:lvlJc w:val="left"/>
      <w:lvlText w:val="(%1)"/>
      <w:numFmt w:val="lowerLetter"/>
      <w:start w:val="4"/>
    </w:lvl>
  </w:abstractNum>
  <w:abstractNum w:abstractNumId="42">
    <w:nsid w:val="5FF87E05"/>
    <w:multiLevelType w:val="hybridMultilevel"/>
    <w:lvl w:ilvl="0">
      <w:lvlJc w:val="left"/>
      <w:lvlText w:val="["/>
      <w:numFmt w:val="bullet"/>
      <w:start w:val="1"/>
    </w:lvl>
  </w:abstractNum>
  <w:abstractNum w:abstractNumId="43">
    <w:nsid w:val="2F305DEF"/>
    <w:multiLevelType w:val="hybridMultilevel"/>
    <w:lvl w:ilvl="0">
      <w:lvlJc w:val="left"/>
      <w:lvlText w:val="(%1)"/>
      <w:numFmt w:val="lowerLetter"/>
      <w:start w:val="1"/>
    </w:lvl>
  </w:abstractNum>
  <w:abstractNum w:abstractNumId="44">
    <w:nsid w:val="25A70BF7"/>
    <w:multiLevelType w:val="hybridMultilevel"/>
    <w:lvl w:ilvl="0">
      <w:lvlJc w:val="left"/>
      <w:lvlText w:val="(%1)"/>
      <w:numFmt w:val="lowerLetter"/>
      <w:start w:val="6"/>
    </w:lvl>
  </w:abstractNum>
  <w:abstractNum w:abstractNumId="45">
    <w:nsid w:val="1DBABF00"/>
    <w:multiLevelType w:val="hybridMultilevel"/>
    <w:lvl w:ilvl="0">
      <w:lvlJc w:val="left"/>
      <w:lvlText w:val="%1."/>
      <w:numFmt w:val="decimal"/>
      <w:start w:val="2"/>
    </w:lvl>
  </w:abstractNum>
  <w:abstractNum w:abstractNumId="46">
    <w:nsid w:val="4AD084E9"/>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47">
    <w:nsid w:val="1F48EAA1"/>
    <w:multiLevelType w:val="hybridMultilevel"/>
    <w:lvl w:ilvl="0">
      <w:lvlJc w:val="left"/>
      <w:lvlText w:val="(%1)"/>
      <w:numFmt w:val="lowerRoman"/>
      <w:start w:val="2"/>
    </w:lvl>
  </w:abstractNum>
  <w:abstractNum w:abstractNumId="48">
    <w:nsid w:val="1381823A"/>
    <w:multiLevelType w:val="hybridMultilevel"/>
    <w:lvl w:ilvl="0">
      <w:lvlJc w:val="left"/>
      <w:lvlText w:val="%1"/>
      <w:numFmt w:val="upperLetter"/>
      <w:start w:val="1"/>
    </w:lvl>
    <w:lvl w:ilvl="1">
      <w:lvlJc w:val="left"/>
      <w:lvlText w:val="(%2)"/>
      <w:numFmt w:val="lowerRoman"/>
      <w:start w:val="9"/>
    </w:lvl>
  </w:abstractNum>
  <w:abstractNum w:abstractNumId="49">
    <w:nsid w:val="5DB70AE5"/>
    <w:multiLevelType w:val="hybridMultilevel"/>
    <w:lvl w:ilvl="0">
      <w:lvlJc w:val="left"/>
      <w:lvlText w:val="(%1)"/>
      <w:numFmt w:val="upperLetter"/>
      <w:start w:val="3"/>
    </w:lvl>
    <w:lvl w:ilvl="1">
      <w:lvlJc w:val="left"/>
      <w:lvlText w:val="(%2)"/>
      <w:numFmt w:val="lowerRoman"/>
      <w:start w:val="11"/>
    </w:lvl>
  </w:abstractNum>
  <w:abstractNum w:abstractNumId="50">
    <w:nsid w:val="100F8FCA"/>
    <w:multiLevelType w:val="hybridMultilevel"/>
    <w:lvl w:ilvl="0">
      <w:lvlJc w:val="left"/>
      <w:lvlText w:val="1"/>
      <w:numFmt w:val="bullet"/>
      <w:start w:val="1"/>
    </w:lvl>
  </w:abstractNum>
  <w:abstractNum w:abstractNumId="51">
    <w:nsid w:val="6590700B"/>
    <w:multiLevelType w:val="hybridMultilevel"/>
    <w:lvl w:ilvl="0">
      <w:lvlJc w:val="left"/>
      <w:lvlText w:val="(%1)"/>
      <w:numFmt w:val="lowerRoman"/>
      <w:start w:val="12"/>
    </w:lvl>
  </w:abstractNum>
  <w:abstractNum w:abstractNumId="52">
    <w:nsid w:val="15014ACB"/>
    <w:multiLevelType w:val="hybridMultilevel"/>
    <w:lvl w:ilvl="0">
      <w:lvlJc w:val="left"/>
      <w:lvlText w:val="(%1)"/>
      <w:numFmt w:val="lowerLetter"/>
      <w:start w:val="4"/>
    </w:lvl>
    <w:lvl w:ilvl="1">
      <w:lvlJc w:val="left"/>
      <w:lvlText w:val="(%2)"/>
      <w:numFmt w:val="lowerRoman"/>
      <w:start w:val="1"/>
    </w:lvl>
  </w:abstractNum>
  <w:abstractNum w:abstractNumId="53">
    <w:nsid w:val="5F5E7FD0"/>
    <w:multiLevelType w:val="hybridMultilevel"/>
    <w:lvl w:ilvl="0">
      <w:lvlJc w:val="left"/>
      <w:lvlText w:val="(%1)"/>
      <w:numFmt w:val="lowerRoman"/>
      <w:start w:val="6"/>
    </w:lvl>
  </w:abstractNum>
  <w:abstractNum w:abstractNumId="54">
    <w:nsid w:val="98A3148"/>
    <w:multiLevelType w:val="hybridMultilevel"/>
    <w:lvl w:ilvl="0">
      <w:lvlJc w:val="left"/>
      <w:lvlText w:val="(%1)"/>
      <w:numFmt w:val="lowerLetter"/>
      <w:start w:val="5"/>
    </w:lvl>
    <w:lvl w:ilvl="1">
      <w:lvlJc w:val="left"/>
      <w:lvlText w:val="(%2)"/>
      <w:numFmt w:val="lowerRoman"/>
      <w:start w:val="1"/>
    </w:lvl>
  </w:abstractNum>
  <w:abstractNum w:abstractNumId="55">
    <w:nsid w:val="799D0247"/>
    <w:multiLevelType w:val="hybridMultilevel"/>
    <w:lvl w:ilvl="0">
      <w:lvlJc w:val="left"/>
      <w:lvlText w:val="%1"/>
      <w:numFmt w:val="decimal"/>
      <w:start w:val="1"/>
    </w:lvl>
    <w:lvl w:ilvl="1">
      <w:lvlJc w:val="left"/>
      <w:lvlText w:val="(%2)"/>
      <w:numFmt w:val="lowerLetter"/>
      <w:start w:val="6"/>
    </w:lvl>
  </w:abstractNum>
  <w:abstractNum w:abstractNumId="56">
    <w:nsid w:val="6B94764"/>
    <w:multiLevelType w:val="hybridMultilevel"/>
    <w:lvl w:ilvl="0">
      <w:lvlJc w:val="left"/>
      <w:lvlText w:val="%1."/>
      <w:numFmt w:val="decimal"/>
      <w:start w:val="5"/>
    </w:lvl>
    <w:lvl w:ilvl="1">
      <w:lvlJc w:val="left"/>
      <w:lvlText w:val="(%2)"/>
      <w:numFmt w:val="lowerLetter"/>
      <w:start w:val="1"/>
    </w:lvl>
  </w:abstractNum>
  <w:abstractNum w:abstractNumId="57">
    <w:nsid w:val="42C296BD"/>
    <w:multiLevelType w:val="hybridMultilevel"/>
    <w:lvl w:ilvl="0">
      <w:lvlJc w:val="left"/>
      <w:lvlText w:val="(%1)"/>
      <w:numFmt w:val="lowerLetter"/>
      <w:start w:val="4"/>
    </w:lvl>
  </w:abstractNum>
  <w:abstractNum w:abstractNumId="58">
    <w:nsid w:val="168E121F"/>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59">
    <w:nsid w:val="1EBA5D23"/>
    <w:multiLevelType w:val="hybridMultilevel"/>
    <w:lvl w:ilvl="0">
      <w:lvlJc w:val="left"/>
      <w:lvlText w:val="%1."/>
      <w:numFmt w:val="decimal"/>
      <w:start w:val="8"/>
    </w:lvl>
  </w:abstractNum>
  <w:abstractNum w:abstractNumId="60">
    <w:nsid w:val="661E3F1E"/>
    <w:multiLevelType w:val="hybridMultilevel"/>
    <w:lvl w:ilvl="0">
      <w:lvlJc w:val="left"/>
      <w:lvlText w:val="%1."/>
      <w:numFmt w:val="decimal"/>
      <w:start w:val="9"/>
    </w:lvl>
    <w:lvl w:ilvl="1">
      <w:lvlJc w:val="left"/>
      <w:lvlText w:val="(%2)"/>
      <w:numFmt w:val="lowerLetter"/>
      <w:start w:val="1"/>
    </w:lvl>
  </w:abstractNum>
  <w:abstractNum w:abstractNumId="61">
    <w:nsid w:val="5DC79EA8"/>
    <w:multiLevelType w:val="hybridMultilevel"/>
    <w:lvl w:ilvl="0">
      <w:lvlJc w:val="left"/>
      <w:lvlText w:val="%1."/>
      <w:numFmt w:val="decimal"/>
      <w:start w:val="1"/>
    </w:lvl>
  </w:abstractNum>
  <w:abstractNum w:abstractNumId="62">
    <w:nsid w:val="540A471C"/>
    <w:multiLevelType w:val="hybridMultilevel"/>
    <w:lvl w:ilvl="0">
      <w:lvlJc w:val="left"/>
      <w:lvlText w:val="%1."/>
      <w:numFmt w:val="decimal"/>
      <w:start w:val="2"/>
    </w:lvl>
  </w:abstractNum>
  <w:abstractNum w:abstractNumId="63">
    <w:nsid w:val="7BD3EE7B"/>
    <w:multiLevelType w:val="hybridMultilevel"/>
    <w:lvl w:ilvl="0">
      <w:lvlJc w:val="left"/>
      <w:lvlText w:val="%1."/>
      <w:numFmt w:val="decimal"/>
      <w:start w:val="3"/>
    </w:lvl>
  </w:abstractNum>
  <w:abstractNum w:abstractNumId="64">
    <w:nsid w:val="51D9C564"/>
    <w:multiLevelType w:val="hybridMultilevel"/>
    <w:lvl w:ilvl="0">
      <w:lvlJc w:val="left"/>
      <w:lvlText w:val="%1."/>
      <w:numFmt w:val="decimal"/>
      <w:start w:val="4"/>
    </w:lvl>
  </w:abstractNum>
  <w:abstractNum w:abstractNumId="65">
    <w:nsid w:val="613EFDC5"/>
    <w:multiLevelType w:val="hybridMultilevel"/>
    <w:lvl w:ilvl="0">
      <w:lvlJc w:val="left"/>
      <w:lvlText w:val="%1."/>
      <w:numFmt w:val="decimal"/>
      <w:start w:val="5"/>
    </w:lvl>
  </w:abstractNum>
  <w:abstractNum w:abstractNumId="66">
    <w:nsid w:val="BF72B14"/>
    <w:multiLevelType w:val="hybridMultilevel"/>
    <w:lvl w:ilvl="0">
      <w:lvlJc w:val="left"/>
      <w:lvlText w:val="%1."/>
      <w:numFmt w:val="decimal"/>
      <w:start w:val="7"/>
    </w:lvl>
  </w:abstractNum>
  <w:abstractNum w:abstractNumId="67">
    <w:nsid w:val="11447B73"/>
    <w:multiLevelType w:val="hybridMultilevel"/>
    <w:lvl w:ilvl="0">
      <w:lvlJc w:val="left"/>
      <w:lvlText w:val="%1."/>
      <w:numFmt w:val="decimal"/>
      <w:start w:val="8"/>
    </w:lvl>
  </w:abstractNum>
  <w:abstractNum w:abstractNumId="68">
    <w:nsid w:val="42963E5A"/>
    <w:multiLevelType w:val="hybridMultilevel"/>
    <w:lvl w:ilvl="0">
      <w:lvlJc w:val="left"/>
      <w:lvlText w:val="%1."/>
      <w:numFmt w:val="decimal"/>
      <w:start w:val="9"/>
    </w:lvl>
  </w:abstractNum>
  <w:abstractNum w:abstractNumId="69">
    <w:nsid w:val="A0382C5"/>
    <w:multiLevelType w:val="hybridMultilevel"/>
    <w:lvl w:ilvl="0">
      <w:lvlJc w:val="left"/>
      <w:lvlText w:val="%1."/>
      <w:numFmt w:val="decimal"/>
      <w:start w:val="10"/>
    </w:lvl>
  </w:abstractNum>
  <w:abstractNum w:abstractNumId="70">
    <w:nsid w:val="8F2B15E"/>
    <w:multiLevelType w:val="hybridMultilevel"/>
    <w:lvl w:ilvl="0">
      <w:lvlJc w:val="left"/>
      <w:lvlText w:val="%1."/>
      <w:numFmt w:val="decimal"/>
      <w:start w:val="11"/>
    </w:lvl>
  </w:abstractNum>
  <w:abstractNum w:abstractNumId="71">
    <w:nsid w:val="1A32234B"/>
    <w:multiLevelType w:val="hybridMultilevel"/>
    <w:lvl w:ilvl="0">
      <w:lvlJc w:val="left"/>
      <w:lvlText w:val="%1."/>
      <w:numFmt w:val="decimal"/>
      <w:start w:val="12"/>
    </w:lvl>
  </w:abstractNum>
  <w:abstractNum w:abstractNumId="72">
    <w:nsid w:val="3B0FD379"/>
    <w:multiLevelType w:val="hybridMultilevel"/>
    <w:lvl w:ilvl="0">
      <w:lvlJc w:val="left"/>
      <w:lvlText w:val="%1."/>
      <w:numFmt w:val="decimal"/>
      <w:start w:val="13"/>
    </w:lvl>
  </w:abstractNum>
  <w:abstractNum w:abstractNumId="73">
    <w:nsid w:val="68EB2F63"/>
    <w:multiLevelType w:val="hybridMultilevel"/>
    <w:lvl w:ilvl="0">
      <w:lvlJc w:val="left"/>
      <w:lvlText w:val="(%1)"/>
      <w:numFmt w:val="lowerRoman"/>
      <w:start w:val="1"/>
    </w:lvl>
  </w:abstractNum>
  <w:abstractNum w:abstractNumId="74">
    <w:nsid w:val="4962813B"/>
    <w:multiLevelType w:val="hybridMultilevel"/>
    <w:lvl w:ilvl="0">
      <w:lvlJc w:val="left"/>
      <w:lvlText w:val="%1."/>
      <w:numFmt w:val="decimal"/>
      <w:start w:val="14"/>
    </w:lvl>
  </w:abstractNum>
  <w:abstractNum w:abstractNumId="75">
    <w:nsid w:val="60B6DF70"/>
    <w:multiLevelType w:val="hybridMultilevel"/>
    <w:lvl w:ilvl="0">
      <w:lvlJc w:val="left"/>
      <w:lvlText w:val="%1."/>
      <w:numFmt w:val="decimal"/>
      <w:start w:val="15"/>
    </w:lvl>
  </w:abstractNum>
  <w:abstractNum w:abstractNumId="76">
    <w:nsid w:val="6A5EE64"/>
    <w:multiLevelType w:val="hybridMultilevel"/>
    <w:lvl w:ilvl="0">
      <w:lvlJc w:val="left"/>
      <w:lvlText w:val="%1."/>
      <w:numFmt w:val="decimal"/>
      <w:start w:val="16"/>
    </w:lvl>
  </w:abstractNum>
  <w:abstractNum w:abstractNumId="77">
    <w:nsid w:val="14330624"/>
    <w:multiLevelType w:val="hybridMultilevel"/>
    <w:lvl w:ilvl="0">
      <w:lvlJc w:val="left"/>
      <w:lvlText w:val="%1."/>
      <w:numFmt w:val="decimal"/>
      <w:start w:val="17"/>
    </w:lvl>
  </w:abstractNum>
  <w:abstractNum w:abstractNumId="78">
    <w:nsid w:val="7FFFCA11"/>
    <w:multiLevelType w:val="hybridMultilevel"/>
    <w:lvl w:ilvl="0">
      <w:lvlJc w:val="left"/>
      <w:lvlText w:val="%1."/>
      <w:numFmt w:val="decimal"/>
      <w:start w:val="18"/>
    </w:lvl>
  </w:abstractNum>
  <w:abstractNum w:abstractNumId="79">
    <w:nsid w:val="1A27709E"/>
    <w:multiLevelType w:val="hybridMultilevel"/>
    <w:lvl w:ilvl="0">
      <w:lvlJc w:val="left"/>
      <w:lvlText w:val="%1."/>
      <w:numFmt w:val="decimal"/>
      <w:start w:val="19"/>
    </w:lvl>
  </w:abstractNum>
  <w:abstractNum w:abstractNumId="80">
    <w:nsid w:val="71EA1109"/>
    <w:multiLevelType w:val="hybridMultilevel"/>
    <w:lvl w:ilvl="0">
      <w:lvlJc w:val="left"/>
      <w:lvlText w:val="%1."/>
      <w:numFmt w:val="decimal"/>
      <w:start w:val="20"/>
    </w:lvl>
  </w:abstractNum>
  <w:abstractNum w:abstractNumId="81">
    <w:nsid w:val="100F59DC"/>
    <w:multiLevelType w:val="hybridMultilevel"/>
    <w:lvl w:ilvl="0">
      <w:lvlJc w:val="left"/>
      <w:lvlText w:val="(%1)"/>
      <w:numFmt w:val="upperLetter"/>
      <w:start w:val="2"/>
    </w:lvl>
  </w:abstractNum>
  <w:abstractNum w:abstractNumId="82">
    <w:nsid w:val="7FB7E0AA"/>
    <w:multiLevelType w:val="hybridMultilevel"/>
    <w:lvl w:ilvl="0">
      <w:lvlJc w:val="left"/>
      <w:lvlText w:val="%1."/>
      <w:numFmt w:val="decimal"/>
      <w:start w:val="1"/>
    </w:lvl>
  </w:abstractNum>
  <w:abstractNum w:abstractNumId="83">
    <w:nsid w:val="6EB5BD4"/>
    <w:multiLevelType w:val="hybridMultilevel"/>
    <w:lvl w:ilvl="0">
      <w:lvlJc w:val="left"/>
      <w:lvlText w:val="%1."/>
      <w:numFmt w:val="decimal"/>
      <w:start w:val="1"/>
    </w:lvl>
  </w:abstractNum>
  <w:abstractNum w:abstractNumId="84">
    <w:nsid w:val="6F6DD9AC"/>
    <w:multiLevelType w:val="hybridMultilevel"/>
    <w:lvl w:ilvl="0">
      <w:lvlJc w:val="left"/>
      <w:lvlText w:val="%1."/>
      <w:numFmt w:val="decimal"/>
      <w:start w:val="4"/>
    </w:lvl>
  </w:abstractNum>
  <w:abstractNum w:abstractNumId="85">
    <w:nsid w:val="94211F2"/>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72" Type="http://schemas.openxmlformats.org/officeDocument/2006/relationships/image" Target="media/image53.png"/><Relationship Id="rId73" Type="http://schemas.openxmlformats.org/officeDocument/2006/relationships/image" Target="media/image54.png"/><Relationship Id="rId74" Type="http://schemas.openxmlformats.org/officeDocument/2006/relationships/image" Target="media/image55.png"/><Relationship Id="rId75" Type="http://schemas.openxmlformats.org/officeDocument/2006/relationships/image" Target="media/image56.png"/><Relationship Id="rId76" Type="http://schemas.openxmlformats.org/officeDocument/2006/relationships/image" Target="media/image57.png"/><Relationship Id="rId77" Type="http://schemas.openxmlformats.org/officeDocument/2006/relationships/image" Target="media/image58.png"/><Relationship Id="rId78" Type="http://schemas.openxmlformats.org/officeDocument/2006/relationships/image" Target="media/image59.png"/><Relationship Id="rId79" Type="http://schemas.openxmlformats.org/officeDocument/2006/relationships/image" Target="media/image60.png"/><Relationship Id="rId80" Type="http://schemas.openxmlformats.org/officeDocument/2006/relationships/image" Target="media/image61.png"/><Relationship Id="rId81" Type="http://schemas.openxmlformats.org/officeDocument/2006/relationships/image" Target="media/image62.png"/><Relationship Id="rId82" Type="http://schemas.openxmlformats.org/officeDocument/2006/relationships/image" Target="media/image63.png"/><Relationship Id="rId83" Type="http://schemas.openxmlformats.org/officeDocument/2006/relationships/image" Target="media/image64.png"/><Relationship Id="rId84" Type="http://schemas.openxmlformats.org/officeDocument/2006/relationships/image" Target="media/image65.png"/><Relationship Id="rId85" Type="http://schemas.openxmlformats.org/officeDocument/2006/relationships/image" Target="media/image66.png"/><Relationship Id="rId86" Type="http://schemas.openxmlformats.org/officeDocument/2006/relationships/image" Target="media/image67.png"/><Relationship Id="rId87" Type="http://schemas.openxmlformats.org/officeDocument/2006/relationships/image" Target="media/image68.png"/><Relationship Id="rId88" Type="http://schemas.openxmlformats.org/officeDocument/2006/relationships/image" Target="media/image69.png"/><Relationship Id="rId89" Type="http://schemas.openxmlformats.org/officeDocument/2006/relationships/image" Target="media/image70.png"/><Relationship Id="rId90" Type="http://schemas.openxmlformats.org/officeDocument/2006/relationships/image" Target="media/image71.png"/><Relationship Id="rId91" Type="http://schemas.openxmlformats.org/officeDocument/2006/relationships/image" Target="media/image72.png"/><Relationship Id="rId92" Type="http://schemas.openxmlformats.org/officeDocument/2006/relationships/image" Target="media/image73.png"/><Relationship Id="rId93" Type="http://schemas.openxmlformats.org/officeDocument/2006/relationships/image" Target="media/image74.png"/><Relationship Id="rId94" Type="http://schemas.openxmlformats.org/officeDocument/2006/relationships/image" Target="media/image75.png"/><Relationship Id="rId95" Type="http://schemas.openxmlformats.org/officeDocument/2006/relationships/image" Target="media/image76.png"/><Relationship Id="rId96" Type="http://schemas.openxmlformats.org/officeDocument/2006/relationships/image" Target="media/image77.png"/><Relationship Id="rId97" Type="http://schemas.openxmlformats.org/officeDocument/2006/relationships/image" Target="media/image78.png"/><Relationship Id="rId98" Type="http://schemas.openxmlformats.org/officeDocument/2006/relationships/image" Target="media/image79.png"/><Relationship Id="rId99" Type="http://schemas.openxmlformats.org/officeDocument/2006/relationships/image" Target="media/image80.png"/><Relationship Id="rId100" Type="http://schemas.openxmlformats.org/officeDocument/2006/relationships/image" Target="media/image81.png"/><Relationship Id="rId101" Type="http://schemas.openxmlformats.org/officeDocument/2006/relationships/image" Target="media/image82.png"/><Relationship Id="rId102" Type="http://schemas.openxmlformats.org/officeDocument/2006/relationships/image" Target="media/image83.png"/><Relationship Id="rId103" Type="http://schemas.openxmlformats.org/officeDocument/2006/relationships/image" Target="media/image84.png"/><Relationship Id="rId104" Type="http://schemas.openxmlformats.org/officeDocument/2006/relationships/image" Target="media/image85.png"/><Relationship Id="rId105" Type="http://schemas.openxmlformats.org/officeDocument/2006/relationships/image" Target="media/image86.png"/><Relationship Id="rId106" Type="http://schemas.openxmlformats.org/officeDocument/2006/relationships/image" Target="media/image87.png"/><Relationship Id="rId107" Type="http://schemas.openxmlformats.org/officeDocument/2006/relationships/image" Target="media/image88.png"/><Relationship Id="rId108" Type="http://schemas.openxmlformats.org/officeDocument/2006/relationships/image" Target="media/image89.png"/><Relationship Id="rId109" Type="http://schemas.openxmlformats.org/officeDocument/2006/relationships/image" Target="media/image90.png"/><Relationship Id="rId110" Type="http://schemas.openxmlformats.org/officeDocument/2006/relationships/image" Target="media/image91.png"/><Relationship Id="rId111" Type="http://schemas.openxmlformats.org/officeDocument/2006/relationships/image" Target="media/image92.png"/><Relationship Id="rId112" Type="http://schemas.openxmlformats.org/officeDocument/2006/relationships/image" Target="media/image93.png"/><Relationship Id="rId113" Type="http://schemas.openxmlformats.org/officeDocument/2006/relationships/image" Target="media/image94.png"/><Relationship Id="rId114" Type="http://schemas.openxmlformats.org/officeDocument/2006/relationships/image" Target="media/image95.png"/><Relationship Id="rId115" Type="http://schemas.openxmlformats.org/officeDocument/2006/relationships/image" Target="media/image96.png"/><Relationship Id="rId116" Type="http://schemas.openxmlformats.org/officeDocument/2006/relationships/image" Target="media/image97.png"/><Relationship Id="rId117" Type="http://schemas.openxmlformats.org/officeDocument/2006/relationships/image" Target="media/image98.png"/><Relationship Id="rId118" Type="http://schemas.openxmlformats.org/officeDocument/2006/relationships/image" Target="media/image99.png"/><Relationship Id="rId119" Type="http://schemas.openxmlformats.org/officeDocument/2006/relationships/image" Target="media/image100.png"/><Relationship Id="rId120" Type="http://schemas.openxmlformats.org/officeDocument/2006/relationships/image" Target="media/image101.png"/><Relationship Id="rId121" Type="http://schemas.openxmlformats.org/officeDocument/2006/relationships/image" Target="media/image102.png"/><Relationship Id="rId122" Type="http://schemas.openxmlformats.org/officeDocument/2006/relationships/image" Target="media/image103.png"/><Relationship Id="rId123" Type="http://schemas.openxmlformats.org/officeDocument/2006/relationships/image" Target="media/image104.png"/><Relationship Id="rId124" Type="http://schemas.openxmlformats.org/officeDocument/2006/relationships/image" Target="media/image105.png"/><Relationship Id="rId125" Type="http://schemas.openxmlformats.org/officeDocument/2006/relationships/image" Target="media/image106.png"/><Relationship Id="rId126" Type="http://schemas.openxmlformats.org/officeDocument/2006/relationships/image" Target="media/image107.png"/><Relationship Id="rId127" Type="http://schemas.openxmlformats.org/officeDocument/2006/relationships/image" Target="media/image108.png"/><Relationship Id="rId128" Type="http://schemas.openxmlformats.org/officeDocument/2006/relationships/image" Target="media/image109.jpeg"/><Relationship Id="rId129" Type="http://schemas.openxmlformats.org/officeDocument/2006/relationships/image" Target="media/image110.png"/><Relationship Id="rId130" Type="http://schemas.openxmlformats.org/officeDocument/2006/relationships/image" Target="media/image111.png"/><Relationship Id="rId131" Type="http://schemas.openxmlformats.org/officeDocument/2006/relationships/image" Target="media/image112.png"/><Relationship Id="rId49" Type="http://schemas.openxmlformats.org/officeDocument/2006/relationships/hyperlink" Target="http://www.sec.gov/Archives/edgar/data/902739/000116669119000005/cmcsa-12312018x10k.htm" TargetMode="External"/><Relationship Id="rId50" Type="http://schemas.openxmlformats.org/officeDocument/2006/relationships/hyperlink" Target="http://www.sec.gov/Archives/edgar/data/902739/000116669119000010/cmcsa-3312019x10q.htm" TargetMode="External"/><Relationship Id="rId51" Type="http://schemas.openxmlformats.org/officeDocument/2006/relationships/hyperlink" Target="http://www.sec.gov/Archives/edgar/data/902739/000116669119000015/cmcsa-6302019x10q.htm" TargetMode="External"/><Relationship Id="rId52" Type="http://schemas.openxmlformats.org/officeDocument/2006/relationships/hyperlink" Target="http://www.sec.gov/Archives/edgar/data/902739/000095010319006331/dp106765_8k.htm" TargetMode="External"/><Relationship Id="rId53" Type="http://schemas.openxmlformats.org/officeDocument/2006/relationships/hyperlink" Target="http://www.sec.gov/Archives/edgar/data/1166691/000095010319007912/dp108319_8k.htm" TargetMode="External"/><Relationship Id="rId54" Type="http://schemas.openxmlformats.org/officeDocument/2006/relationships/hyperlink" Target="http://www.sec.gov/Archives/edgar/data/902739/000095010319008213/dp108508_8k.htm" TargetMode="External"/><Relationship Id="rId55" Type="http://schemas.openxmlformats.org/officeDocument/2006/relationships/hyperlink" Target="http://www.sec.gov/Archives/edgar/data/1166691/000119312519210443/d736987d8ka.htm" TargetMode="External"/><Relationship Id="rId56" Type="http://schemas.openxmlformats.org/officeDocument/2006/relationships/hyperlink" Target="http://www.sec.gov/Archives/edgar/data/1166691/000119312519121456/d696198ddef14a.htm" TargetMode="External"/><Relationship Id="rId57" Type="http://schemas.openxmlformats.org/officeDocument/2006/relationships/hyperlink" Target="http://www.sec.gov/Archives/edgar/data/1166691/000095010315009516/dp61838_8k.htm" TargetMode="External"/><Relationship Id="rId69" Type="http://schemas.openxmlformats.org/officeDocument/2006/relationships/hyperlink" Target="http://www.sec.gov/Archives/edgar/data/1166691/000095015903000238/comcast200210k.txt" TargetMode="External"/><Relationship Id="rId70" Type="http://schemas.openxmlformats.org/officeDocument/2006/relationships/hyperlink" Target="http://www.sec.gov/Archives/edgar/data/355069/000119312513370526/d554661ds3asr.htm" TargetMode="External"/><Relationship Id="rId71" Type="http://schemas.openxmlformats.org/officeDocument/2006/relationships/hyperlink" Target="http://www.sec.gov/Archives/edgar/data/902739/000119312515384253/d60854dposas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2019-11-30T12:39:15Z</dcterms:created>
  <dcterms:modified xsi:type="dcterms:W3CDTF">2019-11-30T12:39:15Z</dcterms:modified>
</cp:coreProperties>
</file>