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27, 2006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67945</wp:posOffset>
            </wp:positionV>
            <wp:extent cx="1877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67945</wp:posOffset>
            </wp:positionV>
            <wp:extent cx="1877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Comcast Corporation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Holdings,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Group,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of Delaware,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Registrants as Specified in Their Charters)</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4220" w:type="dxa"/>
            <w:vAlign w:val="bottom"/>
          </w:tcPr>
          <w:p>
            <w:pPr>
              <w:jc w:val="center"/>
              <w:ind w:right="1932"/>
              <w:spacing w:after="0"/>
              <w:rPr>
                <w:sz w:val="20"/>
                <w:szCs w:val="20"/>
                <w:color w:val="auto"/>
              </w:rPr>
            </w:pPr>
            <w:r>
              <w:rPr>
                <w:rFonts w:ascii="Arial" w:cs="Arial" w:eastAsia="Arial" w:hAnsi="Arial"/>
                <w:sz w:val="18"/>
                <w:szCs w:val="18"/>
                <w:b w:val="1"/>
                <w:bCs w:val="1"/>
                <w:color w:val="auto"/>
                <w:w w:val="86"/>
              </w:rPr>
              <w:t>Pennsylvania</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27-0000798</w:t>
            </w:r>
          </w:p>
        </w:tc>
      </w:tr>
      <w:tr>
        <w:trPr>
          <w:trHeight w:val="212"/>
        </w:trPr>
        <w:tc>
          <w:tcPr>
            <w:tcW w:w="422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Delaware</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23-2175755</w:t>
            </w:r>
          </w:p>
        </w:tc>
      </w:tr>
      <w:tr>
        <w:trPr>
          <w:trHeight w:val="212"/>
        </w:trPr>
        <w:tc>
          <w:tcPr>
            <w:tcW w:w="422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Delaware</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04-3592397</w:t>
            </w:r>
          </w:p>
        </w:tc>
      </w:tr>
      <w:tr>
        <w:trPr>
          <w:trHeight w:val="212"/>
        </w:trPr>
        <w:tc>
          <w:tcPr>
            <w:tcW w:w="422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Delaware</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84-1260157</w:t>
            </w:r>
          </w:p>
        </w:tc>
      </w:tr>
      <w:tr>
        <w:trPr>
          <w:trHeight w:val="212"/>
        </w:trPr>
        <w:tc>
          <w:tcPr>
            <w:tcW w:w="422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Delaware</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91-2047743</w:t>
            </w:r>
          </w:p>
        </w:tc>
      </w:tr>
      <w:tr>
        <w:trPr>
          <w:trHeight w:val="218"/>
        </w:trPr>
        <w:tc>
          <w:tcPr>
            <w:tcW w:w="422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Delaware</w:t>
            </w:r>
          </w:p>
        </w:tc>
        <w:tc>
          <w:tcPr>
            <w:tcW w:w="3680" w:type="dxa"/>
            <w:vAlign w:val="bottom"/>
          </w:tcPr>
          <w:p>
            <w:pPr>
              <w:jc w:val="center"/>
              <w:ind w:left="1972"/>
              <w:spacing w:after="0"/>
              <w:rPr>
                <w:sz w:val="20"/>
                <w:szCs w:val="20"/>
                <w:color w:val="auto"/>
              </w:rPr>
            </w:pPr>
            <w:r>
              <w:rPr>
                <w:rFonts w:ascii="Arial" w:cs="Arial" w:eastAsia="Arial" w:hAnsi="Arial"/>
                <w:sz w:val="18"/>
                <w:szCs w:val="18"/>
                <w:b w:val="1"/>
                <w:bCs w:val="1"/>
                <w:color w:val="auto"/>
                <w:w w:val="89"/>
              </w:rPr>
              <w:t>84-1372033</w:t>
            </w:r>
          </w:p>
        </w:tc>
      </w:tr>
      <w:tr>
        <w:trPr>
          <w:trHeight w:val="212"/>
        </w:trPr>
        <w:tc>
          <w:tcPr>
            <w:tcW w:w="4220" w:type="dxa"/>
            <w:vAlign w:val="bottom"/>
          </w:tcPr>
          <w:p>
            <w:pPr>
              <w:jc w:val="center"/>
              <w:ind w:right="1952"/>
              <w:spacing w:after="0"/>
              <w:rPr>
                <w:sz w:val="20"/>
                <w:szCs w:val="20"/>
                <w:color w:val="auto"/>
              </w:rPr>
            </w:pPr>
            <w:r>
              <w:rPr>
                <w:rFonts w:ascii="Arial" w:cs="Arial" w:eastAsia="Arial" w:hAnsi="Arial"/>
                <w:sz w:val="18"/>
                <w:szCs w:val="18"/>
                <w:color w:val="auto"/>
                <w:w w:val="89"/>
              </w:rPr>
              <w:t>(State or Other Jurisdiction of</w:t>
            </w:r>
          </w:p>
        </w:tc>
        <w:tc>
          <w:tcPr>
            <w:tcW w:w="3680" w:type="dxa"/>
            <w:vAlign w:val="bottom"/>
          </w:tcPr>
          <w:p>
            <w:pPr>
              <w:jc w:val="center"/>
              <w:ind w:left="1952"/>
              <w:spacing w:after="0"/>
              <w:rPr>
                <w:sz w:val="20"/>
                <w:szCs w:val="20"/>
                <w:color w:val="auto"/>
              </w:rPr>
            </w:pPr>
            <w:r>
              <w:rPr>
                <w:rFonts w:ascii="Arial" w:cs="Arial" w:eastAsia="Arial" w:hAnsi="Arial"/>
                <w:sz w:val="18"/>
                <w:szCs w:val="18"/>
                <w:color w:val="auto"/>
                <w:w w:val="90"/>
              </w:rPr>
              <w:t>(I.R.S. Employer</w:t>
            </w:r>
          </w:p>
        </w:tc>
      </w:tr>
      <w:tr>
        <w:trPr>
          <w:trHeight w:val="223"/>
        </w:trPr>
        <w:tc>
          <w:tcPr>
            <w:tcW w:w="4220" w:type="dxa"/>
            <w:vAlign w:val="bottom"/>
          </w:tcPr>
          <w:p>
            <w:pPr>
              <w:jc w:val="center"/>
              <w:ind w:right="1952"/>
              <w:spacing w:after="0"/>
              <w:rPr>
                <w:sz w:val="20"/>
                <w:szCs w:val="20"/>
                <w:color w:val="auto"/>
              </w:rPr>
            </w:pPr>
            <w:r>
              <w:rPr>
                <w:rFonts w:ascii="Arial" w:cs="Arial" w:eastAsia="Arial" w:hAnsi="Arial"/>
                <w:sz w:val="18"/>
                <w:szCs w:val="18"/>
                <w:color w:val="auto"/>
                <w:w w:val="91"/>
              </w:rPr>
              <w:t>Incorporation or Organization)</w:t>
            </w:r>
          </w:p>
        </w:tc>
        <w:tc>
          <w:tcPr>
            <w:tcW w:w="3680" w:type="dxa"/>
            <w:vAlign w:val="bottom"/>
          </w:tcPr>
          <w:p>
            <w:pPr>
              <w:jc w:val="center"/>
              <w:ind w:left="1952"/>
              <w:spacing w:after="0"/>
              <w:rPr>
                <w:sz w:val="20"/>
                <w:szCs w:val="20"/>
                <w:color w:val="auto"/>
              </w:rPr>
            </w:pPr>
            <w:r>
              <w:rPr>
                <w:rFonts w:ascii="Arial" w:cs="Arial" w:eastAsia="Arial" w:hAnsi="Arial"/>
                <w:sz w:val="18"/>
                <w:szCs w:val="18"/>
                <w:color w:val="auto"/>
                <w:w w:val="93"/>
              </w:rPr>
              <w:t>Identification Number)</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 Market Street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19102-2148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665-1700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71120</wp:posOffset>
            </wp:positionV>
            <wp:extent cx="1877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Arthur R. Block, Esq.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Vice President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 Market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19102-2148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665-1700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138430</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Bruce K. Dallas, Esq.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Davis Polk &amp; Wardwell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1600 El Camino Real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752-2000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71120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If the only securities being registered on this Form are being offered pursuant to dividend or interest reinvestment plans, please check the following box. o</w:t>
      </w:r>
    </w:p>
    <w:p>
      <w:pPr>
        <w:spacing w:after="0" w:line="146" w:lineRule="exact"/>
        <w:rPr>
          <w:sz w:val="20"/>
          <w:szCs w:val="20"/>
          <w:color w:val="auto"/>
        </w:rPr>
      </w:pPr>
    </w:p>
    <w:p>
      <w:pPr>
        <w:ind w:right="40" w:firstLine="221"/>
        <w:spacing w:after="0" w:line="22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5" w:lineRule="exact"/>
        <w:rPr>
          <w:sz w:val="20"/>
          <w:szCs w:val="20"/>
          <w:color w:val="auto"/>
        </w:rPr>
      </w:pPr>
    </w:p>
    <w:p>
      <w:pPr>
        <w:ind w:right="200" w:firstLine="221"/>
        <w:spacing w:after="0" w:line="294"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 _____</w:t>
      </w:r>
    </w:p>
    <w:p>
      <w:pPr>
        <w:spacing w:after="0" w:line="51" w:lineRule="exact"/>
        <w:rPr>
          <w:sz w:val="20"/>
          <w:szCs w:val="20"/>
          <w:color w:val="auto"/>
        </w:rPr>
      </w:pPr>
    </w:p>
    <w:p>
      <w:pPr>
        <w:ind w:right="700" w:firstLine="221"/>
        <w:spacing w:after="0" w:line="265"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 _____</w:t>
      </w:r>
    </w:p>
    <w:p>
      <w:pPr>
        <w:spacing w:after="0" w:line="73" w:lineRule="exact"/>
        <w:rPr>
          <w:sz w:val="20"/>
          <w:szCs w:val="20"/>
          <w:color w:val="auto"/>
        </w:rPr>
      </w:pPr>
    </w:p>
    <w:p>
      <w:pPr>
        <w:ind w:right="80" w:firstLine="221"/>
        <w:spacing w:after="0" w:line="22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5" w:lineRule="exact"/>
        <w:rPr>
          <w:sz w:val="20"/>
          <w:szCs w:val="20"/>
          <w:color w:val="auto"/>
        </w:rPr>
      </w:pPr>
    </w:p>
    <w:p>
      <w:pPr>
        <w:ind w:right="600" w:firstLine="221"/>
        <w:spacing w:after="0" w:line="265"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30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4300" w:type="dxa"/>
            <w:vAlign w:val="bottom"/>
          </w:tcPr>
          <w:p>
            <w:pPr>
              <w:jc w:val="center"/>
              <w:ind w:left="814"/>
              <w:spacing w:after="0" w:line="97" w:lineRule="exact"/>
              <w:rPr>
                <w:sz w:val="20"/>
                <w:szCs w:val="20"/>
                <w:color w:val="auto"/>
              </w:rPr>
            </w:pPr>
            <w:r>
              <w:rPr>
                <w:rFonts w:ascii="Arial" w:cs="Arial" w:eastAsia="Arial" w:hAnsi="Arial"/>
                <w:sz w:val="11"/>
                <w:szCs w:val="11"/>
                <w:b w:val="1"/>
                <w:bCs w:val="1"/>
                <w:color w:val="auto"/>
              </w:rPr>
              <w:t>Title of Each</w:t>
            </w:r>
          </w:p>
        </w:tc>
        <w:tc>
          <w:tcPr>
            <w:tcW w:w="2240" w:type="dxa"/>
            <w:vAlign w:val="bottom"/>
            <w:vMerge w:val="restart"/>
          </w:tcPr>
          <w:p>
            <w:pPr>
              <w:jc w:val="center"/>
              <w:ind w:left="829"/>
              <w:spacing w:after="0"/>
              <w:rPr>
                <w:sz w:val="20"/>
                <w:szCs w:val="20"/>
                <w:color w:val="auto"/>
              </w:rPr>
            </w:pPr>
            <w:r>
              <w:rPr>
                <w:rFonts w:ascii="Arial" w:cs="Arial" w:eastAsia="Arial" w:hAnsi="Arial"/>
                <w:sz w:val="14"/>
                <w:szCs w:val="14"/>
                <w:b w:val="1"/>
                <w:bCs w:val="1"/>
                <w:color w:val="auto"/>
                <w:w w:val="90"/>
              </w:rPr>
              <w:t>Amount to be</w:t>
            </w:r>
          </w:p>
        </w:tc>
        <w:tc>
          <w:tcPr>
            <w:tcW w:w="17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7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6"/>
        </w:trPr>
        <w:tc>
          <w:tcPr>
            <w:tcW w:w="4300" w:type="dxa"/>
            <w:vAlign w:val="bottom"/>
          </w:tcPr>
          <w:p>
            <w:pPr>
              <w:jc w:val="center"/>
              <w:ind w:left="814"/>
              <w:spacing w:after="0" w:line="146" w:lineRule="exact"/>
              <w:rPr>
                <w:sz w:val="20"/>
                <w:szCs w:val="20"/>
                <w:color w:val="auto"/>
              </w:rPr>
            </w:pPr>
            <w:r>
              <w:rPr>
                <w:rFonts w:ascii="Arial" w:cs="Arial" w:eastAsia="Arial" w:hAnsi="Arial"/>
                <w:sz w:val="14"/>
                <w:szCs w:val="14"/>
                <w:b w:val="1"/>
                <w:bCs w:val="1"/>
                <w:color w:val="auto"/>
                <w:w w:val="87"/>
              </w:rPr>
              <w:t>Class of Securities</w:t>
            </w:r>
          </w:p>
        </w:tc>
        <w:tc>
          <w:tcPr>
            <w:tcW w:w="2240" w:type="dxa"/>
            <w:vAlign w:val="bottom"/>
            <w:vMerge w:val="continue"/>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Offering Price</w:t>
            </w:r>
          </w:p>
        </w:tc>
        <w:tc>
          <w:tcPr>
            <w:tcW w:w="17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Aggregate Offering</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tcPr>
          <w:p>
            <w:pPr>
              <w:jc w:val="center"/>
              <w:ind w:left="814"/>
              <w:spacing w:after="0"/>
              <w:rPr>
                <w:sz w:val="20"/>
                <w:szCs w:val="20"/>
                <w:color w:val="auto"/>
              </w:rPr>
            </w:pPr>
            <w:r>
              <w:rPr>
                <w:rFonts w:ascii="Arial" w:cs="Arial" w:eastAsia="Arial" w:hAnsi="Arial"/>
                <w:sz w:val="14"/>
                <w:szCs w:val="14"/>
                <w:b w:val="1"/>
                <w:bCs w:val="1"/>
                <w:color w:val="auto"/>
                <w:w w:val="89"/>
              </w:rPr>
              <w:t>to be Registered</w:t>
            </w:r>
          </w:p>
        </w:tc>
        <w:tc>
          <w:tcPr>
            <w:tcW w:w="2240" w:type="dxa"/>
            <w:vAlign w:val="bottom"/>
          </w:tcPr>
          <w:p>
            <w:pPr>
              <w:jc w:val="center"/>
              <w:ind w:left="809"/>
              <w:spacing w:after="0"/>
              <w:rPr>
                <w:sz w:val="20"/>
                <w:szCs w:val="20"/>
                <w:color w:val="auto"/>
              </w:rPr>
            </w:pPr>
            <w:r>
              <w:rPr>
                <w:rFonts w:ascii="Arial" w:cs="Arial" w:eastAsia="Arial" w:hAnsi="Arial"/>
                <w:sz w:val="14"/>
                <w:szCs w:val="14"/>
                <w:b w:val="1"/>
                <w:bCs w:val="1"/>
                <w:color w:val="auto"/>
                <w:w w:val="88"/>
              </w:rPr>
              <w:t>Registered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Per Unit (1)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-295275</wp:posOffset>
            </wp:positionV>
            <wp:extent cx="7249160" cy="504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50482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color w:val="auto"/>
        </w:rPr>
        <w:t>Senior Debt Securities and Subordinated Debt Securities (collectively,</w:t>
      </w:r>
    </w:p>
    <w:p>
      <w:pPr>
        <w:sectPr>
          <w:pgSz w:w="11900" w:h="16838" w:orient="portrait"/>
          <w:cols w:equalWidth="0" w:num="1">
            <w:col w:w="11420"/>
          </w:cols>
          <w:pgMar w:left="240" w:top="122" w:right="239" w:bottom="0" w:gutter="0" w:footer="0" w:header="0"/>
        </w:sectPr>
      </w:pPr>
    </w:p>
    <w:bookmarkStart w:id="2" w:name="page3"/>
    <w:bookmarkEnd w:id="2"/>
    <w:p>
      <w:pPr>
        <w:ind w:left="294"/>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49160" cy="135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1355725"/>
                    </a:xfrm>
                    <a:prstGeom prst="rect">
                      <a:avLst/>
                    </a:prstGeom>
                    <a:noFill/>
                  </pic:spPr>
                </pic:pic>
              </a:graphicData>
            </a:graphic>
          </wp:anchor>
        </w:drawing>
      </w:r>
    </w:p>
    <w:p>
      <w:pPr>
        <w:ind w:left="94"/>
        <w:spacing w:after="0"/>
        <w:rPr>
          <w:sz w:val="20"/>
          <w:szCs w:val="20"/>
          <w:color w:val="auto"/>
        </w:rPr>
      </w:pPr>
      <w:r>
        <w:rPr>
          <w:rFonts w:ascii="Arial" w:cs="Arial" w:eastAsia="Arial" w:hAnsi="Arial"/>
          <w:sz w:val="18"/>
          <w:szCs w:val="18"/>
          <w:color w:val="auto"/>
        </w:rPr>
        <w:t>Preferred Stock, without par value</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Depositary Shares representing Preferred Stock</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Class A Common Stock, $0.01 par value (2)</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Class A Special Common Stock, $0.01 par value (2)</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Warrants</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Purchase Contracts</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8"/>
          <w:szCs w:val="18"/>
          <w:color w:val="auto"/>
        </w:rPr>
        <w:t>Units</w:t>
      </w:r>
    </w:p>
    <w:p>
      <w:pPr>
        <w:spacing w:after="0" w:line="5" w:lineRule="exact"/>
        <w:rPr>
          <w:sz w:val="20"/>
          <w:szCs w:val="20"/>
          <w:color w:val="auto"/>
        </w:rPr>
      </w:pPr>
    </w:p>
    <w:p>
      <w:pPr>
        <w:ind w:left="94"/>
        <w:spacing w:after="0"/>
        <w:rPr>
          <w:sz w:val="20"/>
          <w:szCs w:val="20"/>
          <w:color w:val="auto"/>
        </w:rPr>
      </w:pPr>
      <w:r>
        <w:rPr>
          <w:rFonts w:ascii="Arial" w:cs="Arial" w:eastAsia="Arial" w:hAnsi="Arial"/>
          <w:sz w:val="17"/>
          <w:szCs w:val="17"/>
          <w:color w:val="auto"/>
        </w:rPr>
        <w:t>Guarantees of Debt Securities, Warrants, Purchase Contracts and</w:t>
      </w:r>
    </w:p>
    <w:p>
      <w:pPr>
        <w:spacing w:after="0" w:line="17" w:lineRule="exact"/>
        <w:rPr>
          <w:sz w:val="20"/>
          <w:szCs w:val="20"/>
          <w:color w:val="auto"/>
        </w:rPr>
      </w:pPr>
    </w:p>
    <w:p>
      <w:pPr>
        <w:ind w:left="294"/>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left="434" w:hanging="434"/>
        <w:spacing w:after="0" w:line="366" w:lineRule="auto"/>
        <w:tabs>
          <w:tab w:leader="none" w:pos="434"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17" w:lineRule="exact"/>
        <w:rPr>
          <w:rFonts w:ascii="Arial" w:cs="Arial" w:eastAsia="Arial" w:hAnsi="Arial"/>
          <w:sz w:val="15"/>
          <w:szCs w:val="15"/>
          <w:color w:val="auto"/>
        </w:rPr>
      </w:pPr>
    </w:p>
    <w:p>
      <w:pPr>
        <w:ind w:left="434" w:hanging="434"/>
        <w:spacing w:after="0"/>
        <w:tabs>
          <w:tab w:leader="none" w:pos="43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be issued under the Registrant’s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2491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556260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34"/>
          </w:cols>
          <w:pgMar w:left="246" w:top="127"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15240</wp:posOffset>
            </wp:positionV>
            <wp:extent cx="1414145" cy="361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are types of securities that may be offered and sold under this prospectus:</w:t>
      </w:r>
    </w:p>
    <w:p>
      <w:pPr>
        <w:sectPr>
          <w:pgSz w:w="11900" w:h="16838" w:orient="portrait"/>
          <w:cols w:equalWidth="0" w:num="1">
            <w:col w:w="11320"/>
          </w:cols>
          <w:pgMar w:left="240" w:top="413" w:right="339" w:bottom="1440" w:gutter="0" w:footer="0" w:header="0"/>
        </w:sectPr>
      </w:pP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Unsecured senior debt securities</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Unsecured subordinated debt securities</w:t>
      </w:r>
    </w:p>
    <w:p>
      <w:pPr>
        <w:spacing w:after="0" w:line="4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Warrants</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Purchase contracts</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shares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Class A Special Common Stock</w:t>
      </w:r>
    </w:p>
    <w:p>
      <w:pPr>
        <w:spacing w:after="0" w:line="346" w:lineRule="exact"/>
        <w:rPr>
          <w:sz w:val="20"/>
          <w:szCs w:val="20"/>
          <w:color w:val="auto"/>
        </w:rPr>
      </w:pPr>
    </w:p>
    <w:p>
      <w:pPr>
        <w:sectPr>
          <w:pgSz w:w="11900" w:h="16838" w:orient="portrait"/>
          <w:cols w:equalWidth="0" w:num="2">
            <w:col w:w="4920" w:space="720"/>
            <w:col w:w="5680"/>
          </w:cols>
          <w:pgMar w:left="240" w:top="413" w:right="339" w:bottom="1440" w:gutter="0" w:footer="0" w:header="0"/>
          <w:type w:val="continuous"/>
        </w:sectPr>
      </w:pPr>
    </w:p>
    <w:p>
      <w:pPr>
        <w:ind w:right="460" w:firstLine="221"/>
        <w:spacing w:after="0" w:line="265"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73"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83"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6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Maturity</w:t>
            </w:r>
          </w:p>
        </w:tc>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Redemption terms</w:t>
            </w:r>
          </w:p>
        </w:tc>
        <w:tc>
          <w:tcPr>
            <w:tcW w:w="2340" w:type="dxa"/>
            <w:vAlign w:val="bottom"/>
          </w:tcPr>
          <w:p>
            <w:pPr>
              <w:ind w:left="6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amount</w:t>
            </w:r>
          </w:p>
        </w:tc>
      </w:tr>
      <w:tr>
        <w:trPr>
          <w:trHeight w:val="212"/>
        </w:trPr>
        <w:tc>
          <w:tcPr>
            <w:tcW w:w="26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w:t>
            </w:r>
          </w:p>
        </w:tc>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Listing on a securities</w:t>
            </w:r>
          </w:p>
        </w:tc>
        <w:tc>
          <w:tcPr>
            <w:tcW w:w="2340" w:type="dxa"/>
            <w:vAlign w:val="bottom"/>
          </w:tcPr>
          <w:p>
            <w:pPr>
              <w:ind w:left="680"/>
              <w:spacing w:after="0"/>
              <w:rPr>
                <w:sz w:val="20"/>
                <w:szCs w:val="20"/>
                <w:color w:val="auto"/>
              </w:rPr>
            </w:pPr>
            <w:r>
              <w:rPr>
                <w:rFonts w:ascii="Arial" w:cs="Arial" w:eastAsia="Arial" w:hAnsi="Arial"/>
                <w:sz w:val="18"/>
                <w:szCs w:val="18"/>
                <w:b w:val="1"/>
                <w:bCs w:val="1"/>
                <w:color w:val="auto"/>
                <w:w w:val="86"/>
              </w:rPr>
              <w:t xml:space="preserve">• </w:t>
            </w:r>
            <w:r>
              <w:rPr>
                <w:rFonts w:ascii="Arial" w:cs="Arial" w:eastAsia="Arial" w:hAnsi="Arial"/>
                <w:sz w:val="18"/>
                <w:szCs w:val="18"/>
                <w:color w:val="auto"/>
                <w:w w:val="86"/>
              </w:rPr>
              <w:t>Subsidiary guarantees</w:t>
            </w:r>
          </w:p>
        </w:tc>
      </w:tr>
      <w:tr>
        <w:trPr>
          <w:trHeight w:val="212"/>
        </w:trPr>
        <w:tc>
          <w:tcPr>
            <w:tcW w:w="26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Sinking fund terms</w:t>
            </w:r>
          </w:p>
        </w:tc>
        <w:tc>
          <w:tcPr>
            <w:tcW w:w="3940" w:type="dxa"/>
            <w:vAlign w:val="bottom"/>
          </w:tcPr>
          <w:p>
            <w:pPr>
              <w:ind w:left="1160"/>
              <w:spacing w:after="0"/>
              <w:rPr>
                <w:sz w:val="20"/>
                <w:szCs w:val="20"/>
                <w:color w:val="auto"/>
              </w:rPr>
            </w:pPr>
            <w:r>
              <w:rPr>
                <w:rFonts w:ascii="Arial" w:cs="Arial" w:eastAsia="Arial" w:hAnsi="Arial"/>
                <w:sz w:val="18"/>
                <w:szCs w:val="18"/>
                <w:color w:val="auto"/>
              </w:rPr>
              <w:t>exchange</w:t>
            </w:r>
          </w:p>
        </w:tc>
        <w:tc>
          <w:tcPr>
            <w:tcW w:w="2340" w:type="dxa"/>
            <w:vAlign w:val="bottom"/>
          </w:tcPr>
          <w:p>
            <w:pPr>
              <w:spacing w:after="0"/>
              <w:rPr>
                <w:sz w:val="18"/>
                <w:szCs w:val="18"/>
                <w:color w:val="auto"/>
              </w:rPr>
            </w:pPr>
          </w:p>
        </w:tc>
      </w:tr>
      <w:tr>
        <w:trPr>
          <w:trHeight w:val="212"/>
        </w:trPr>
        <w:tc>
          <w:tcPr>
            <w:tcW w:w="26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payments</w:t>
            </w:r>
          </w:p>
        </w:tc>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Amount payable at maturity</w:t>
            </w:r>
          </w:p>
        </w:tc>
        <w:tc>
          <w:tcPr>
            <w:tcW w:w="2340" w:type="dxa"/>
            <w:vAlign w:val="bottom"/>
          </w:tcPr>
          <w:p>
            <w:pPr>
              <w:spacing w:after="0"/>
              <w:rPr>
                <w:sz w:val="18"/>
                <w:szCs w:val="18"/>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Dividends</w:t>
            </w:r>
          </w:p>
        </w:tc>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or exchange rights</w:t>
            </w:r>
          </w:p>
        </w:tc>
        <w:tc>
          <w:tcPr>
            <w:tcW w:w="2340" w:type="dxa"/>
            <w:vAlign w:val="bottom"/>
          </w:tcPr>
          <w:p>
            <w:pPr>
              <w:spacing w:after="0"/>
              <w:rPr>
                <w:sz w:val="19"/>
                <w:szCs w:val="19"/>
                <w:color w:val="auto"/>
              </w:rPr>
            </w:pPr>
          </w:p>
        </w:tc>
      </w:tr>
    </w:tbl>
    <w:p>
      <w:pPr>
        <w:spacing w:after="0" w:line="89" w:lineRule="exact"/>
        <w:rPr>
          <w:sz w:val="20"/>
          <w:szCs w:val="20"/>
          <w:color w:val="auto"/>
        </w:rPr>
      </w:pPr>
    </w:p>
    <w:p>
      <w:pPr>
        <w:ind w:right="180" w:firstLine="221"/>
        <w:spacing w:after="0" w:line="27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18 of our annual report on Form 10-K for the year ended December 31, 2005 which is incorporated by reference herein.</w:t>
      </w:r>
    </w:p>
    <w:p>
      <w:pPr>
        <w:spacing w:after="0" w:line="61" w:lineRule="exact"/>
        <w:rPr>
          <w:sz w:val="20"/>
          <w:szCs w:val="20"/>
          <w:color w:val="auto"/>
        </w:rPr>
      </w:pPr>
    </w:p>
    <w:p>
      <w:pPr>
        <w:ind w:firstLine="221"/>
        <w:spacing w:after="0" w:line="27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6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216535</wp:posOffset>
            </wp:positionV>
            <wp:extent cx="5093970" cy="2955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93970" cy="295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hanging="214"/>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Comcast Corporation, referred to as “Comcast.”</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Comcast Cable Communications, LLC (formerly known as Comcast Cable Communications, Inc.), referred to as “Comcast Cable.”</w:t>
      </w:r>
    </w:p>
    <w:p>
      <w:pPr>
        <w:spacing w:after="0" w:line="124" w:lineRule="exact"/>
        <w:rPr>
          <w:rFonts w:ascii="Arial" w:cs="Arial" w:eastAsia="Arial" w:hAnsi="Arial"/>
          <w:sz w:val="18"/>
          <w:szCs w:val="18"/>
          <w:b w:val="1"/>
          <w:bCs w:val="1"/>
          <w:color w:val="auto"/>
        </w:rPr>
      </w:pPr>
    </w:p>
    <w:p>
      <w:pPr>
        <w:ind w:left="220" w:hanging="214"/>
        <w:spacing w:after="0" w:line="265" w:lineRule="auto"/>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Comcast Cable Communications Holdings, Inc. (formerly known as AT&amp;T Broadband Corp.), referred to as “Comcast Cable Communications Holdings” or “Broadband.”</w:t>
      </w:r>
    </w:p>
    <w:p>
      <w:pPr>
        <w:spacing w:after="0" w:line="86" w:lineRule="exact"/>
        <w:rPr>
          <w:rFonts w:ascii="Arial" w:cs="Arial" w:eastAsia="Arial" w:hAnsi="Arial"/>
          <w:sz w:val="18"/>
          <w:szCs w:val="18"/>
          <w:b w:val="1"/>
          <w:bCs w:val="1"/>
          <w:color w:val="auto"/>
        </w:rPr>
      </w:pPr>
    </w:p>
    <w:p>
      <w:pPr>
        <w:ind w:left="220" w:hanging="214"/>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Comcast MO Group, Inc. (formerly known as MediaOne Group, Inc.), referred to as “Comcast MO Group.”</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2"/>
        </w:numPr>
        <w:rPr>
          <w:rFonts w:ascii="Arial" w:cs="Arial" w:eastAsia="Arial" w:hAnsi="Arial"/>
          <w:sz w:val="15"/>
          <w:szCs w:val="15"/>
          <w:b w:val="1"/>
          <w:bCs w:val="1"/>
          <w:color w:val="auto"/>
        </w:rPr>
      </w:pPr>
      <w:r>
        <w:rPr>
          <w:rFonts w:ascii="Arial" w:cs="Arial" w:eastAsia="Arial" w:hAnsi="Arial"/>
          <w:sz w:val="15"/>
          <w:szCs w:val="15"/>
          <w:color w:val="auto"/>
        </w:rPr>
        <w:t>Comcast Cable Holdings, LLC (formerly known as AT&amp;T Broadband, LLC and Tele-Communications, Inc.), referred to as “Comcast Cable Holdings.”</w:t>
      </w:r>
    </w:p>
    <w:p>
      <w:pPr>
        <w:spacing w:after="0" w:line="158" w:lineRule="exact"/>
        <w:rPr>
          <w:rFonts w:ascii="Arial" w:cs="Arial" w:eastAsia="Arial" w:hAnsi="Arial"/>
          <w:sz w:val="15"/>
          <w:szCs w:val="15"/>
          <w:b w:val="1"/>
          <w:bCs w:val="1"/>
          <w:color w:val="auto"/>
        </w:rPr>
      </w:pPr>
    </w:p>
    <w:p>
      <w:pPr>
        <w:ind w:left="220" w:right="500" w:hanging="214"/>
        <w:spacing w:after="0" w:line="265" w:lineRule="auto"/>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Comcast MO of Delaware, LLC (formerly known a</w:t>
      </w:r>
      <w:r>
        <w:rPr>
          <w:rFonts w:ascii="Arial" w:cs="Arial" w:eastAsia="Arial" w:hAnsi="Arial"/>
          <w:sz w:val="18"/>
          <w:szCs w:val="18"/>
          <w:i w:val="1"/>
          <w:iCs w:val="1"/>
          <w:color w:val="auto"/>
        </w:rPr>
        <w:t>s</w:t>
      </w:r>
      <w:r>
        <w:rPr>
          <w:rFonts w:ascii="Arial" w:cs="Arial" w:eastAsia="Arial" w:hAnsi="Arial"/>
          <w:sz w:val="18"/>
          <w:szCs w:val="18"/>
          <w:color w:val="auto"/>
        </w:rPr>
        <w:t xml:space="preserve"> Media One of Delaware, Inc. and Continental Cablevision, Inc.), referred to as “Comcast MO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8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8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04"/>
        </w:trPr>
        <w:tc>
          <w:tcPr>
            <w:tcW w:w="14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THE COMPANIES</w:t>
              </w:r>
            </w:hyperlink>
          </w:p>
        </w:tc>
        <w:tc>
          <w:tcPr>
            <w:tcW w:w="9660" w:type="dxa"/>
            <w:vAlign w:val="bottom"/>
            <w:gridSpan w:val="13"/>
          </w:tcPr>
          <w:p>
            <w:pPr>
              <w:spacing w:after="0"/>
              <w:rPr>
                <w:sz w:val="24"/>
                <w:szCs w:val="24"/>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192"/>
        </w:trPr>
        <w:tc>
          <w:tcPr>
            <w:tcW w:w="11060" w:type="dxa"/>
            <w:vAlign w:val="bottom"/>
            <w:gridSpan w:val="15"/>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CAUTION CONCERNING FORWARDLOOKING STATEMENTS</w:t>
              </w:r>
            </w:hyperlink>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4</w:t>
            </w:r>
          </w:p>
        </w:tc>
      </w:tr>
      <w:tr>
        <w:trPr>
          <w:trHeight w:val="192"/>
        </w:trPr>
        <w:tc>
          <w:tcPr>
            <w:tcW w:w="158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USE OF PROCEEDS</w:t>
              </w:r>
            </w:hyperlink>
          </w:p>
        </w:tc>
        <w:tc>
          <w:tcPr>
            <w:tcW w:w="3280" w:type="dxa"/>
            <w:vAlign w:val="bottom"/>
            <w:tcBorders>
              <w:top w:val="single" w:sz="8" w:color="0000EE"/>
            </w:tcBorders>
            <w:gridSpan w:val="6"/>
          </w:tcPr>
          <w:p>
            <w:pPr>
              <w:spacing w:after="0"/>
              <w:rPr>
                <w:sz w:val="16"/>
                <w:szCs w:val="16"/>
                <w:color w:val="auto"/>
              </w:rPr>
            </w:pPr>
          </w:p>
        </w:tc>
        <w:tc>
          <w:tcPr>
            <w:tcW w:w="6200" w:type="dxa"/>
            <w:vAlign w:val="bottom"/>
            <w:gridSpan w:val="4"/>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w:t>
            </w:r>
          </w:p>
        </w:tc>
      </w:tr>
      <w:tr>
        <w:trPr>
          <w:trHeight w:val="192"/>
        </w:trPr>
        <w:tc>
          <w:tcPr>
            <w:tcW w:w="1560" w:type="dxa"/>
            <w:vAlign w:val="bottom"/>
            <w:tcBorders>
              <w:bottom w:val="single" w:sz="8" w:color="0000EE"/>
            </w:tcBorders>
            <w:gridSpan w:val="4"/>
          </w:tcPr>
          <w:p>
            <w:pPr>
              <w:spacing w:after="0" w:line="192"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DIVIDEND POLICY</w:t>
              </w:r>
            </w:hyperlink>
          </w:p>
        </w:tc>
        <w:tc>
          <w:tcPr>
            <w:tcW w:w="9500" w:type="dxa"/>
            <w:vAlign w:val="bottom"/>
            <w:gridSpan w:val="11"/>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w:t>
            </w:r>
          </w:p>
        </w:tc>
      </w:tr>
      <w:tr>
        <w:trPr>
          <w:trHeight w:val="192"/>
        </w:trPr>
        <w:tc>
          <w:tcPr>
            <w:tcW w:w="11060" w:type="dxa"/>
            <w:vAlign w:val="bottom"/>
            <w:gridSpan w:val="15"/>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w:t>
              </w:r>
            </w:hyperlink>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1060" w:type="dxa"/>
            <w:vAlign w:val="bottom"/>
            <w:gridSpan w:val="15"/>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RATIO OF EARNINGS TO COMBINED FIXED CHARGES AND PREFERRED DIVIDENDS</w:t>
              </w:r>
            </w:hyperlink>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w:t>
            </w:r>
          </w:p>
        </w:tc>
      </w:tr>
      <w:tr>
        <w:trPr>
          <w:trHeight w:val="192"/>
        </w:trPr>
        <w:tc>
          <w:tcPr>
            <w:tcW w:w="690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DEBT SECURITIES AND CABLE GUARANTEES</w:t>
              </w:r>
            </w:hyperlink>
          </w:p>
        </w:tc>
        <w:tc>
          <w:tcPr>
            <w:tcW w:w="4160" w:type="dxa"/>
            <w:vAlign w:val="bottom"/>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6</w:t>
            </w:r>
          </w:p>
        </w:tc>
      </w:tr>
      <w:tr>
        <w:trPr>
          <w:trHeight w:val="192"/>
        </w:trPr>
        <w:tc>
          <w:tcPr>
            <w:tcW w:w="524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GLOBAL SECURITIES</w:t>
              </w:r>
            </w:hyperlink>
          </w:p>
        </w:tc>
        <w:tc>
          <w:tcPr>
            <w:tcW w:w="5820" w:type="dxa"/>
            <w:vAlign w:val="bottom"/>
            <w:gridSpan w:val="2"/>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1060" w:type="dxa"/>
            <w:vAlign w:val="bottom"/>
            <w:gridSpan w:val="15"/>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CAPITAL STOCK</w:t>
              </w:r>
            </w:hyperlink>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22</w:t>
            </w:r>
          </w:p>
        </w:tc>
      </w:tr>
      <w:tr>
        <w:trPr>
          <w:trHeight w:val="192"/>
        </w:trPr>
        <w:tc>
          <w:tcPr>
            <w:tcW w:w="202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PLAN OF DISTRIBUTION</w:t>
              </w:r>
            </w:hyperlink>
          </w:p>
        </w:tc>
        <w:tc>
          <w:tcPr>
            <w:tcW w:w="800" w:type="dxa"/>
            <w:vAlign w:val="bottom"/>
            <w:tcBorders>
              <w:top w:val="single" w:sz="8" w:color="0000EE"/>
            </w:tcBorders>
            <w:gridSpan w:val="2"/>
          </w:tcPr>
          <w:p>
            <w:pPr>
              <w:spacing w:after="0"/>
              <w:rPr>
                <w:sz w:val="16"/>
                <w:szCs w:val="16"/>
                <w:color w:val="auto"/>
              </w:rPr>
            </w:pPr>
          </w:p>
        </w:tc>
        <w:tc>
          <w:tcPr>
            <w:tcW w:w="8240" w:type="dxa"/>
            <w:vAlign w:val="bottom"/>
            <w:gridSpan w:val="6"/>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27</w:t>
            </w:r>
          </w:p>
        </w:tc>
      </w:tr>
      <w:tr>
        <w:trPr>
          <w:trHeight w:val="192"/>
        </w:trPr>
        <w:tc>
          <w:tcPr>
            <w:tcW w:w="1440" w:type="dxa"/>
            <w:vAlign w:val="bottom"/>
            <w:tcBorders>
              <w:bottom w:val="single" w:sz="8" w:color="0000EE"/>
            </w:tcBorders>
            <w:gridSpan w:val="3"/>
          </w:tcPr>
          <w:p>
            <w:pPr>
              <w:spacing w:after="0" w:line="192"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LEGAL MATTERS</w:t>
              </w:r>
            </w:hyperlink>
          </w:p>
        </w:tc>
        <w:tc>
          <w:tcPr>
            <w:tcW w:w="9620" w:type="dxa"/>
            <w:vAlign w:val="bottom"/>
            <w:gridSpan w:val="12"/>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28</w:t>
            </w:r>
          </w:p>
        </w:tc>
      </w:tr>
      <w:tr>
        <w:trPr>
          <w:trHeight w:val="192"/>
        </w:trPr>
        <w:tc>
          <w:tcPr>
            <w:tcW w:w="11060" w:type="dxa"/>
            <w:vAlign w:val="bottom"/>
            <w:gridSpan w:val="15"/>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40" w:type="dxa"/>
            <w:vAlign w:val="bottom"/>
            <w:tcBorders>
              <w:bottom w:val="single" w:sz="8" w:color="0000EE"/>
            </w:tcBorders>
            <w:gridSpan w:val="8"/>
          </w:tcPr>
          <w:p>
            <w:pPr>
              <w:spacing w:after="0" w:line="192"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AVAILABLE INFORMATION</w:t>
              </w:r>
            </w:hyperlink>
          </w:p>
        </w:tc>
        <w:tc>
          <w:tcPr>
            <w:tcW w:w="8820" w:type="dxa"/>
            <w:vAlign w:val="bottom"/>
            <w:gridSpan w:val="7"/>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28</w:t>
            </w:r>
          </w:p>
        </w:tc>
      </w:tr>
      <w:tr>
        <w:trPr>
          <w:trHeight w:val="192"/>
        </w:trPr>
        <w:tc>
          <w:tcPr>
            <w:tcW w:w="4980" w:type="dxa"/>
            <w:vAlign w:val="bottom"/>
            <w:tcBorders>
              <w:bottom w:val="single" w:sz="8" w:color="0000EE"/>
            </w:tcBorders>
            <w:gridSpan w:val="12"/>
          </w:tcPr>
          <w:p>
            <w:pPr>
              <w:spacing w:after="0" w:line="192"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INCORPORATION OF CERTAIN DOCUMENTS BY REFERENCE</w:t>
              </w:r>
            </w:hyperlink>
          </w:p>
        </w:tc>
        <w:tc>
          <w:tcPr>
            <w:tcW w:w="6080" w:type="dxa"/>
            <w:vAlign w:val="bottom"/>
            <w:gridSpan w:val="3"/>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29</w:t>
            </w:r>
          </w:p>
        </w:tc>
      </w:tr>
    </w:tbl>
    <w:p>
      <w:pPr>
        <w:spacing w:after="0" w:line="120" w:lineRule="exact"/>
        <w:rPr>
          <w:sz w:val="20"/>
          <w:szCs w:val="20"/>
          <w:color w:val="auto"/>
        </w:rPr>
      </w:pPr>
    </w:p>
    <w:p>
      <w:pPr>
        <w:jc w:val="both"/>
        <w:ind w:right="300" w:firstLine="214"/>
        <w:spacing w:after="0" w:line="330"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31" w:lineRule="exact"/>
        <w:rPr>
          <w:sz w:val="20"/>
          <w:szCs w:val="20"/>
          <w:color w:val="auto"/>
        </w:rPr>
      </w:pPr>
    </w:p>
    <w:p>
      <w:pPr>
        <w:ind w:right="480" w:firstLine="218"/>
        <w:spacing w:after="0" w:line="255"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313295" cy="5830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583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THE COMPANIES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60" w:firstLine="218"/>
        <w:spacing w:after="0" w:line="252"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5" w:lineRule="exact"/>
        <w:rPr>
          <w:sz w:val="20"/>
          <w:szCs w:val="20"/>
          <w:color w:val="auto"/>
        </w:rPr>
      </w:pPr>
    </w:p>
    <w:p>
      <w:pPr>
        <w:ind w:left="160" w:right="160" w:firstLine="218"/>
        <w:spacing w:after="0" w:line="265"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3" w:lineRule="exact"/>
        <w:rPr>
          <w:sz w:val="20"/>
          <w:szCs w:val="20"/>
          <w:color w:val="auto"/>
        </w:rPr>
      </w:pPr>
    </w:p>
    <w:p>
      <w:pPr>
        <w:ind w:left="160" w:right="660" w:firstLine="221"/>
        <w:spacing w:after="0" w:line="265"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3" w:lineRule="exact"/>
        <w:rPr>
          <w:sz w:val="20"/>
          <w:szCs w:val="20"/>
          <w:color w:val="auto"/>
        </w:rPr>
      </w:pPr>
    </w:p>
    <w:p>
      <w:pPr>
        <w:ind w:left="160" w:right="280" w:firstLine="221"/>
        <w:spacing w:after="0" w:line="265"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3" w:lineRule="exact"/>
        <w:rPr>
          <w:sz w:val="20"/>
          <w:szCs w:val="20"/>
          <w:color w:val="auto"/>
        </w:rPr>
      </w:pPr>
    </w:p>
    <w:p>
      <w:pPr>
        <w:ind w:left="160" w:right="20" w:firstLine="221"/>
        <w:spacing w:after="0" w:line="255"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60" w:right="80" w:firstLine="221"/>
        <w:spacing w:after="0" w:line="312"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600" w:right="40" w:hanging="209"/>
        <w:spacing w:after="0" w:line="265" w:lineRule="auto"/>
        <w:tabs>
          <w:tab w:leader="none" w:pos="6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6" w:lineRule="exact"/>
        <w:rPr>
          <w:rFonts w:ascii="Arial" w:cs="Arial" w:eastAsia="Arial" w:hAnsi="Arial"/>
          <w:sz w:val="18"/>
          <w:szCs w:val="18"/>
          <w:b w:val="1"/>
          <w:bCs w:val="1"/>
          <w:color w:val="auto"/>
        </w:rPr>
      </w:pPr>
    </w:p>
    <w:p>
      <w:pPr>
        <w:ind w:left="600" w:hanging="20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left="160" w:right="80" w:firstLine="221"/>
        <w:spacing w:after="0" w:line="265"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5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313295" cy="3919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29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left="160" w:firstLine="221"/>
        <w:spacing w:after="0" w:line="265"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wholly-owned subsidiary of ours.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left="160" w:right="20" w:firstLine="221"/>
        <w:spacing w:after="0" w:line="265"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left="160" w:right="280" w:firstLine="221"/>
        <w:spacing w:after="0" w:line="265"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left="160" w:right="100" w:firstLine="221"/>
        <w:spacing w:after="0" w:line="265"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71" w:lineRule="exact"/>
        <w:rPr>
          <w:sz w:val="20"/>
          <w:szCs w:val="20"/>
          <w:color w:val="auto"/>
        </w:rPr>
      </w:pPr>
    </w:p>
    <w:p>
      <w:pPr>
        <w:ind w:left="160" w:right="80" w:firstLine="221"/>
        <w:spacing w:after="0" w:line="255"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100" w:firstLine="2884"/>
        <w:spacing w:after="0" w:line="368"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8" w:lineRule="exact"/>
        <w:rPr>
          <w:sz w:val="20"/>
          <w:szCs w:val="20"/>
          <w:color w:val="auto"/>
        </w:rPr>
      </w:pPr>
    </w:p>
    <w:p>
      <w:pPr>
        <w:ind w:left="440" w:hanging="209"/>
        <w:spacing w:after="0"/>
        <w:tabs>
          <w:tab w:leader="none" w:pos="4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All of the services offered by our cable systems face a wide range of competition that could adversely affect our future results of operations.</w:t>
      </w:r>
    </w:p>
    <w:p>
      <w:pPr>
        <w:spacing w:after="0" w:line="135" w:lineRule="exact"/>
        <w:rPr>
          <w:rFonts w:ascii="Arial" w:cs="Arial" w:eastAsia="Arial" w:hAnsi="Arial"/>
          <w:sz w:val="17"/>
          <w:szCs w:val="17"/>
          <w:b w:val="1"/>
          <w:bCs w:val="1"/>
          <w:color w:val="auto"/>
        </w:rPr>
      </w:pPr>
    </w:p>
    <w:p>
      <w:pPr>
        <w:ind w:left="440" w:hanging="209"/>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Programming costs are increasing, which could adversely affect our future results of operations.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124" w:lineRule="exact"/>
        <w:rPr>
          <w:rFonts w:ascii="Arial" w:cs="Arial" w:eastAsia="Arial" w:hAnsi="Arial"/>
          <w:sz w:val="18"/>
          <w:szCs w:val="18"/>
          <w:b w:val="1"/>
          <w:bCs w:val="1"/>
          <w:color w:val="auto"/>
        </w:rPr>
      </w:pPr>
    </w:p>
    <w:p>
      <w:pPr>
        <w:ind w:left="440" w:right="380" w:hanging="209"/>
        <w:spacing w:after="0" w:line="265"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We face risks arising from the outcome of various litigation matters, including litigation associated with our acquisition of AT&amp;T’s Broadband operations.</w:t>
      </w:r>
    </w:p>
    <w:p>
      <w:pPr>
        <w:spacing w:after="0" w:line="158" w:lineRule="exact"/>
        <w:rPr>
          <w:rFonts w:ascii="Arial" w:cs="Arial" w:eastAsia="Arial" w:hAnsi="Arial"/>
          <w:sz w:val="15"/>
          <w:szCs w:val="15"/>
          <w:b w:val="1"/>
          <w:bCs w:val="1"/>
          <w:color w:val="auto"/>
        </w:rPr>
      </w:pPr>
    </w:p>
    <w:p>
      <w:pPr>
        <w:ind w:left="440" w:hanging="209"/>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Chairman and CEO has considerable influence over our operations.</w:t>
      </w:r>
    </w:p>
    <w:p>
      <w:pPr>
        <w:spacing w:after="0" w:line="124" w:lineRule="exact"/>
        <w:rPr>
          <w:rFonts w:ascii="Arial" w:cs="Arial" w:eastAsia="Arial" w:hAnsi="Arial"/>
          <w:sz w:val="18"/>
          <w:szCs w:val="18"/>
          <w:b w:val="1"/>
          <w:bCs w:val="1"/>
          <w:color w:val="auto"/>
        </w:rPr>
      </w:pPr>
    </w:p>
    <w:p>
      <w:pPr>
        <w:ind w:left="440" w:right="340" w:hanging="209"/>
        <w:spacing w:after="0" w:line="265"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3" w:lineRule="exact"/>
        <w:rPr>
          <w:sz w:val="20"/>
          <w:szCs w:val="20"/>
          <w:color w:val="auto"/>
        </w:rPr>
      </w:pPr>
    </w:p>
    <w:p>
      <w:pPr>
        <w:ind w:firstLine="221"/>
        <w:spacing w:after="0" w:line="309"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1A—Risk Factors” in our Annual Report on Form 10-K for the year ended December 31, 2005 incorporated herein by reference. Those factors may cause our actual results to differ materially from any of our forward-looking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420" w:firstLine="218"/>
        <w:spacing w:after="0" w:line="277"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17" w:lineRule="exact"/>
        <w:rPr>
          <w:sz w:val="20"/>
          <w:szCs w:val="20"/>
          <w:color w:val="auto"/>
        </w:rPr>
      </w:pPr>
    </w:p>
    <w:p>
      <w:pPr>
        <w:ind w:left="220" w:right="3840" w:firstLine="3617"/>
        <w:spacing w:after="0" w:line="432"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 of earnings to fixed charges was as follows for the respective periods 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2560" w:type="dxa"/>
            <w:vAlign w:val="bottom"/>
            <w:gridSpan w:val="2"/>
            <w:vMerge w:val="restart"/>
          </w:tcPr>
          <w:p>
            <w:pPr>
              <w:jc w:val="right"/>
              <w:ind w:right="512"/>
              <w:spacing w:after="0"/>
              <w:rPr>
                <w:sz w:val="20"/>
                <w:szCs w:val="20"/>
                <w:color w:val="auto"/>
              </w:rPr>
            </w:pPr>
            <w:r>
              <w:rPr>
                <w:rFonts w:ascii="Arial" w:cs="Arial" w:eastAsia="Arial" w:hAnsi="Arial"/>
                <w:sz w:val="14"/>
                <w:szCs w:val="14"/>
                <w:b w:val="1"/>
                <w:bCs w:val="1"/>
                <w:color w:val="auto"/>
              </w:rPr>
              <w:t>2004</w:t>
            </w:r>
          </w:p>
        </w:tc>
        <w:tc>
          <w:tcPr>
            <w:tcW w:w="3640" w:type="dxa"/>
            <w:vAlign w:val="bottom"/>
            <w:gridSpan w:val="3"/>
          </w:tcPr>
          <w:p>
            <w:pPr>
              <w:ind w:left="1020"/>
              <w:spacing w:after="0"/>
              <w:rPr>
                <w:sz w:val="20"/>
                <w:szCs w:val="20"/>
                <w:color w:val="auto"/>
              </w:rPr>
            </w:pPr>
            <w:r>
              <w:rPr>
                <w:rFonts w:ascii="Arial" w:cs="Arial" w:eastAsia="Arial" w:hAnsi="Arial"/>
                <w:sz w:val="14"/>
                <w:szCs w:val="14"/>
                <w:b w:val="1"/>
                <w:bCs w:val="1"/>
                <w:color w:val="auto"/>
              </w:rPr>
              <w:t>For the Years Ended December 31,</w:t>
            </w:r>
          </w:p>
        </w:tc>
        <w:tc>
          <w:tcPr>
            <w:tcW w:w="152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2002</w:t>
            </w:r>
          </w:p>
        </w:tc>
        <w:tc>
          <w:tcPr>
            <w:tcW w:w="2620" w:type="dxa"/>
            <w:vAlign w:val="bottom"/>
            <w:gridSpan w:val="2"/>
            <w:vMerge w:val="restart"/>
          </w:tcPr>
          <w:p>
            <w:pPr>
              <w:jc w:val="right"/>
              <w:ind w:right="5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68"/>
        </w:trPr>
        <w:tc>
          <w:tcPr>
            <w:tcW w:w="108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56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2003</w:t>
            </w:r>
          </w:p>
        </w:tc>
        <w:tc>
          <w:tcPr>
            <w:tcW w:w="10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2.01x</w:t>
            </w:r>
          </w:p>
        </w:tc>
        <w:tc>
          <w:tcPr>
            <w:tcW w:w="108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080" w:type="dxa"/>
            <w:vAlign w:val="bottom"/>
          </w:tcPr>
          <w:p>
            <w:pPr>
              <w:spacing w:after="0"/>
              <w:rPr>
                <w:sz w:val="18"/>
                <w:szCs w:val="18"/>
                <w:color w:val="auto"/>
              </w:rPr>
            </w:pPr>
          </w:p>
        </w:tc>
        <w:tc>
          <w:tcPr>
            <w:tcW w:w="148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1520" w:type="dxa"/>
            <w:vAlign w:val="bottom"/>
            <w:tcBorders>
              <w:top w:val="single" w:sz="8" w:color="auto"/>
            </w:tcBorders>
          </w:tcPr>
          <w:p>
            <w:pPr>
              <w:jc w:val="right"/>
              <w:ind w:right="36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hanging="434"/>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3" w:lineRule="exact"/>
        <w:rPr>
          <w:sz w:val="20"/>
          <w:szCs w:val="20"/>
          <w:color w:val="auto"/>
        </w:rPr>
      </w:pPr>
    </w:p>
    <w:p>
      <w:pPr>
        <w:ind w:right="200" w:firstLine="221"/>
        <w:spacing w:after="0" w:line="298"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1" w:lineRule="exact"/>
        <w:rPr>
          <w:sz w:val="20"/>
          <w:szCs w:val="20"/>
          <w:color w:val="auto"/>
        </w:rPr>
      </w:pPr>
    </w:p>
    <w:p>
      <w:pPr>
        <w:ind w:right="460" w:firstLine="6"/>
        <w:spacing w:after="0" w:line="248"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2560" w:type="dxa"/>
            <w:vAlign w:val="bottom"/>
            <w:gridSpan w:val="2"/>
            <w:vMerge w:val="restart"/>
          </w:tcPr>
          <w:p>
            <w:pPr>
              <w:jc w:val="right"/>
              <w:ind w:right="512"/>
              <w:spacing w:after="0"/>
              <w:rPr>
                <w:sz w:val="20"/>
                <w:szCs w:val="20"/>
                <w:color w:val="auto"/>
              </w:rPr>
            </w:pPr>
            <w:r>
              <w:rPr>
                <w:rFonts w:ascii="Arial" w:cs="Arial" w:eastAsia="Arial" w:hAnsi="Arial"/>
                <w:sz w:val="14"/>
                <w:szCs w:val="14"/>
                <w:b w:val="1"/>
                <w:bCs w:val="1"/>
                <w:color w:val="auto"/>
              </w:rPr>
              <w:t>2004</w:t>
            </w:r>
          </w:p>
        </w:tc>
        <w:tc>
          <w:tcPr>
            <w:tcW w:w="3640" w:type="dxa"/>
            <w:vAlign w:val="bottom"/>
            <w:gridSpan w:val="3"/>
          </w:tcPr>
          <w:p>
            <w:pPr>
              <w:ind w:left="1020"/>
              <w:spacing w:after="0"/>
              <w:rPr>
                <w:sz w:val="20"/>
                <w:szCs w:val="20"/>
                <w:color w:val="auto"/>
              </w:rPr>
            </w:pPr>
            <w:r>
              <w:rPr>
                <w:rFonts w:ascii="Arial" w:cs="Arial" w:eastAsia="Arial" w:hAnsi="Arial"/>
                <w:sz w:val="14"/>
                <w:szCs w:val="14"/>
                <w:b w:val="1"/>
                <w:bCs w:val="1"/>
                <w:color w:val="auto"/>
              </w:rPr>
              <w:t>For the Years Ended December 31,</w:t>
            </w:r>
          </w:p>
        </w:tc>
        <w:tc>
          <w:tcPr>
            <w:tcW w:w="152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2002</w:t>
            </w:r>
          </w:p>
        </w:tc>
        <w:tc>
          <w:tcPr>
            <w:tcW w:w="2620" w:type="dxa"/>
            <w:vAlign w:val="bottom"/>
            <w:gridSpan w:val="2"/>
            <w:vMerge w:val="restart"/>
          </w:tcPr>
          <w:p>
            <w:pPr>
              <w:jc w:val="right"/>
              <w:ind w:right="5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68"/>
        </w:trPr>
        <w:tc>
          <w:tcPr>
            <w:tcW w:w="108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56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2003</w:t>
            </w:r>
          </w:p>
        </w:tc>
        <w:tc>
          <w:tcPr>
            <w:tcW w:w="10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2.01x</w:t>
            </w:r>
          </w:p>
        </w:tc>
        <w:tc>
          <w:tcPr>
            <w:tcW w:w="108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080" w:type="dxa"/>
            <w:vAlign w:val="bottom"/>
          </w:tcPr>
          <w:p>
            <w:pPr>
              <w:spacing w:after="0"/>
              <w:rPr>
                <w:sz w:val="18"/>
                <w:szCs w:val="18"/>
                <w:color w:val="auto"/>
              </w:rPr>
            </w:pPr>
          </w:p>
        </w:tc>
        <w:tc>
          <w:tcPr>
            <w:tcW w:w="148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1520" w:type="dxa"/>
            <w:vAlign w:val="bottom"/>
            <w:tcBorders>
              <w:top w:val="single" w:sz="8" w:color="auto"/>
            </w:tcBorders>
          </w:tcPr>
          <w:p>
            <w:pPr>
              <w:jc w:val="right"/>
              <w:ind w:right="36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13049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14" w:lineRule="exact"/>
        <w:rPr>
          <w:sz w:val="20"/>
          <w:szCs w:val="20"/>
          <w:color w:val="auto"/>
        </w:rPr>
      </w:pPr>
    </w:p>
    <w:p>
      <w:pPr>
        <w:ind w:left="440" w:right="140" w:hanging="434"/>
        <w:spacing w:after="0" w:line="265"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purposes of calculating the ratio of earnings to combined fixed charges and preferred dividends, earnings is the amount resulting from (1) adding</w:t>
      </w:r>
    </w:p>
    <w:p>
      <w:pPr>
        <w:spacing w:after="0" w:line="28" w:lineRule="exact"/>
        <w:rPr>
          <w:sz w:val="20"/>
          <w:szCs w:val="20"/>
          <w:color w:val="auto"/>
        </w:rPr>
      </w:pPr>
    </w:p>
    <w:p>
      <w:pPr>
        <w:ind w:left="240" w:hanging="234"/>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right="120" w:firstLine="6"/>
        <w:spacing w:after="0" w:line="295" w:lineRule="auto"/>
        <w:tabs>
          <w:tab w:leader="none" w:pos="25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jc w:val="both"/>
        <w:ind w:right="140" w:firstLine="6"/>
        <w:spacing w:after="0" w:line="248" w:lineRule="auto"/>
        <w:tabs>
          <w:tab w:leader="none" w:pos="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3" w:lineRule="exact"/>
        <w:rPr>
          <w:sz w:val="20"/>
          <w:szCs w:val="20"/>
          <w:color w:val="auto"/>
        </w:rPr>
      </w:pPr>
    </w:p>
    <w:p>
      <w:pPr>
        <w:ind w:left="440" w:right="480" w:hanging="209"/>
        <w:spacing w:after="0" w:line="265" w:lineRule="auto"/>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86" w:lineRule="exact"/>
        <w:rPr>
          <w:rFonts w:ascii="Arial" w:cs="Arial" w:eastAsia="Arial" w:hAnsi="Arial"/>
          <w:sz w:val="18"/>
          <w:szCs w:val="18"/>
          <w:b w:val="1"/>
          <w:bCs w:val="1"/>
          <w:color w:val="auto"/>
        </w:rPr>
      </w:pPr>
    </w:p>
    <w:p>
      <w:pPr>
        <w:ind w:left="440" w:right="160" w:hanging="209"/>
        <w:spacing w:after="0" w:line="265" w:lineRule="auto"/>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3" w:lineRule="exact"/>
        <w:rPr>
          <w:sz w:val="20"/>
          <w:szCs w:val="20"/>
          <w:color w:val="auto"/>
        </w:rPr>
      </w:pPr>
    </w:p>
    <w:p>
      <w:pPr>
        <w:ind w:right="300" w:firstLine="218"/>
        <w:spacing w:after="0" w:line="265"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3" w:lineRule="exact"/>
        <w:rPr>
          <w:sz w:val="20"/>
          <w:szCs w:val="20"/>
          <w:color w:val="auto"/>
        </w:rPr>
      </w:pPr>
    </w:p>
    <w:p>
      <w:pPr>
        <w:ind w:right="280" w:firstLine="221"/>
        <w:spacing w:after="0" w:line="252"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18"/>
        <w:spacing w:after="0" w:line="269" w:lineRule="auto"/>
        <w:rPr>
          <w:sz w:val="20"/>
          <w:szCs w:val="20"/>
          <w:color w:val="auto"/>
        </w:rPr>
      </w:pPr>
      <w:r>
        <w:rPr>
          <w:rFonts w:ascii="Arial" w:cs="Arial" w:eastAsia="Arial" w:hAnsi="Arial"/>
          <w:sz w:val="17"/>
          <w:szCs w:val="17"/>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71" w:lineRule="exact"/>
        <w:rPr>
          <w:sz w:val="20"/>
          <w:szCs w:val="20"/>
          <w:color w:val="auto"/>
        </w:rPr>
      </w:pPr>
    </w:p>
    <w:p>
      <w:pPr>
        <w:ind w:firstLine="218"/>
        <w:spacing w:after="0" w:line="307" w:lineRule="auto"/>
        <w:rPr>
          <w:sz w:val="20"/>
          <w:szCs w:val="20"/>
          <w:color w:val="auto"/>
        </w:rPr>
      </w:pPr>
      <w:r>
        <w:rPr>
          <w:rFonts w:ascii="Arial" w:cs="Arial" w:eastAsia="Arial" w:hAnsi="Arial"/>
          <w:sz w:val="15"/>
          <w:szCs w:val="15"/>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440" w:hanging="209"/>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designation of the debt securities;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 of the debt securities;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xml:space="preserve"> price) at which the debt securities will be issued;</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hanging="209"/>
        <w:spacing w:after="0" w:line="366" w:lineRule="auto"/>
        <w:tabs>
          <w:tab w:leader="none" w:pos="44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7" w:lineRule="exact"/>
        <w:rPr>
          <w:rFonts w:ascii="Arial" w:cs="Arial" w:eastAsia="Arial" w:hAnsi="Arial"/>
          <w:sz w:val="15"/>
          <w:szCs w:val="15"/>
          <w:b w:val="1"/>
          <w:bCs w:val="1"/>
          <w:color w:val="auto"/>
        </w:rPr>
      </w:pPr>
    </w:p>
    <w:p>
      <w:pPr>
        <w:ind w:left="440" w:hanging="209"/>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right, if any, to extend the interest payment periods and the duration of that extension;</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provisions for a sinking fund purchase or other analogous fund, if any;</w:t>
      </w:r>
    </w:p>
    <w:p>
      <w:pPr>
        <w:spacing w:after="0" w:line="124" w:lineRule="exact"/>
        <w:rPr>
          <w:rFonts w:ascii="Arial" w:cs="Arial" w:eastAsia="Arial" w:hAnsi="Arial"/>
          <w:sz w:val="18"/>
          <w:szCs w:val="18"/>
          <w:b w:val="1"/>
          <w:bCs w:val="1"/>
          <w:color w:val="auto"/>
        </w:rPr>
      </w:pPr>
    </w:p>
    <w:p>
      <w:pPr>
        <w:ind w:left="440" w:right="8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form of the debt securities;</w:t>
      </w:r>
    </w:p>
    <w:p>
      <w:pPr>
        <w:spacing w:after="0" w:line="124" w:lineRule="exact"/>
        <w:rPr>
          <w:rFonts w:ascii="Arial" w:cs="Arial" w:eastAsia="Arial" w:hAnsi="Arial"/>
          <w:sz w:val="18"/>
          <w:szCs w:val="18"/>
          <w:b w:val="1"/>
          <w:bCs w:val="1"/>
          <w:color w:val="auto"/>
        </w:rPr>
      </w:pPr>
    </w:p>
    <w:p>
      <w:pPr>
        <w:ind w:left="440" w:right="20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86" w:lineRule="exact"/>
        <w:rPr>
          <w:rFonts w:ascii="Arial" w:cs="Arial" w:eastAsia="Arial" w:hAnsi="Arial"/>
          <w:sz w:val="18"/>
          <w:szCs w:val="18"/>
          <w:b w:val="1"/>
          <w:bCs w:val="1"/>
          <w:color w:val="auto"/>
        </w:rPr>
      </w:pPr>
    </w:p>
    <w:p>
      <w:pPr>
        <w:ind w:left="440" w:right="50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86" w:lineRule="exact"/>
        <w:rPr>
          <w:rFonts w:ascii="Arial" w:cs="Arial" w:eastAsia="Arial" w:hAnsi="Arial"/>
          <w:sz w:val="18"/>
          <w:szCs w:val="18"/>
          <w:b w:val="1"/>
          <w:bCs w:val="1"/>
          <w:color w:val="auto"/>
        </w:rPr>
      </w:pPr>
    </w:p>
    <w:p>
      <w:pPr>
        <w:ind w:left="44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86" w:lineRule="exact"/>
        <w:rPr>
          <w:rFonts w:ascii="Arial" w:cs="Arial" w:eastAsia="Arial" w:hAnsi="Arial"/>
          <w:sz w:val="18"/>
          <w:szCs w:val="18"/>
          <w:b w:val="1"/>
          <w:bCs w:val="1"/>
          <w:color w:val="auto"/>
        </w:rPr>
      </w:pPr>
    </w:p>
    <w:p>
      <w:pPr>
        <w:ind w:left="44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24" w:lineRule="exact"/>
        <w:rPr>
          <w:rFonts w:ascii="Arial" w:cs="Arial" w:eastAsia="Arial" w:hAnsi="Arial"/>
          <w:sz w:val="18"/>
          <w:szCs w:val="18"/>
          <w:b w:val="1"/>
          <w:bCs w:val="1"/>
          <w:color w:val="auto"/>
        </w:rPr>
      </w:pPr>
    </w:p>
    <w:p>
      <w:pPr>
        <w:ind w:left="440" w:right="340" w:hanging="209"/>
        <w:spacing w:after="0" w:line="26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73" w:lineRule="exact"/>
        <w:rPr>
          <w:sz w:val="20"/>
          <w:szCs w:val="20"/>
          <w:color w:val="auto"/>
        </w:rPr>
      </w:pPr>
    </w:p>
    <w:p>
      <w:pPr>
        <w:ind w:firstLine="214"/>
        <w:spacing w:after="0" w:line="255"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83"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5" w:lineRule="exact"/>
        <w:rPr>
          <w:sz w:val="20"/>
          <w:szCs w:val="20"/>
          <w:color w:val="auto"/>
        </w:rPr>
      </w:pPr>
    </w:p>
    <w:p>
      <w:pPr>
        <w:ind w:right="60" w:firstLine="218"/>
        <w:spacing w:after="0" w:line="249"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1"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440" w:right="160" w:hanging="209"/>
        <w:spacing w:after="0" w:line="265" w:lineRule="auto"/>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1"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3" w:lineRule="exact"/>
        <w:rPr>
          <w:sz w:val="20"/>
          <w:szCs w:val="20"/>
          <w:color w:val="auto"/>
        </w:rPr>
      </w:pPr>
    </w:p>
    <w:p>
      <w:pPr>
        <w:ind w:right="320" w:firstLine="218"/>
        <w:spacing w:after="0" w:line="255"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3"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85" w:lineRule="exact"/>
        <w:rPr>
          <w:sz w:val="20"/>
          <w:szCs w:val="20"/>
          <w:color w:val="auto"/>
        </w:rPr>
      </w:pPr>
    </w:p>
    <w:p>
      <w:pPr>
        <w:ind w:right="320" w:firstLine="221"/>
        <w:spacing w:after="0" w:line="265"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440" w:hanging="209"/>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lease is for a period not in excess of three years, including renewal of rights;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lease secures or relates to industrial revenue or similar financing;</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transaction is solely between us and a cable guarantor or between or among cable guarantors; or</w:t>
      </w:r>
    </w:p>
    <w:p>
      <w:pPr>
        <w:spacing w:after="0" w:line="124" w:lineRule="exact"/>
        <w:rPr>
          <w:rFonts w:ascii="Arial" w:cs="Arial" w:eastAsia="Arial" w:hAnsi="Arial"/>
          <w:sz w:val="18"/>
          <w:szCs w:val="18"/>
          <w:b w:val="1"/>
          <w:bCs w:val="1"/>
          <w:color w:val="auto"/>
        </w:rPr>
      </w:pPr>
    </w:p>
    <w:p>
      <w:pPr>
        <w:ind w:left="440" w:right="60" w:hanging="209"/>
        <w:spacing w:after="0" w:line="255" w:lineRule="auto"/>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76" w:lineRule="exact"/>
        <w:rPr>
          <w:rFonts w:ascii="Arial" w:cs="Arial" w:eastAsia="Arial" w:hAnsi="Arial"/>
          <w:sz w:val="18"/>
          <w:szCs w:val="18"/>
          <w:b w:val="1"/>
          <w:bCs w:val="1"/>
          <w:color w:val="auto"/>
        </w:rPr>
      </w:pPr>
    </w:p>
    <w:p>
      <w:pPr>
        <w:ind w:left="660" w:right="20" w:hanging="212"/>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retirement (or open market purchase) of senior debt securities, our other long-term Indebtedness ranking on a parity with or senior to the senior debt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long-term Indebtedness of a cable guarantor;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ind w:left="660" w:right="160" w:hanging="212"/>
        <w:spacing w:after="0" w:line="272"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by us or any cable guarantor of other property, plant or equipment related to our business or the business of any cable guarantor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value at least equal to the value of the assets or part thereof leased.</w:t>
      </w:r>
    </w:p>
    <w:p>
      <w:pPr>
        <w:spacing w:after="0" w:line="67" w:lineRule="exact"/>
        <w:rPr>
          <w:sz w:val="20"/>
          <w:szCs w:val="20"/>
          <w:color w:val="auto"/>
        </w:rPr>
      </w:pPr>
    </w:p>
    <w:p>
      <w:pPr>
        <w:ind w:right="120" w:firstLine="218"/>
        <w:spacing w:after="0" w:line="265"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67" w:lineRule="exact"/>
        <w:rPr>
          <w:sz w:val="20"/>
          <w:szCs w:val="20"/>
          <w:color w:val="auto"/>
        </w:rPr>
      </w:pPr>
    </w:p>
    <w:p>
      <w:pPr>
        <w:ind w:right="18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2" w:lineRule="exact"/>
        <w:rPr>
          <w:sz w:val="20"/>
          <w:szCs w:val="20"/>
          <w:color w:val="auto"/>
        </w:rPr>
      </w:pPr>
    </w:p>
    <w:p>
      <w:pPr>
        <w:ind w:right="14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72" w:lineRule="exact"/>
        <w:rPr>
          <w:sz w:val="20"/>
          <w:szCs w:val="20"/>
          <w:color w:val="auto"/>
        </w:rPr>
      </w:pPr>
    </w:p>
    <w:p>
      <w:pPr>
        <w:ind w:right="40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61"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80" w:lineRule="exact"/>
        <w:rPr>
          <w:sz w:val="20"/>
          <w:szCs w:val="20"/>
          <w:color w:val="auto"/>
        </w:rPr>
      </w:pPr>
    </w:p>
    <w:p>
      <w:pPr>
        <w:ind w:right="300" w:firstLine="221"/>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Guarantee</w:t>
      </w:r>
      <w:r>
        <w:rPr>
          <w:rFonts w:ascii="Arial" w:cs="Arial" w:eastAsia="Arial" w:hAnsi="Arial"/>
          <w:sz w:val="15"/>
          <w:szCs w:val="15"/>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7" w:lineRule="exact"/>
        <w:rPr>
          <w:sz w:val="20"/>
          <w:szCs w:val="20"/>
          <w:color w:val="auto"/>
        </w:rPr>
      </w:pPr>
    </w:p>
    <w:p>
      <w:pPr>
        <w:ind w:left="440" w:hanging="209"/>
        <w:spacing w:after="0" w:line="255" w:lineRule="auto"/>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95" w:lineRule="exact"/>
        <w:rPr>
          <w:rFonts w:ascii="Arial" w:cs="Arial" w:eastAsia="Arial" w:hAnsi="Arial"/>
          <w:sz w:val="18"/>
          <w:szCs w:val="18"/>
          <w:b w:val="1"/>
          <w:bCs w:val="1"/>
          <w:color w:val="auto"/>
        </w:rPr>
      </w:pPr>
    </w:p>
    <w:p>
      <w:pPr>
        <w:ind w:left="440" w:right="300" w:hanging="209"/>
        <w:spacing w:after="0" w:line="265" w:lineRule="auto"/>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3"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117" w:lineRule="exact"/>
        <w:rPr>
          <w:sz w:val="20"/>
          <w:szCs w:val="20"/>
          <w:color w:val="auto"/>
        </w:rPr>
      </w:pPr>
    </w:p>
    <w:p>
      <w:pPr>
        <w:ind w:left="440" w:hanging="20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indebtedness of such person for borrowed money;</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obligations of such person evidenced by bonds, debentures, notes, or other similar instruments;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all obligations of such person in respect of letters of credit or other similar instruments (including reimbursement obligations with respect thereto);</w:t>
      </w:r>
    </w:p>
    <w:p>
      <w:pPr>
        <w:spacing w:after="0" w:line="135" w:lineRule="exact"/>
        <w:rPr>
          <w:rFonts w:ascii="Arial" w:cs="Arial" w:eastAsia="Arial" w:hAnsi="Arial"/>
          <w:sz w:val="17"/>
          <w:szCs w:val="17"/>
          <w:b w:val="1"/>
          <w:bCs w:val="1"/>
          <w:color w:val="auto"/>
        </w:rPr>
      </w:pPr>
    </w:p>
    <w:p>
      <w:pPr>
        <w:ind w:left="440" w:right="480" w:hanging="209"/>
        <w:spacing w:after="0" w:line="265"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obligations of such person as lessee under Capitalized Leases;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right="280" w:hanging="209"/>
        <w:spacing w:after="0" w:line="265" w:lineRule="auto"/>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6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fair market value of such asset at such date of determination; and</w:t>
      </w:r>
    </w:p>
    <w:p>
      <w:pPr>
        <w:spacing w:after="0" w:line="12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such Indebtedness;</w:t>
      </w:r>
    </w:p>
    <w:p>
      <w:pPr>
        <w:spacing w:after="0" w:line="117" w:lineRule="exact"/>
        <w:rPr>
          <w:rFonts w:ascii="Arial" w:cs="Arial" w:eastAsia="Arial" w:hAnsi="Arial"/>
          <w:sz w:val="18"/>
          <w:szCs w:val="18"/>
          <w:b w:val="1"/>
          <w:bCs w:val="1"/>
          <w:color w:val="auto"/>
        </w:rPr>
      </w:pPr>
    </w:p>
    <w:p>
      <w:pPr>
        <w:ind w:left="440" w:hanging="20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all Indebtedness of other persons to the extent Guaranteed by such person;</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340" w:firstLine="221"/>
        <w:spacing w:after="0" w:line="265"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3" w:lineRule="exact"/>
        <w:rPr>
          <w:sz w:val="20"/>
          <w:szCs w:val="20"/>
          <w:color w:val="auto"/>
        </w:rPr>
      </w:pPr>
    </w:p>
    <w:p>
      <w:pPr>
        <w:ind w:right="220" w:firstLine="218"/>
        <w:spacing w:after="0" w:line="364"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7" w:lineRule="exact"/>
        <w:rPr>
          <w:sz w:val="20"/>
          <w:szCs w:val="20"/>
          <w:color w:val="auto"/>
        </w:rPr>
      </w:pPr>
    </w:p>
    <w:p>
      <w:pPr>
        <w:ind w:left="440" w:right="60" w:hanging="209"/>
        <w:spacing w:after="0" w:line="294" w:lineRule="auto"/>
        <w:tabs>
          <w:tab w:leader="none" w:pos="4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64" w:lineRule="exact"/>
        <w:rPr>
          <w:rFonts w:ascii="Arial" w:cs="Arial" w:eastAsia="Arial" w:hAnsi="Arial"/>
          <w:sz w:val="17"/>
          <w:szCs w:val="17"/>
          <w:b w:val="1"/>
          <w:bCs w:val="1"/>
          <w:color w:val="auto"/>
        </w:rPr>
      </w:pPr>
    </w:p>
    <w:p>
      <w:pPr>
        <w:ind w:left="440" w:hanging="209"/>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21"/>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Rate Agreements</w:t>
      </w:r>
      <w:r>
        <w:rPr>
          <w:rFonts w:ascii="Arial" w:cs="Arial" w:eastAsia="Arial" w:hAnsi="Arial"/>
          <w:sz w:val="15"/>
          <w:szCs w:val="15"/>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8" w:lineRule="exact"/>
        <w:rPr>
          <w:sz w:val="20"/>
          <w:szCs w:val="20"/>
          <w:color w:val="auto"/>
        </w:rPr>
      </w:pPr>
    </w:p>
    <w:p>
      <w:pPr>
        <w:ind w:right="160" w:firstLine="2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40" w:hanging="20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Lien on any asset incurred prior to the date of the senior indenture;</w:t>
      </w:r>
    </w:p>
    <w:p>
      <w:pPr>
        <w:spacing w:after="0" w:line="124" w:lineRule="exact"/>
        <w:rPr>
          <w:rFonts w:ascii="Arial" w:cs="Arial" w:eastAsia="Arial" w:hAnsi="Arial"/>
          <w:sz w:val="18"/>
          <w:szCs w:val="18"/>
          <w:b w:val="1"/>
          <w:bCs w:val="1"/>
          <w:color w:val="auto"/>
        </w:rPr>
      </w:pPr>
    </w:p>
    <w:p>
      <w:pPr>
        <w:ind w:left="440" w:right="160" w:hanging="209"/>
        <w:spacing w:after="0" w:line="318" w:lineRule="auto"/>
        <w:tabs>
          <w:tab w:leader="none" w:pos="440" w:val="left"/>
        </w:tabs>
        <w:numPr>
          <w:ilvl w:val="0"/>
          <w:numId w:val="20"/>
        </w:numPr>
        <w:rPr>
          <w:rFonts w:ascii="Arial" w:cs="Arial" w:eastAsia="Arial" w:hAnsi="Arial"/>
          <w:sz w:val="15"/>
          <w:szCs w:val="15"/>
          <w:b w:val="1"/>
          <w:bCs w:val="1"/>
          <w:color w:val="auto"/>
        </w:rPr>
      </w:pPr>
      <w:r>
        <w:rPr>
          <w:rFonts w:ascii="Arial" w:cs="Arial" w:eastAsia="Arial" w:hAnsi="Arial"/>
          <w:sz w:val="15"/>
          <w:szCs w:val="15"/>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53" w:lineRule="exact"/>
        <w:rPr>
          <w:rFonts w:ascii="Arial" w:cs="Arial" w:eastAsia="Arial" w:hAnsi="Arial"/>
          <w:sz w:val="15"/>
          <w:szCs w:val="15"/>
          <w:b w:val="1"/>
          <w:bCs w:val="1"/>
          <w:color w:val="auto"/>
        </w:rPr>
      </w:pPr>
    </w:p>
    <w:p>
      <w:pPr>
        <w:ind w:left="440" w:hanging="209"/>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Lien on any assets in favor of us or any cable guarantor;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right="420" w:hanging="209"/>
        <w:spacing w:after="0" w:line="265" w:lineRule="auto"/>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86" w:lineRule="exact"/>
        <w:rPr>
          <w:rFonts w:ascii="Arial" w:cs="Arial" w:eastAsia="Arial" w:hAnsi="Arial"/>
          <w:sz w:val="18"/>
          <w:szCs w:val="18"/>
          <w:b w:val="1"/>
          <w:bCs w:val="1"/>
          <w:color w:val="auto"/>
        </w:rPr>
      </w:pPr>
    </w:p>
    <w:p>
      <w:pPr>
        <w:ind w:left="440" w:right="100" w:hanging="209"/>
        <w:spacing w:after="0" w:line="265" w:lineRule="auto"/>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86" w:lineRule="exact"/>
        <w:rPr>
          <w:rFonts w:ascii="Arial" w:cs="Arial" w:eastAsia="Arial" w:hAnsi="Arial"/>
          <w:sz w:val="18"/>
          <w:szCs w:val="18"/>
          <w:b w:val="1"/>
          <w:bCs w:val="1"/>
          <w:color w:val="auto"/>
        </w:rPr>
      </w:pPr>
    </w:p>
    <w:p>
      <w:pPr>
        <w:ind w:left="440" w:right="100" w:hanging="209"/>
        <w:spacing w:after="0" w:line="255" w:lineRule="auto"/>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7" w:lineRule="exact"/>
        <w:rPr>
          <w:sz w:val="20"/>
          <w:szCs w:val="20"/>
          <w:color w:val="auto"/>
        </w:rPr>
      </w:pPr>
    </w:p>
    <w:p>
      <w:pPr>
        <w:ind w:right="20" w:firstLine="2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84" w:lineRule="exact"/>
        <w:rPr>
          <w:sz w:val="20"/>
          <w:szCs w:val="20"/>
          <w:color w:val="auto"/>
        </w:rPr>
      </w:pPr>
    </w:p>
    <w:p>
      <w:pPr>
        <w:ind w:right="160" w:firstLine="221"/>
        <w:spacing w:after="0" w:line="271" w:lineRule="auto"/>
        <w:rPr>
          <w:sz w:val="20"/>
          <w:szCs w:val="20"/>
          <w:color w:val="auto"/>
        </w:rPr>
      </w:pPr>
      <w:r>
        <w:rPr>
          <w:rFonts w:ascii="Arial" w:cs="Arial" w:eastAsia="Arial" w:hAnsi="Arial"/>
          <w:sz w:val="17"/>
          <w:szCs w:val="17"/>
          <w:i w:val="1"/>
          <w:iCs w:val="1"/>
          <w:color w:val="auto"/>
        </w:rPr>
        <w:t xml:space="preserve">Financial Information. </w:t>
      </w:r>
      <w:r>
        <w:rPr>
          <w:rFonts w:ascii="Arial" w:cs="Arial" w:eastAsia="Arial" w:hAnsi="Arial"/>
          <w:sz w:val="17"/>
          <w:szCs w:val="17"/>
          <w:color w:val="auto"/>
        </w:rPr>
        <w:t>We will file, whether or not required to do so under applicable law, with the trustee, within 15 days after being required to file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72" w:lineRule="exact"/>
        <w:rPr>
          <w:sz w:val="20"/>
          <w:szCs w:val="20"/>
          <w:color w:val="auto"/>
        </w:rPr>
      </w:pPr>
    </w:p>
    <w:p>
      <w:pPr>
        <w:ind w:right="40" w:firstLine="221"/>
        <w:spacing w:after="0" w:line="318"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The senior indenture restricts our ability to consolidate with, merge with or into, or sell, convey, transfer, lease,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40" w:lineRule="exact"/>
        <w:rPr>
          <w:sz w:val="20"/>
          <w:szCs w:val="20"/>
          <w:color w:val="auto"/>
        </w:rPr>
      </w:pPr>
    </w:p>
    <w:p>
      <w:pPr>
        <w:ind w:left="440" w:hanging="209"/>
        <w:spacing w:after="0" w:line="252"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8" w:lineRule="exact"/>
        <w:rPr>
          <w:rFonts w:ascii="Arial" w:cs="Arial" w:eastAsia="Arial" w:hAnsi="Arial"/>
          <w:sz w:val="18"/>
          <w:szCs w:val="18"/>
          <w:b w:val="1"/>
          <w:bCs w:val="1"/>
          <w:color w:val="auto"/>
        </w:rPr>
      </w:pPr>
    </w:p>
    <w:p>
      <w:pPr>
        <w:ind w:left="440" w:hanging="209"/>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24" w:lineRule="exact"/>
        <w:rPr>
          <w:rFonts w:ascii="Arial" w:cs="Arial" w:eastAsia="Arial" w:hAnsi="Arial"/>
          <w:sz w:val="18"/>
          <w:szCs w:val="18"/>
          <w:b w:val="1"/>
          <w:bCs w:val="1"/>
          <w:color w:val="auto"/>
        </w:rPr>
      </w:pPr>
    </w:p>
    <w:p>
      <w:pPr>
        <w:ind w:left="440" w:right="520" w:hanging="209"/>
        <w:spacing w:after="0" w:line="255"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83"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3" w:lineRule="exact"/>
        <w:rPr>
          <w:sz w:val="20"/>
          <w:szCs w:val="20"/>
          <w:color w:val="auto"/>
        </w:rPr>
      </w:pPr>
    </w:p>
    <w:p>
      <w:pPr>
        <w:ind w:right="60" w:firstLine="218"/>
        <w:spacing w:after="0" w:line="255" w:lineRule="auto"/>
        <w:rPr>
          <w:sz w:val="20"/>
          <w:szCs w:val="20"/>
          <w:color w:val="auto"/>
        </w:rPr>
      </w:pPr>
      <w:r>
        <w:rPr>
          <w:rFonts w:ascii="Arial" w:cs="Arial" w:eastAsia="Arial" w:hAnsi="Arial"/>
          <w:sz w:val="18"/>
          <w:szCs w:val="18"/>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any person, that cable guarantor will be deemed released from all its obligations under the senior indenture and its cable guarantee.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1"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left="120" w:right="340" w:firstLine="221"/>
        <w:spacing w:after="0" w:line="265" w:lineRule="auto"/>
        <w:tabs>
          <w:tab w:leader="none" w:pos="5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3" w:lineRule="exact"/>
        <w:rPr>
          <w:rFonts w:ascii="Arial" w:cs="Arial" w:eastAsia="Arial" w:hAnsi="Arial"/>
          <w:sz w:val="18"/>
          <w:szCs w:val="18"/>
          <w:color w:val="auto"/>
        </w:rPr>
      </w:pPr>
    </w:p>
    <w:p>
      <w:pPr>
        <w:ind w:right="340" w:firstLine="227"/>
        <w:spacing w:after="0" w:line="265" w:lineRule="auto"/>
        <w:tabs>
          <w:tab w:leader="none" w:pos="4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73" w:lineRule="exact"/>
        <w:rPr>
          <w:rFonts w:ascii="Arial" w:cs="Arial" w:eastAsia="Arial" w:hAnsi="Arial"/>
          <w:sz w:val="18"/>
          <w:szCs w:val="18"/>
          <w:color w:val="auto"/>
        </w:rPr>
      </w:pPr>
    </w:p>
    <w:p>
      <w:pPr>
        <w:ind w:firstLine="227"/>
        <w:spacing w:after="0" w:line="277" w:lineRule="auto"/>
        <w:tabs>
          <w:tab w:leader="none" w:pos="4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65" w:lineRule="exact"/>
        <w:rPr>
          <w:rFonts w:ascii="Arial" w:cs="Arial" w:eastAsia="Arial" w:hAnsi="Arial"/>
          <w:sz w:val="17"/>
          <w:szCs w:val="17"/>
          <w:color w:val="auto"/>
        </w:rPr>
      </w:pPr>
    </w:p>
    <w:p>
      <w:pPr>
        <w:ind w:left="480" w:hanging="253"/>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1" w:lineRule="exact"/>
        <w:rPr>
          <w:rFonts w:ascii="Arial" w:cs="Arial" w:eastAsia="Arial" w:hAnsi="Arial"/>
          <w:sz w:val="18"/>
          <w:szCs w:val="18"/>
          <w:color w:val="auto"/>
        </w:rPr>
      </w:pPr>
    </w:p>
    <w:p>
      <w:pPr>
        <w:ind w:left="480" w:hanging="253"/>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1" w:lineRule="exact"/>
        <w:rPr>
          <w:sz w:val="20"/>
          <w:szCs w:val="20"/>
          <w:color w:val="auto"/>
        </w:rPr>
      </w:pPr>
    </w:p>
    <w:p>
      <w:pPr>
        <w:ind w:left="660" w:hanging="203"/>
        <w:spacing w:after="0"/>
        <w:tabs>
          <w:tab w:leader="none" w:pos="660" w:val="left"/>
        </w:tabs>
        <w:numPr>
          <w:ilvl w:val="1"/>
          <w:numId w:val="25"/>
        </w:numPr>
        <w:rPr>
          <w:rFonts w:ascii="Arial" w:cs="Arial" w:eastAsia="Arial" w:hAnsi="Arial"/>
          <w:sz w:val="15"/>
          <w:szCs w:val="15"/>
          <w:b w:val="1"/>
          <w:bCs w:val="1"/>
          <w:color w:val="auto"/>
        </w:rPr>
      </w:pPr>
      <w:r>
        <w:rPr>
          <w:rFonts w:ascii="Arial" w:cs="Arial" w:eastAsia="Arial" w:hAnsi="Arial"/>
          <w:sz w:val="15"/>
          <w:szCs w:val="15"/>
          <w:color w:val="auto"/>
        </w:rPr>
        <w:t>relief in respect of any Obligor in an involuntary case under any applicable bankruptcy, insolvency, or other similar law now or hereafter in effect;</w:t>
      </w:r>
    </w:p>
    <w:p>
      <w:pPr>
        <w:spacing w:after="0" w:line="158" w:lineRule="exact"/>
        <w:rPr>
          <w:rFonts w:ascii="Arial" w:cs="Arial" w:eastAsia="Arial" w:hAnsi="Arial"/>
          <w:sz w:val="15"/>
          <w:szCs w:val="15"/>
          <w:b w:val="1"/>
          <w:bCs w:val="1"/>
          <w:color w:val="auto"/>
        </w:rPr>
      </w:pPr>
    </w:p>
    <w:p>
      <w:pPr>
        <w:ind w:left="660" w:right="360" w:hanging="203"/>
        <w:spacing w:after="0" w:line="265" w:lineRule="auto"/>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86" w:lineRule="exact"/>
        <w:rPr>
          <w:rFonts w:ascii="Arial" w:cs="Arial" w:eastAsia="Arial" w:hAnsi="Arial"/>
          <w:sz w:val="18"/>
          <w:szCs w:val="18"/>
          <w:b w:val="1"/>
          <w:bCs w:val="1"/>
          <w:color w:val="auto"/>
        </w:rPr>
      </w:pPr>
    </w:p>
    <w:p>
      <w:pPr>
        <w:ind w:left="660" w:right="20" w:hanging="203"/>
        <w:spacing w:after="0" w:line="265" w:lineRule="auto"/>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3" w:lineRule="exact"/>
        <w:rPr>
          <w:rFonts w:ascii="Arial" w:cs="Arial" w:eastAsia="Arial" w:hAnsi="Arial"/>
          <w:sz w:val="18"/>
          <w:szCs w:val="18"/>
          <w:b w:val="1"/>
          <w:bCs w:val="1"/>
          <w:color w:val="auto"/>
        </w:rPr>
      </w:pPr>
    </w:p>
    <w:p>
      <w:pPr>
        <w:ind w:left="480" w:hanging="253"/>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1" w:lineRule="exact"/>
        <w:rPr>
          <w:rFonts w:ascii="Arial" w:cs="Arial" w:eastAsia="Arial" w:hAnsi="Arial"/>
          <w:sz w:val="18"/>
          <w:szCs w:val="18"/>
          <w:color w:val="auto"/>
        </w:rPr>
      </w:pPr>
    </w:p>
    <w:p>
      <w:pPr>
        <w:ind w:left="660" w:right="60" w:hanging="203"/>
        <w:spacing w:after="0" w:line="265" w:lineRule="auto"/>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86" w:lineRule="exact"/>
        <w:rPr>
          <w:rFonts w:ascii="Arial" w:cs="Arial" w:eastAsia="Arial" w:hAnsi="Arial"/>
          <w:sz w:val="18"/>
          <w:szCs w:val="18"/>
          <w:b w:val="1"/>
          <w:bCs w:val="1"/>
          <w:color w:val="auto"/>
        </w:rPr>
      </w:pPr>
    </w:p>
    <w:p>
      <w:pPr>
        <w:ind w:left="660" w:right="140" w:hanging="203"/>
        <w:spacing w:after="0" w:line="265" w:lineRule="auto"/>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86" w:lineRule="exact"/>
        <w:rPr>
          <w:rFonts w:ascii="Arial" w:cs="Arial" w:eastAsia="Arial" w:hAnsi="Arial"/>
          <w:sz w:val="18"/>
          <w:szCs w:val="18"/>
          <w:b w:val="1"/>
          <w:bCs w:val="1"/>
          <w:color w:val="auto"/>
        </w:rPr>
      </w:pPr>
    </w:p>
    <w:p>
      <w:pPr>
        <w:ind w:left="660" w:hanging="203"/>
        <w:spacing w:after="0"/>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effects any general assignment for the benefit of creditors.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1"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payable. The amount due upon acceleration shall include only the original issue price of the senior debt securities and accrued interest to the date of acceleration, if any.</w:t>
      </w:r>
    </w:p>
    <w:p>
      <w:pPr>
        <w:spacing w:after="0" w:line="73" w:lineRule="exact"/>
        <w:rPr>
          <w:sz w:val="20"/>
          <w:szCs w:val="20"/>
          <w:color w:val="auto"/>
        </w:rPr>
      </w:pPr>
    </w:p>
    <w:p>
      <w:pPr>
        <w:ind w:right="20" w:firstLine="221"/>
        <w:spacing w:after="0" w:line="303" w:lineRule="auto"/>
        <w:rPr>
          <w:sz w:val="20"/>
          <w:szCs w:val="20"/>
          <w:color w:val="auto"/>
        </w:rPr>
      </w:pPr>
      <w:r>
        <w:rPr>
          <w:rFonts w:ascii="Arial" w:cs="Arial" w:eastAsia="Arial" w:hAnsi="Arial"/>
          <w:sz w:val="15"/>
          <w:szCs w:val="15"/>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50" w:lineRule="exact"/>
        <w:rPr>
          <w:sz w:val="20"/>
          <w:szCs w:val="20"/>
          <w:color w:val="auto"/>
        </w:rPr>
      </w:pPr>
    </w:p>
    <w:p>
      <w:pPr>
        <w:ind w:right="20" w:firstLine="218"/>
        <w:spacing w:after="0" w:line="309" w:lineRule="auto"/>
        <w:rPr>
          <w:sz w:val="20"/>
          <w:szCs w:val="20"/>
          <w:color w:val="auto"/>
        </w:rPr>
      </w:pPr>
      <w:r>
        <w:rPr>
          <w:rFonts w:ascii="Arial" w:cs="Arial" w:eastAsia="Arial" w:hAnsi="Arial"/>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46" w:lineRule="exact"/>
        <w:rPr>
          <w:sz w:val="20"/>
          <w:szCs w:val="20"/>
          <w:color w:val="auto"/>
        </w:rPr>
      </w:pPr>
    </w:p>
    <w:p>
      <w:pPr>
        <w:ind w:left="440" w:hanging="20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holder gives the trustee written notice of a continuing event of default;</w:t>
      </w:r>
    </w:p>
    <w:p>
      <w:pPr>
        <w:spacing w:after="0" w:line="124" w:lineRule="exact"/>
        <w:rPr>
          <w:rFonts w:ascii="Arial" w:cs="Arial" w:eastAsia="Arial" w:hAnsi="Arial"/>
          <w:sz w:val="18"/>
          <w:szCs w:val="18"/>
          <w:b w:val="1"/>
          <w:bCs w:val="1"/>
          <w:color w:val="auto"/>
        </w:rPr>
      </w:pPr>
    </w:p>
    <w:p>
      <w:pPr>
        <w:ind w:left="440" w:right="40" w:hanging="209"/>
        <w:spacing w:after="0" w:line="265" w:lineRule="auto"/>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18"/>
        <w:spacing w:after="0" w:line="300" w:lineRule="auto"/>
        <w:rPr>
          <w:sz w:val="20"/>
          <w:szCs w:val="20"/>
          <w:color w:val="auto"/>
        </w:rPr>
      </w:pPr>
      <w:r>
        <w:rPr>
          <w:rFonts w:ascii="Arial" w:cs="Arial" w:eastAsia="Arial" w:hAnsi="Arial"/>
          <w:sz w:val="15"/>
          <w:szCs w:val="15"/>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1" w:lineRule="exact"/>
        <w:rPr>
          <w:sz w:val="20"/>
          <w:szCs w:val="20"/>
          <w:color w:val="auto"/>
        </w:rPr>
      </w:pPr>
    </w:p>
    <w:p>
      <w:pPr>
        <w:ind w:right="200" w:firstLine="218"/>
        <w:spacing w:after="0" w:line="265"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73" w:lineRule="exact"/>
        <w:rPr>
          <w:sz w:val="20"/>
          <w:szCs w:val="20"/>
          <w:color w:val="auto"/>
        </w:rPr>
      </w:pPr>
    </w:p>
    <w:p>
      <w:pPr>
        <w:ind w:left="440" w:right="520" w:hanging="209"/>
        <w:spacing w:after="0" w:line="265"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right="240" w:hanging="209"/>
        <w:spacing w:after="0" w:line="265" w:lineRule="auto"/>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67" w:lineRule="exact"/>
        <w:rPr>
          <w:rFonts w:ascii="Arial" w:cs="Arial" w:eastAsia="Arial" w:hAnsi="Arial"/>
          <w:sz w:val="18"/>
          <w:szCs w:val="18"/>
          <w:b w:val="1"/>
          <w:bCs w:val="1"/>
          <w:color w:val="auto"/>
        </w:rPr>
      </w:pPr>
    </w:p>
    <w:p>
      <w:pPr>
        <w:ind w:left="660" w:hanging="212"/>
        <w:spacing w:after="0" w:line="26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we irrevocably deposit in trust with the trustee, as trust funds solely for the benefit of the holders of the senior debt securities of the affected series,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82" w:lineRule="exact"/>
        <w:rPr>
          <w:rFonts w:ascii="Arial" w:cs="Arial" w:eastAsia="Arial" w:hAnsi="Arial"/>
          <w:sz w:val="18"/>
          <w:szCs w:val="18"/>
          <w:b w:val="1"/>
          <w:bCs w:val="1"/>
          <w:color w:val="auto"/>
        </w:rPr>
      </w:pPr>
    </w:p>
    <w:p>
      <w:pPr>
        <w:ind w:left="660" w:right="240" w:hanging="212"/>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we deliver to the trustee an officers’ certificate and an opinion of counsel, in each case stating that all conditions precedent provided for in the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relating to the satisfaction and discharge of the senior indenture with respect to the senior debt securities of the affected series have been complied with.</w:t>
      </w:r>
    </w:p>
    <w:p>
      <w:pPr>
        <w:spacing w:after="0" w:line="78" w:lineRule="exact"/>
        <w:rPr>
          <w:sz w:val="20"/>
          <w:szCs w:val="20"/>
          <w:color w:val="auto"/>
        </w:rPr>
      </w:pPr>
    </w:p>
    <w:p>
      <w:pPr>
        <w:ind w:right="100" w:firstLine="218"/>
        <w:spacing w:after="0" w:line="264"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1" w:lineRule="exact"/>
        <w:rPr>
          <w:sz w:val="20"/>
          <w:szCs w:val="20"/>
          <w:color w:val="auto"/>
        </w:rPr>
      </w:pPr>
    </w:p>
    <w:p>
      <w:pPr>
        <w:ind w:left="440" w:right="260" w:hanging="209"/>
        <w:spacing w:after="0" w:line="366" w:lineRule="auto"/>
        <w:tabs>
          <w:tab w:leader="none" w:pos="44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7" w:lineRule="exact"/>
        <w:rPr>
          <w:rFonts w:ascii="Arial" w:cs="Arial" w:eastAsia="Arial" w:hAnsi="Arial"/>
          <w:sz w:val="15"/>
          <w:szCs w:val="15"/>
          <w:b w:val="1"/>
          <w:bCs w:val="1"/>
          <w:color w:val="auto"/>
        </w:rPr>
      </w:pPr>
    </w:p>
    <w:p>
      <w:pPr>
        <w:ind w:left="440" w:right="180" w:hanging="209"/>
        <w:spacing w:after="0" w:line="255" w:lineRule="auto"/>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1" w:lineRule="exact"/>
        <w:rPr>
          <w:sz w:val="20"/>
          <w:szCs w:val="20"/>
          <w:color w:val="auto"/>
        </w:rPr>
      </w:pPr>
    </w:p>
    <w:p>
      <w:pPr>
        <w:ind w:left="440" w:right="320" w:hanging="209"/>
        <w:spacing w:after="0" w:line="309" w:lineRule="auto"/>
        <w:tabs>
          <w:tab w:leader="none" w:pos="44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right="540" w:hanging="209"/>
        <w:spacing w:after="0" w:line="265" w:lineRule="auto"/>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no default or event of default with respect to the senior debt securities of such series shall have occurred and be continuing on the date of such deposit;</w:t>
      </w:r>
    </w:p>
    <w:p>
      <w:pPr>
        <w:spacing w:after="0" w:line="158" w:lineRule="exact"/>
        <w:rPr>
          <w:rFonts w:ascii="Arial" w:cs="Arial" w:eastAsia="Arial" w:hAnsi="Arial"/>
          <w:sz w:val="15"/>
          <w:szCs w:val="15"/>
          <w:b w:val="1"/>
          <w:bCs w:val="1"/>
          <w:color w:val="auto"/>
        </w:rPr>
      </w:pPr>
    </w:p>
    <w:p>
      <w:pPr>
        <w:ind w:left="440" w:hanging="209"/>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we shall have delivered to the trustee:</w:t>
      </w:r>
    </w:p>
    <w:p>
      <w:pPr>
        <w:spacing w:after="0" w:line="105" w:lineRule="exact"/>
        <w:rPr>
          <w:rFonts w:ascii="Arial" w:cs="Arial" w:eastAsia="Arial" w:hAnsi="Arial"/>
          <w:sz w:val="18"/>
          <w:szCs w:val="18"/>
          <w:b w:val="1"/>
          <w:bCs w:val="1"/>
          <w:color w:val="auto"/>
        </w:rPr>
      </w:pPr>
    </w:p>
    <w:p>
      <w:pPr>
        <w:ind w:left="660" w:hanging="212"/>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either an opinion of counsel that the holders of the senior debt securities of such series will not recognize income, gain or loss for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93" w:lineRule="exact"/>
        <w:rPr>
          <w:rFonts w:ascii="Arial" w:cs="Arial" w:eastAsia="Arial" w:hAnsi="Arial"/>
          <w:sz w:val="18"/>
          <w:szCs w:val="18"/>
          <w:b w:val="1"/>
          <w:bCs w:val="1"/>
          <w:color w:val="auto"/>
        </w:rPr>
      </w:pPr>
    </w:p>
    <w:p>
      <w:pPr>
        <w:ind w:left="660" w:right="20" w:hanging="212"/>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an opinion of counsel that the holders of the senior debt securities of such series have a valid security interest in the trust funds subject to no prior liens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Uniform Commercial Code; and</w:t>
      </w:r>
    </w:p>
    <w:p>
      <w:pPr>
        <w:spacing w:after="0" w:line="67" w:lineRule="exact"/>
        <w:rPr>
          <w:rFonts w:ascii="Arial" w:cs="Arial" w:eastAsia="Arial" w:hAnsi="Arial"/>
          <w:sz w:val="18"/>
          <w:szCs w:val="18"/>
          <w:b w:val="1"/>
          <w:bCs w:val="1"/>
          <w:color w:val="auto"/>
        </w:rPr>
      </w:pPr>
    </w:p>
    <w:p>
      <w:pPr>
        <w:ind w:left="440" w:right="340" w:hanging="209"/>
        <w:spacing w:after="0" w:line="294" w:lineRule="auto"/>
        <w:tabs>
          <w:tab w:leader="none" w:pos="4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51"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3" w:lineRule="exact"/>
        <w:rPr>
          <w:sz w:val="20"/>
          <w:szCs w:val="20"/>
          <w:color w:val="auto"/>
        </w:rPr>
      </w:pPr>
    </w:p>
    <w:p>
      <w:pPr>
        <w:ind w:left="440" w:right="460" w:hanging="209"/>
        <w:spacing w:after="0" w:line="265" w:lineRule="auto"/>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by a successor trustee;</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notes and to make all appropriate changes for such purpose;</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hanging="209"/>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holder;</w:t>
      </w:r>
    </w:p>
    <w:p>
      <w:pPr>
        <w:spacing w:after="0" w:line="124" w:lineRule="exact"/>
        <w:rPr>
          <w:rFonts w:ascii="Arial" w:cs="Arial" w:eastAsia="Arial" w:hAnsi="Arial"/>
          <w:sz w:val="18"/>
          <w:szCs w:val="18"/>
          <w:b w:val="1"/>
          <w:bCs w:val="1"/>
          <w:color w:val="auto"/>
        </w:rPr>
      </w:pPr>
    </w:p>
    <w:p>
      <w:pPr>
        <w:ind w:left="440" w:right="400" w:hanging="209"/>
        <w:spacing w:after="0" w:line="366" w:lineRule="auto"/>
        <w:tabs>
          <w:tab w:leader="none" w:pos="440" w:val="left"/>
        </w:tabs>
        <w:numPr>
          <w:ilvl w:val="0"/>
          <w:numId w:val="33"/>
        </w:numPr>
        <w:rPr>
          <w:rFonts w:ascii="Arial" w:cs="Arial" w:eastAsia="Arial" w:hAnsi="Arial"/>
          <w:sz w:val="15"/>
          <w:szCs w:val="15"/>
          <w:b w:val="1"/>
          <w:bCs w:val="1"/>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 w:lineRule="exact"/>
        <w:rPr>
          <w:rFonts w:ascii="Arial" w:cs="Arial" w:eastAsia="Arial" w:hAnsi="Arial"/>
          <w:sz w:val="15"/>
          <w:szCs w:val="15"/>
          <w:b w:val="1"/>
          <w:bCs w:val="1"/>
          <w:color w:val="auto"/>
        </w:rPr>
      </w:pPr>
    </w:p>
    <w:p>
      <w:pPr>
        <w:ind w:left="440" w:hanging="209"/>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to make any change so long as no senior debt securities are outstanding.</w:t>
      </w:r>
    </w:p>
    <w:p>
      <w:pPr>
        <w:spacing w:after="0" w:line="111"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71" w:lineRule="exact"/>
        <w:rPr>
          <w:sz w:val="20"/>
          <w:szCs w:val="20"/>
          <w:color w:val="auto"/>
        </w:rPr>
      </w:pPr>
    </w:p>
    <w:p>
      <w:pPr>
        <w:ind w:left="440" w:right="24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35" w:lineRule="exact"/>
        <w:rPr>
          <w:rFonts w:ascii="Arial" w:cs="Arial" w:eastAsia="Arial" w:hAnsi="Arial"/>
          <w:sz w:val="17"/>
          <w:szCs w:val="17"/>
          <w:b w:val="1"/>
          <w:bCs w:val="1"/>
          <w:color w:val="auto"/>
        </w:rPr>
      </w:pPr>
    </w:p>
    <w:p>
      <w:pPr>
        <w:ind w:left="440" w:hanging="209"/>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24" w:lineRule="exact"/>
        <w:rPr>
          <w:rFonts w:ascii="Arial" w:cs="Arial" w:eastAsia="Arial" w:hAnsi="Arial"/>
          <w:sz w:val="18"/>
          <w:szCs w:val="18"/>
          <w:b w:val="1"/>
          <w:bCs w:val="1"/>
          <w:color w:val="auto"/>
        </w:rPr>
      </w:pPr>
    </w:p>
    <w:p>
      <w:pPr>
        <w:ind w:left="440" w:right="480" w:hanging="209"/>
        <w:spacing w:after="0" w:line="294" w:lineRule="auto"/>
        <w:tabs>
          <w:tab w:leader="none" w:pos="4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64" w:lineRule="exact"/>
        <w:rPr>
          <w:rFonts w:ascii="Arial" w:cs="Arial" w:eastAsia="Arial" w:hAnsi="Arial"/>
          <w:sz w:val="17"/>
          <w:szCs w:val="17"/>
          <w:b w:val="1"/>
          <w:bCs w:val="1"/>
          <w:color w:val="auto"/>
        </w:rPr>
      </w:pPr>
    </w:p>
    <w:p>
      <w:pPr>
        <w:ind w:left="440" w:right="34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86" w:lineRule="exact"/>
        <w:rPr>
          <w:rFonts w:ascii="Arial" w:cs="Arial" w:eastAsia="Arial" w:hAnsi="Arial"/>
          <w:sz w:val="18"/>
          <w:szCs w:val="18"/>
          <w:b w:val="1"/>
          <w:bCs w:val="1"/>
          <w:color w:val="auto"/>
        </w:rPr>
      </w:pPr>
    </w:p>
    <w:p>
      <w:pPr>
        <w:ind w:left="440" w:right="58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86" w:lineRule="exact"/>
        <w:rPr>
          <w:rFonts w:ascii="Arial" w:cs="Arial" w:eastAsia="Arial" w:hAnsi="Arial"/>
          <w:sz w:val="18"/>
          <w:szCs w:val="18"/>
          <w:b w:val="1"/>
          <w:bCs w:val="1"/>
          <w:color w:val="auto"/>
        </w:rPr>
      </w:pPr>
    </w:p>
    <w:p>
      <w:pPr>
        <w:ind w:left="440" w:hanging="209"/>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24" w:lineRule="exact"/>
        <w:rPr>
          <w:rFonts w:ascii="Arial" w:cs="Arial" w:eastAsia="Arial" w:hAnsi="Arial"/>
          <w:sz w:val="18"/>
          <w:szCs w:val="18"/>
          <w:b w:val="1"/>
          <w:bCs w:val="1"/>
          <w:color w:val="auto"/>
        </w:rPr>
      </w:pPr>
    </w:p>
    <w:p>
      <w:pPr>
        <w:ind w:left="440" w:right="28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86" w:lineRule="exact"/>
        <w:rPr>
          <w:rFonts w:ascii="Arial" w:cs="Arial" w:eastAsia="Arial" w:hAnsi="Arial"/>
          <w:sz w:val="18"/>
          <w:szCs w:val="18"/>
          <w:b w:val="1"/>
          <w:bCs w:val="1"/>
          <w:color w:val="auto"/>
        </w:rPr>
      </w:pPr>
    </w:p>
    <w:p>
      <w:pPr>
        <w:ind w:left="440" w:right="4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86" w:lineRule="exact"/>
        <w:rPr>
          <w:rFonts w:ascii="Arial" w:cs="Arial" w:eastAsia="Arial" w:hAnsi="Arial"/>
          <w:sz w:val="18"/>
          <w:szCs w:val="18"/>
          <w:b w:val="1"/>
          <w:bCs w:val="1"/>
          <w:color w:val="auto"/>
        </w:rPr>
      </w:pPr>
    </w:p>
    <w:p>
      <w:pPr>
        <w:ind w:left="440" w:right="320" w:hanging="209"/>
        <w:spacing w:after="0" w:line="265" w:lineRule="auto"/>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73"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spacing w:after="0" w:line="366" w:lineRule="auto"/>
        <w:rPr>
          <w:sz w:val="20"/>
          <w:szCs w:val="20"/>
          <w:color w:val="auto"/>
        </w:rPr>
      </w:pPr>
      <w:r>
        <w:rPr>
          <w:rFonts w:ascii="Arial" w:cs="Arial" w:eastAsia="Arial" w:hAnsi="Arial"/>
          <w:sz w:val="15"/>
          <w:szCs w:val="15"/>
          <w:color w:val="auto"/>
        </w:rPr>
        <w:t>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1"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1" w:lineRule="exact"/>
        <w:rPr>
          <w:sz w:val="20"/>
          <w:szCs w:val="20"/>
          <w:color w:val="auto"/>
        </w:rPr>
      </w:pPr>
    </w:p>
    <w:p>
      <w:pPr>
        <w:ind w:right="140" w:firstLine="218"/>
        <w:spacing w:after="0" w:line="252"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Trustees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60" w:firstLine="221"/>
        <w:spacing w:after="0" w:line="265"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3"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17"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1"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3" w:lineRule="exact"/>
        <w:rPr>
          <w:sz w:val="20"/>
          <w:szCs w:val="20"/>
          <w:color w:val="auto"/>
        </w:rPr>
      </w:pPr>
    </w:p>
    <w:p>
      <w:pPr>
        <w:ind w:right="460" w:firstLine="218"/>
        <w:spacing w:after="0" w:line="364"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7" w:lineRule="exact"/>
        <w:rPr>
          <w:sz w:val="20"/>
          <w:szCs w:val="20"/>
          <w:color w:val="auto"/>
        </w:rPr>
      </w:pPr>
    </w:p>
    <w:p>
      <w:pPr>
        <w:ind w:left="660" w:right="100" w:hanging="429"/>
        <w:spacing w:after="0" w:line="303" w:lineRule="auto"/>
        <w:tabs>
          <w:tab w:leader="none" w:pos="660" w:val="left"/>
        </w:tabs>
        <w:numPr>
          <w:ilvl w:val="0"/>
          <w:numId w:val="35"/>
        </w:numPr>
        <w:rPr>
          <w:rFonts w:ascii="Arial" w:cs="Arial" w:eastAsia="Arial" w:hAnsi="Arial"/>
          <w:sz w:val="15"/>
          <w:szCs w:val="15"/>
          <w:b w:val="1"/>
          <w:bCs w:val="1"/>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(2) existing on property at the time that person acquires it;</w:t>
      </w:r>
    </w:p>
    <w:p>
      <w:pPr>
        <w:spacing w:after="0" w:line="113" w:lineRule="exact"/>
        <w:rPr>
          <w:rFonts w:ascii="Arial" w:cs="Arial" w:eastAsia="Arial" w:hAnsi="Arial"/>
          <w:sz w:val="15"/>
          <w:szCs w:val="15"/>
          <w:b w:val="1"/>
          <w:bCs w:val="1"/>
          <w:color w:val="auto"/>
        </w:rPr>
      </w:pPr>
    </w:p>
    <w:p>
      <w:pPr>
        <w:ind w:left="660" w:hanging="429"/>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135" w:lineRule="exact"/>
        <w:rPr>
          <w:rFonts w:ascii="Arial" w:cs="Arial" w:eastAsia="Arial" w:hAnsi="Arial"/>
          <w:sz w:val="17"/>
          <w:szCs w:val="17"/>
          <w:b w:val="1"/>
          <w:bCs w:val="1"/>
          <w:color w:val="auto"/>
        </w:rPr>
      </w:pPr>
    </w:p>
    <w:p>
      <w:pPr>
        <w:ind w:left="660" w:right="120" w:hanging="429"/>
        <w:spacing w:after="0" w:line="255"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95" w:lineRule="exact"/>
        <w:rPr>
          <w:rFonts w:ascii="Arial" w:cs="Arial" w:eastAsia="Arial" w:hAnsi="Arial"/>
          <w:sz w:val="18"/>
          <w:szCs w:val="18"/>
          <w:b w:val="1"/>
          <w:bCs w:val="1"/>
          <w:color w:val="auto"/>
        </w:rPr>
      </w:pPr>
    </w:p>
    <w:p>
      <w:pPr>
        <w:ind w:left="660" w:right="600" w:hanging="429"/>
        <w:spacing w:after="0" w:line="265"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17" w:lineRule="exact"/>
        <w:rPr>
          <w:sz w:val="20"/>
          <w:szCs w:val="20"/>
          <w:color w:val="auto"/>
        </w:rPr>
      </w:pPr>
    </w:p>
    <w:p>
      <w:pPr>
        <w:jc w:val="both"/>
        <w:ind w:right="280" w:firstLine="218"/>
        <w:spacing w:after="0" w:line="252"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5" w:lineRule="exact"/>
        <w:rPr>
          <w:sz w:val="20"/>
          <w:szCs w:val="20"/>
          <w:color w:val="auto"/>
        </w:rPr>
      </w:pPr>
    </w:p>
    <w:p>
      <w:pPr>
        <w:jc w:val="both"/>
        <w:ind w:right="280" w:firstLine="221"/>
        <w:spacing w:after="0" w:line="265"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3" w:lineRule="exact"/>
        <w:rPr>
          <w:sz w:val="20"/>
          <w:szCs w:val="20"/>
          <w:color w:val="auto"/>
        </w:rPr>
      </w:pPr>
    </w:p>
    <w:p>
      <w:pPr>
        <w:ind w:firstLine="218"/>
        <w:spacing w:after="0" w:line="252"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5"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3" w:lineRule="exact"/>
        <w:rPr>
          <w:sz w:val="20"/>
          <w:szCs w:val="20"/>
          <w:color w:val="auto"/>
        </w:rPr>
      </w:pPr>
    </w:p>
    <w:p>
      <w:pPr>
        <w:ind w:left="660" w:right="320" w:hanging="429"/>
        <w:spacing w:after="0" w:line="265"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24" w:lineRule="exact"/>
        <w:rPr>
          <w:rFonts w:ascii="Arial" w:cs="Arial" w:eastAsia="Arial" w:hAnsi="Arial"/>
          <w:sz w:val="18"/>
          <w:szCs w:val="18"/>
          <w:b w:val="1"/>
          <w:bCs w:val="1"/>
          <w:color w:val="auto"/>
        </w:rPr>
      </w:pPr>
    </w:p>
    <w:p>
      <w:pPr>
        <w:ind w:left="660" w:right="160" w:hanging="429"/>
        <w:spacing w:after="0" w:line="255"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95" w:lineRule="exact"/>
        <w:rPr>
          <w:rFonts w:ascii="Arial" w:cs="Arial" w:eastAsia="Arial" w:hAnsi="Arial"/>
          <w:sz w:val="18"/>
          <w:szCs w:val="18"/>
          <w:b w:val="1"/>
          <w:bCs w:val="1"/>
          <w:color w:val="auto"/>
        </w:rPr>
      </w:pPr>
    </w:p>
    <w:p>
      <w:pPr>
        <w:ind w:left="660" w:right="160" w:hanging="429"/>
        <w:spacing w:after="0" w:line="265"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distributions of cash in excess of certain threshold amounts.</w:t>
      </w:r>
    </w:p>
    <w:p>
      <w:pPr>
        <w:spacing w:after="0" w:line="111"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73"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right="20" w:firstLine="218"/>
        <w:spacing w:after="0" w:line="266"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5" w:lineRule="exact"/>
        <w:rPr>
          <w:sz w:val="20"/>
          <w:szCs w:val="20"/>
          <w:color w:val="auto"/>
        </w:rPr>
      </w:pPr>
    </w:p>
    <w:p>
      <w:pPr>
        <w:ind w:firstLine="218"/>
        <w:spacing w:after="0" w:line="294" w:lineRule="auto"/>
        <w:rPr>
          <w:sz w:val="20"/>
          <w:szCs w:val="20"/>
          <w:color w:val="auto"/>
        </w:rPr>
      </w:pPr>
      <w:r>
        <w:rPr>
          <w:rFonts w:ascii="Arial" w:cs="Arial" w:eastAsia="Arial" w:hAnsi="Arial"/>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1" w:lineRule="exact"/>
        <w:rPr>
          <w:sz w:val="20"/>
          <w:szCs w:val="20"/>
          <w:color w:val="auto"/>
        </w:rPr>
      </w:pPr>
    </w:p>
    <w:p>
      <w:pPr>
        <w:ind w:right="40" w:firstLine="221"/>
        <w:spacing w:after="0" w:line="264"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0" w:lineRule="exact"/>
        <w:rPr>
          <w:sz w:val="20"/>
          <w:szCs w:val="20"/>
          <w:color w:val="auto"/>
        </w:rPr>
      </w:pPr>
    </w:p>
    <w:p>
      <w:pPr>
        <w:ind w:right="80" w:firstLine="221"/>
        <w:spacing w:after="0" w:line="302"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64" w:lineRule="exact"/>
        <w:rPr>
          <w:sz w:val="20"/>
          <w:szCs w:val="20"/>
          <w:color w:val="auto"/>
        </w:rPr>
      </w:pPr>
    </w:p>
    <w:p>
      <w:pPr>
        <w:ind w:right="140" w:firstLine="221"/>
        <w:spacing w:after="0" w:line="312" w:lineRule="auto"/>
        <w:rPr>
          <w:sz w:val="20"/>
          <w:szCs w:val="20"/>
          <w:color w:val="auto"/>
        </w:rPr>
      </w:pPr>
      <w:r>
        <w:rPr>
          <w:rFonts w:ascii="Arial" w:cs="Arial" w:eastAsia="Arial" w:hAnsi="Arial"/>
          <w:sz w:val="15"/>
          <w:szCs w:val="15"/>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20" w:firstLine="218"/>
        <w:spacing w:after="0" w:line="249"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90"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73" w:lineRule="exact"/>
        <w:rPr>
          <w:sz w:val="20"/>
          <w:szCs w:val="20"/>
          <w:color w:val="auto"/>
        </w:rPr>
      </w:pPr>
    </w:p>
    <w:p>
      <w:pPr>
        <w:ind w:right="60" w:firstLine="218"/>
        <w:spacing w:after="0" w:line="255"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Subject to the preferential rights of any preferred stock then outstanding, Holders of our Class A Common Stock, Class A Special Common Stock,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are entitled to receive, from time to time, when, as and if declared, in the discretion of our Board, such cash dividends as our Board may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determine, out of such funds as are legally available therefor, in proportion to the number of shares held by them, respectively, without regard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 class.</w:t>
      </w:r>
    </w:p>
    <w:p>
      <w:pPr>
        <w:spacing w:after="0" w:line="100"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3" w:lineRule="exact"/>
        <w:rPr>
          <w:sz w:val="20"/>
          <w:szCs w:val="20"/>
          <w:color w:val="auto"/>
        </w:rPr>
      </w:pPr>
    </w:p>
    <w:p>
      <w:pPr>
        <w:ind w:right="240" w:firstLine="221"/>
        <w:spacing w:after="0" w:line="266"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 of the aggregate voting power of our capital stock as of February 28, 2006.</w:t>
      </w:r>
    </w:p>
    <w:p>
      <w:pPr>
        <w:spacing w:after="0" w:line="72" w:lineRule="exact"/>
        <w:rPr>
          <w:sz w:val="20"/>
          <w:szCs w:val="20"/>
          <w:color w:val="auto"/>
        </w:rPr>
      </w:pPr>
    </w:p>
    <w:p>
      <w:pPr>
        <w:ind w:firstLine="221"/>
        <w:spacing w:after="0" w:line="298"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1" w:lineRule="exact"/>
        <w:rPr>
          <w:sz w:val="20"/>
          <w:szCs w:val="20"/>
          <w:color w:val="auto"/>
        </w:rPr>
      </w:pPr>
    </w:p>
    <w:p>
      <w:pPr>
        <w:ind w:right="20" w:firstLine="6"/>
        <w:spacing w:after="0" w:line="248" w:lineRule="auto"/>
        <w:tabs>
          <w:tab w:leader="none" w:pos="2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subject to reduction as described below.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firstLine="221"/>
        <w:spacing w:after="0" w:line="318" w:lineRule="auto"/>
        <w:rPr>
          <w:sz w:val="20"/>
          <w:szCs w:val="20"/>
          <w:color w:val="auto"/>
        </w:rPr>
      </w:pPr>
      <w:r>
        <w:rPr>
          <w:rFonts w:ascii="Arial" w:cs="Arial" w:eastAsia="Arial" w:hAnsi="Arial"/>
          <w:sz w:val="15"/>
          <w:szCs w:val="15"/>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13"/>
          <w:szCs w:val="13"/>
          <w:color w:val="auto"/>
        </w:rPr>
        <w:t>1</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5"/>
          <w:szCs w:val="15"/>
          <w:i w:val="1"/>
          <w:iCs w:val="1"/>
          <w:color w:val="auto"/>
        </w:rPr>
        <w:t>e.g.,</w:t>
      </w:r>
      <w:r>
        <w:rPr>
          <w:rFonts w:ascii="Arial" w:cs="Arial" w:eastAsia="Arial" w:hAnsi="Arial"/>
          <w:sz w:val="15"/>
          <w:szCs w:val="15"/>
          <w:color w:val="auto"/>
        </w:rPr>
        <w:t xml:space="preserve"> by repurchase or conversion), the aggregate voting power of our Class B Common Stock will be proportionately reduced.</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Each share of our Class B Common Stock has 15 votes.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17" w:lineRule="exact"/>
        <w:rPr>
          <w:sz w:val="20"/>
          <w:szCs w:val="20"/>
          <w:color w:val="auto"/>
        </w:rPr>
      </w:pPr>
    </w:p>
    <w:p>
      <w:pPr>
        <w:ind w:firstLine="221"/>
        <w:spacing w:after="0" w:line="304" w:lineRule="auto"/>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17"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13"/>
          <w:szCs w:val="13"/>
          <w:color w:val="auto"/>
        </w:rPr>
        <w:t>1</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17" w:lineRule="exact"/>
        <w:rPr>
          <w:sz w:val="20"/>
          <w:szCs w:val="20"/>
          <w:color w:val="auto"/>
        </w:rPr>
      </w:pPr>
    </w:p>
    <w:p>
      <w:pPr>
        <w:jc w:val="both"/>
        <w:ind w:right="120" w:firstLine="221"/>
        <w:spacing w:after="0" w:line="255"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17" w:lineRule="exact"/>
        <w:rPr>
          <w:sz w:val="20"/>
          <w:szCs w:val="20"/>
          <w:color w:val="auto"/>
        </w:rPr>
      </w:pPr>
    </w:p>
    <w:p>
      <w:pPr>
        <w:ind w:right="200" w:firstLine="221"/>
        <w:spacing w:after="0" w:line="250"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xml:space="preserv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xml:space="preserve"> shares of a class of stock having substantially equivalent rights as the applicable class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89" w:lineRule="exact"/>
        <w:rPr>
          <w:sz w:val="20"/>
          <w:szCs w:val="20"/>
          <w:color w:val="auto"/>
        </w:rPr>
      </w:pPr>
    </w:p>
    <w:p>
      <w:pPr>
        <w:ind w:right="860" w:firstLine="218"/>
        <w:spacing w:after="0" w:line="265"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360" w:firstLine="218"/>
        <w:spacing w:after="0" w:line="265"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73" w:lineRule="exact"/>
        <w:rPr>
          <w:sz w:val="20"/>
          <w:szCs w:val="20"/>
          <w:color w:val="auto"/>
        </w:rPr>
      </w:pPr>
    </w:p>
    <w:p>
      <w:pPr>
        <w:ind w:right="240" w:firstLine="221"/>
        <w:spacing w:after="0" w:line="250" w:lineRule="auto"/>
        <w:rPr>
          <w:sz w:val="20"/>
          <w:szCs w:val="20"/>
          <w:color w:val="auto"/>
        </w:rPr>
      </w:pPr>
      <w:r>
        <w:rPr>
          <w:rFonts w:ascii="Arial" w:cs="Arial" w:eastAsia="Arial" w:hAnsi="Arial"/>
          <w:sz w:val="18"/>
          <w:szCs w:val="18"/>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20" w:firstLine="218"/>
        <w:spacing w:after="0" w:line="267"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4" w:lineRule="exact"/>
        <w:rPr>
          <w:sz w:val="20"/>
          <w:szCs w:val="20"/>
          <w:color w:val="auto"/>
        </w:rPr>
      </w:pPr>
    </w:p>
    <w:p>
      <w:pPr>
        <w:ind w:right="80" w:firstLine="221"/>
        <w:spacing w:after="0" w:line="250"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under “—‘Flip In’ Feature” or “—‘Flip Over’ Feature,” each Right will be exercisable to purchase for $125 one one-thousandth of a share of our Series A Participating Cumulative Preferred Stock.</w:t>
      </w:r>
    </w:p>
    <w:p>
      <w:pPr>
        <w:spacing w:after="0" w:line="83"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 have</w:t>
      </w:r>
      <w:r>
        <w:rPr>
          <w:rFonts w:ascii="Arial" w:cs="Arial" w:eastAsia="Arial" w:hAnsi="Arial"/>
          <w:sz w:val="15"/>
          <w:szCs w:val="15"/>
          <w:i w:val="1"/>
          <w:iCs w:val="1"/>
          <w:color w:val="auto"/>
        </w:rPr>
        <w:t xml:space="preserve"> </w:t>
      </w:r>
      <w:r>
        <w:rPr>
          <w:rFonts w:ascii="Arial" w:cs="Arial" w:eastAsia="Arial" w:hAnsi="Arial"/>
          <w:sz w:val="15"/>
          <w:szCs w:val="15"/>
          <w:color w:val="auto"/>
        </w:rPr>
        <w:t>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46" w:lineRule="exact"/>
        <w:rPr>
          <w:sz w:val="20"/>
          <w:szCs w:val="20"/>
          <w:color w:val="auto"/>
        </w:rPr>
      </w:pPr>
    </w:p>
    <w:p>
      <w:pPr>
        <w:ind w:right="20" w:firstLine="221"/>
        <w:spacing w:after="0" w:line="269" w:lineRule="auto"/>
        <w:rPr>
          <w:sz w:val="20"/>
          <w:szCs w:val="20"/>
          <w:color w:val="auto"/>
        </w:rPr>
      </w:pPr>
      <w:r>
        <w:rPr>
          <w:rFonts w:ascii="Arial" w:cs="Arial" w:eastAsia="Arial" w:hAnsi="Arial"/>
          <w:sz w:val="17"/>
          <w:szCs w:val="17"/>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1" w:lineRule="exact"/>
        <w:rPr>
          <w:sz w:val="20"/>
          <w:szCs w:val="20"/>
          <w:color w:val="auto"/>
        </w:rPr>
      </w:pPr>
    </w:p>
    <w:p>
      <w:pPr>
        <w:ind w:right="120" w:firstLine="221"/>
        <w:spacing w:after="0" w:line="250" w:lineRule="auto"/>
        <w:rPr>
          <w:sz w:val="20"/>
          <w:szCs w:val="20"/>
          <w:color w:val="auto"/>
        </w:rPr>
      </w:pPr>
      <w:r>
        <w:rPr>
          <w:rFonts w:ascii="Arial" w:cs="Arial" w:eastAsia="Arial" w:hAnsi="Arial"/>
          <w:sz w:val="18"/>
          <w:szCs w:val="18"/>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9"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83" w:lineRule="exact"/>
        <w:rPr>
          <w:sz w:val="20"/>
          <w:szCs w:val="20"/>
          <w:color w:val="auto"/>
        </w:rPr>
      </w:pPr>
    </w:p>
    <w:p>
      <w:pPr>
        <w:ind w:right="100" w:firstLine="221"/>
        <w:spacing w:after="0" w:line="330" w:lineRule="auto"/>
        <w:rPr>
          <w:sz w:val="20"/>
          <w:szCs w:val="20"/>
          <w:color w:val="auto"/>
        </w:rPr>
      </w:pPr>
      <w:r>
        <w:rPr>
          <w:rFonts w:ascii="Arial" w:cs="Arial" w:eastAsia="Arial" w:hAnsi="Arial"/>
          <w:sz w:val="15"/>
          <w:szCs w:val="15"/>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right="60" w:firstLine="221"/>
        <w:spacing w:after="0" w:line="330" w:lineRule="auto"/>
        <w:rPr>
          <w:sz w:val="20"/>
          <w:szCs w:val="20"/>
          <w:color w:val="auto"/>
        </w:rPr>
      </w:pPr>
      <w:r>
        <w:rPr>
          <w:rFonts w:ascii="Arial" w:cs="Arial" w:eastAsia="Arial" w:hAnsi="Arial"/>
          <w:sz w:val="15"/>
          <w:szCs w:val="15"/>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1" w:lineRule="exact"/>
        <w:rPr>
          <w:sz w:val="20"/>
          <w:szCs w:val="20"/>
          <w:color w:val="auto"/>
        </w:rPr>
      </w:pPr>
    </w:p>
    <w:p>
      <w:pPr>
        <w:ind w:right="280" w:firstLine="221"/>
        <w:spacing w:after="0" w:line="265" w:lineRule="auto"/>
        <w:rPr>
          <w:sz w:val="20"/>
          <w:szCs w:val="20"/>
          <w:color w:val="auto"/>
        </w:rPr>
      </w:pPr>
      <w:r>
        <w:rPr>
          <w:rFonts w:ascii="Arial" w:cs="Arial" w:eastAsia="Arial" w:hAnsi="Arial"/>
          <w:sz w:val="18"/>
          <w:szCs w:val="18"/>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73" w:lineRule="exact"/>
        <w:rPr>
          <w:sz w:val="20"/>
          <w:szCs w:val="20"/>
          <w:color w:val="auto"/>
        </w:rPr>
      </w:pPr>
    </w:p>
    <w:p>
      <w:pPr>
        <w:ind w:right="60" w:firstLine="221"/>
        <w:spacing w:after="0" w:line="271" w:lineRule="auto"/>
        <w:rPr>
          <w:sz w:val="20"/>
          <w:szCs w:val="20"/>
          <w:color w:val="auto"/>
        </w:rPr>
      </w:pPr>
      <w:r>
        <w:rPr>
          <w:rFonts w:ascii="Arial" w:cs="Arial" w:eastAsia="Arial" w:hAnsi="Arial"/>
          <w:sz w:val="17"/>
          <w:szCs w:val="17"/>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 preferred stock designated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240" w:top="413"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1" w:lineRule="exact"/>
        <w:rPr>
          <w:sz w:val="20"/>
          <w:szCs w:val="20"/>
          <w:color w:val="auto"/>
        </w:rPr>
      </w:pPr>
    </w:p>
    <w:p>
      <w:pPr>
        <w:ind w:left="660" w:hanging="429"/>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directly to purchasers;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through agents;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through underwriters;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through dealers.</w:t>
      </w:r>
    </w:p>
    <w:p>
      <w:pPr>
        <w:spacing w:after="0" w:line="111" w:lineRule="exact"/>
        <w:rPr>
          <w:sz w:val="20"/>
          <w:szCs w:val="20"/>
          <w:color w:val="auto"/>
        </w:rPr>
      </w:pPr>
    </w:p>
    <w:p>
      <w:pPr>
        <w:ind w:right="60" w:firstLine="218"/>
        <w:spacing w:after="0" w:line="250"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9"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3" w:lineRule="exact"/>
        <w:rPr>
          <w:sz w:val="20"/>
          <w:szCs w:val="20"/>
          <w:color w:val="auto"/>
        </w:rPr>
      </w:pPr>
    </w:p>
    <w:p>
      <w:pPr>
        <w:ind w:right="300" w:firstLine="221"/>
        <w:spacing w:after="0" w:line="265"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3" w:lineRule="exact"/>
        <w:rPr>
          <w:sz w:val="20"/>
          <w:szCs w:val="20"/>
          <w:color w:val="auto"/>
        </w:rPr>
      </w:pPr>
    </w:p>
    <w:p>
      <w:pPr>
        <w:ind w:right="260" w:firstLine="221"/>
        <w:spacing w:after="0" w:line="255"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3" w:lineRule="exact"/>
        <w:rPr>
          <w:sz w:val="20"/>
          <w:szCs w:val="20"/>
          <w:color w:val="auto"/>
        </w:rPr>
      </w:pPr>
    </w:p>
    <w:p>
      <w:pPr>
        <w:ind w:firstLine="221"/>
        <w:spacing w:after="0" w:line="265"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77" w:lineRule="exact"/>
        <w:rPr>
          <w:sz w:val="20"/>
          <w:szCs w:val="20"/>
          <w:color w:val="auto"/>
        </w:rPr>
      </w:pPr>
    </w:p>
    <w:p>
      <w:pPr>
        <w:ind w:right="140" w:firstLine="211"/>
        <w:spacing w:after="0" w:line="265"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60" w:firstLine="211"/>
        <w:spacing w:after="0" w:line="252"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200" w:firstLine="218"/>
        <w:spacing w:after="0" w:line="271" w:lineRule="auto"/>
        <w:rPr>
          <w:sz w:val="20"/>
          <w:szCs w:val="20"/>
          <w:color w:val="auto"/>
        </w:rPr>
      </w:pPr>
      <w:r>
        <w:rPr>
          <w:rFonts w:ascii="Arial" w:cs="Arial" w:eastAsia="Arial" w:hAnsi="Arial"/>
          <w:sz w:val="17"/>
          <w:szCs w:val="17"/>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60" w:firstLine="218"/>
        <w:spacing w:after="0" w:line="305" w:lineRule="auto"/>
        <w:rPr>
          <w:sz w:val="20"/>
          <w:szCs w:val="20"/>
          <w:color w:val="auto"/>
        </w:rPr>
      </w:pPr>
      <w:r>
        <w:rPr>
          <w:rFonts w:ascii="Arial" w:cs="Arial" w:eastAsia="Arial" w:hAnsi="Arial"/>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0" w:lineRule="exact"/>
        <w:rPr>
          <w:sz w:val="20"/>
          <w:szCs w:val="20"/>
          <w:color w:val="auto"/>
        </w:rPr>
      </w:pPr>
    </w:p>
    <w:p>
      <w:pPr>
        <w:ind w:right="40" w:firstLine="218"/>
        <w:spacing w:after="0" w:line="309" w:lineRule="auto"/>
        <w:rPr>
          <w:sz w:val="20"/>
          <w:szCs w:val="20"/>
          <w:color w:val="auto"/>
        </w:rPr>
      </w:pPr>
      <w:r>
        <w:rPr>
          <w:rFonts w:ascii="Arial" w:cs="Arial" w:eastAsia="Arial" w:hAnsi="Arial"/>
          <w:sz w:val="15"/>
          <w:szCs w:val="15"/>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46" w:lineRule="exact"/>
        <w:rPr>
          <w:sz w:val="20"/>
          <w:szCs w:val="20"/>
          <w:color w:val="auto"/>
        </w:rPr>
      </w:pPr>
    </w:p>
    <w:p>
      <w:pPr>
        <w:ind w:firstLine="214"/>
        <w:spacing w:after="0" w:line="250"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120" w:firstLine="218"/>
        <w:spacing w:after="0" w:line="330"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660" w:hanging="429"/>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Annual Report on Form 10-K for the year ended December 31, 2005, filed on February 22, 2006.</w:t>
      </w:r>
    </w:p>
    <w:p>
      <w:pPr>
        <w:spacing w:after="0" w:line="124" w:lineRule="exact"/>
        <w:rPr>
          <w:rFonts w:ascii="Arial" w:cs="Arial" w:eastAsia="Arial" w:hAnsi="Arial"/>
          <w:sz w:val="18"/>
          <w:szCs w:val="18"/>
          <w:b w:val="1"/>
          <w:bCs w:val="1"/>
          <w:color w:val="auto"/>
        </w:rPr>
      </w:pPr>
    </w:p>
    <w:p>
      <w:pPr>
        <w:ind w:left="660" w:right="200" w:hanging="429"/>
        <w:spacing w:after="0" w:line="265"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Current Reports on Form 8-K filed on January 26, 2006, February 28, 2006 and March 6, 2006.</w:t>
      </w:r>
    </w:p>
    <w:p>
      <w:pPr>
        <w:spacing w:after="0" w:line="124" w:lineRule="exact"/>
        <w:rPr>
          <w:rFonts w:ascii="Arial" w:cs="Arial" w:eastAsia="Arial" w:hAnsi="Arial"/>
          <w:sz w:val="18"/>
          <w:szCs w:val="18"/>
          <w:b w:val="1"/>
          <w:bCs w:val="1"/>
          <w:color w:val="auto"/>
        </w:rPr>
      </w:pPr>
    </w:p>
    <w:p>
      <w:pPr>
        <w:ind w:left="660" w:right="140" w:hanging="429"/>
        <w:spacing w:after="0" w:line="265"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3" w:lineRule="exact"/>
        <w:rPr>
          <w:sz w:val="20"/>
          <w:szCs w:val="20"/>
          <w:color w:val="auto"/>
        </w:rPr>
      </w:pPr>
    </w:p>
    <w:p>
      <w:pPr>
        <w:ind w:firstLine="218"/>
        <w:spacing w:after="0" w:line="269"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120" w:type="dxa"/>
            <w:vAlign w:val="bottom"/>
          </w:tcPr>
          <w:p>
            <w:pPr>
              <w:jc w:val="center"/>
              <w:ind w:right="712"/>
              <w:spacing w:after="0"/>
              <w:rPr>
                <w:sz w:val="20"/>
                <w:szCs w:val="20"/>
                <w:color w:val="auto"/>
              </w:rPr>
            </w:pPr>
            <w:r>
              <w:rPr>
                <w:rFonts w:ascii="Arial" w:cs="Arial" w:eastAsia="Arial" w:hAnsi="Arial"/>
                <w:sz w:val="18"/>
                <w:szCs w:val="18"/>
                <w:b w:val="1"/>
                <w:bCs w:val="1"/>
                <w:color w:val="auto"/>
                <w:w w:val="99"/>
              </w:rPr>
              <w:t>PART II</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8"/>
        </w:trPr>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120" w:type="dxa"/>
            <w:vAlign w:val="bottom"/>
          </w:tcPr>
          <w:p>
            <w:pPr>
              <w:jc w:val="center"/>
              <w:ind w:right="732"/>
              <w:spacing w:after="0"/>
              <w:rPr>
                <w:sz w:val="20"/>
                <w:szCs w:val="20"/>
                <w:color w:val="auto"/>
              </w:rPr>
            </w:pPr>
            <w:r>
              <w:rPr>
                <w:rFonts w:ascii="Arial" w:cs="Arial" w:eastAsia="Arial" w:hAnsi="Arial"/>
                <w:sz w:val="18"/>
                <w:szCs w:val="18"/>
                <w:b w:val="1"/>
                <w:bCs w:val="1"/>
                <w:color w:val="auto"/>
                <w:w w:val="99"/>
              </w:rPr>
              <w:t>INFORMATION NOT REQUIRED IN PROSPECTUS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140" w:type="dxa"/>
            <w:vAlign w:val="bottom"/>
          </w:tcPr>
          <w:p>
            <w:pPr>
              <w:spacing w:after="0"/>
              <w:rPr>
                <w:sz w:val="24"/>
                <w:szCs w:val="24"/>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1"/>
              </w:rPr>
              <w:t>The following table sets forth the estimated costs and expenses payable by the Registrant in connection with this Registration Statement.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w w:val="99"/>
              </w:rPr>
              <w:t>Amount to be</w:t>
            </w:r>
          </w:p>
        </w:tc>
      </w:tr>
      <w:tr>
        <w:trPr>
          <w:trHeight w:val="168"/>
        </w:trPr>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4"/>
                <w:szCs w:val="14"/>
                <w:color w:val="auto"/>
              </w:rPr>
            </w:pPr>
          </w:p>
        </w:tc>
      </w:tr>
      <w:tr>
        <w:trPr>
          <w:trHeight w:val="205"/>
        </w:trPr>
        <w:tc>
          <w:tcPr>
            <w:tcW w:w="1018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Registration fee</w:t>
            </w:r>
          </w:p>
        </w:tc>
        <w:tc>
          <w:tcPr>
            <w:tcW w:w="48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0*</w:t>
            </w:r>
          </w:p>
        </w:tc>
      </w:tr>
      <w:tr>
        <w:trPr>
          <w:trHeight w:val="212"/>
        </w:trPr>
        <w:tc>
          <w:tcPr>
            <w:tcW w:w="1018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2"/>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fees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2"/>
        </w:trPr>
        <w:tc>
          <w:tcPr>
            <w:tcW w:w="101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2"/>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r>
      <w:tr>
        <w:trPr>
          <w:trHeight w:val="218"/>
        </w:trPr>
        <w:tc>
          <w:tcPr>
            <w:tcW w:w="140" w:type="dxa"/>
            <w:vAlign w:val="bottom"/>
          </w:tcPr>
          <w:p>
            <w:pPr>
              <w:spacing w:after="0"/>
              <w:rPr>
                <w:sz w:val="18"/>
                <w:szCs w:val="18"/>
                <w:color w:val="auto"/>
              </w:rPr>
            </w:pPr>
          </w:p>
        </w:tc>
        <w:tc>
          <w:tcPr>
            <w:tcW w:w="100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150,000</w:t>
            </w:r>
          </w:p>
        </w:tc>
      </w:tr>
      <w:tr>
        <w:trPr>
          <w:trHeight w:val="20"/>
        </w:trPr>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40" w:type="dxa"/>
            <w:vAlign w:val="bottom"/>
            <w:gridSpan w:val="2"/>
          </w:tcPr>
          <w:p>
            <w:pPr>
              <w:ind w:left="300"/>
              <w:spacing w:after="0"/>
              <w:rPr>
                <w:sz w:val="20"/>
                <w:szCs w:val="20"/>
                <w:color w:val="auto"/>
              </w:rPr>
            </w:pPr>
            <w:r>
              <w:rPr>
                <w:rFonts w:ascii="Arial" w:cs="Arial" w:eastAsia="Arial" w:hAnsi="Arial"/>
                <w:sz w:val="18"/>
                <w:szCs w:val="18"/>
                <w:color w:val="auto"/>
              </w:rPr>
              <w:t>Omitted because the registration fee is being deferred pursuant to Rule 456(b).</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24"/>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83"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47" w:lineRule="exact"/>
        <w:rPr>
          <w:sz w:val="20"/>
          <w:szCs w:val="20"/>
          <w:color w:val="auto"/>
        </w:rPr>
      </w:pPr>
    </w:p>
    <w:p>
      <w:pPr>
        <w:ind w:right="260" w:firstLine="221"/>
        <w:spacing w:after="0" w:line="318" w:lineRule="auto"/>
        <w:rPr>
          <w:sz w:val="20"/>
          <w:szCs w:val="20"/>
          <w:color w:val="auto"/>
        </w:rPr>
      </w:pPr>
      <w:r>
        <w:rPr>
          <w:rFonts w:ascii="Arial" w:cs="Arial" w:eastAsia="Arial" w:hAnsi="Arial"/>
          <w:sz w:val="15"/>
          <w:szCs w:val="15"/>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40"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must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40" w:lineRule="exact"/>
        <w:rPr>
          <w:sz w:val="20"/>
          <w:szCs w:val="20"/>
          <w:color w:val="auto"/>
        </w:rPr>
      </w:pPr>
    </w:p>
    <w:p>
      <w:pPr>
        <w:ind w:right="60" w:firstLine="221"/>
        <w:spacing w:after="0" w:line="318" w:lineRule="auto"/>
        <w:rPr>
          <w:sz w:val="20"/>
          <w:szCs w:val="20"/>
          <w:color w:val="auto"/>
        </w:rPr>
      </w:pPr>
      <w:r>
        <w:rPr>
          <w:rFonts w:ascii="Arial" w:cs="Arial" w:eastAsia="Arial" w:hAnsi="Arial"/>
          <w:sz w:val="15"/>
          <w:szCs w:val="15"/>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40"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89"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83" w:lineRule="exact"/>
        <w:rPr>
          <w:sz w:val="20"/>
          <w:szCs w:val="20"/>
          <w:color w:val="auto"/>
        </w:rPr>
      </w:pPr>
    </w:p>
    <w:p>
      <w:pPr>
        <w:ind w:right="300" w:firstLine="221"/>
        <w:spacing w:after="0" w:line="294" w:lineRule="auto"/>
        <w:rPr>
          <w:sz w:val="20"/>
          <w:szCs w:val="20"/>
          <w:color w:val="auto"/>
        </w:rPr>
      </w:pPr>
      <w:r>
        <w:rPr>
          <w:rFonts w:ascii="Arial" w:cs="Arial" w:eastAsia="Arial" w:hAnsi="Arial"/>
          <w:sz w:val="17"/>
          <w:szCs w:val="17"/>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51"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83" w:lineRule="exact"/>
        <w:rPr>
          <w:sz w:val="20"/>
          <w:szCs w:val="20"/>
          <w:color w:val="auto"/>
        </w:rPr>
      </w:pPr>
    </w:p>
    <w:p>
      <w:pPr>
        <w:ind w:right="360" w:firstLine="211"/>
        <w:spacing w:after="0" w:line="330" w:lineRule="auto"/>
        <w:rPr>
          <w:sz w:val="20"/>
          <w:szCs w:val="20"/>
          <w:color w:val="auto"/>
        </w:rPr>
      </w:pPr>
      <w:r>
        <w:rPr>
          <w:rFonts w:ascii="Arial" w:cs="Arial" w:eastAsia="Arial" w:hAnsi="Arial"/>
          <w:sz w:val="15"/>
          <w:szCs w:val="15"/>
          <w:color w:val="auto"/>
        </w:rPr>
        <w:t>Article Eleventh of the Comcast charter and Article 7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Twelfth of the Comcast charter also extends such protection to officers.</w:t>
      </w:r>
    </w:p>
    <w:p>
      <w:pPr>
        <w:spacing w:after="0" w:line="31" w:lineRule="exact"/>
        <w:rPr>
          <w:sz w:val="20"/>
          <w:szCs w:val="20"/>
          <w:color w:val="auto"/>
        </w:rPr>
      </w:pPr>
    </w:p>
    <w:p>
      <w:pPr>
        <w:ind w:firstLine="211"/>
        <w:spacing w:after="0" w:line="250" w:lineRule="auto"/>
        <w:rPr>
          <w:sz w:val="20"/>
          <w:szCs w:val="20"/>
          <w:color w:val="auto"/>
        </w:rPr>
      </w:pPr>
      <w:r>
        <w:rPr>
          <w:rFonts w:ascii="Arial" w:cs="Arial" w:eastAsia="Arial" w:hAnsi="Arial"/>
          <w:sz w:val="18"/>
          <w:szCs w:val="18"/>
          <w:color w:val="auto"/>
        </w:rPr>
        <w:t>Article 7 of the Comcast bylaws provides that each officer and director of Comcast will be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The right to indemnification includes the right to have the expenses incurred by such director or officer in defending any Proceeding paid by Comcast in advance of the final disposition of the Proceeding to the fullest extent permitted by Pennsylvania law,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if it is ultimately determined that the director or officer is not entitled to be so indemnified.</w:t>
      </w:r>
    </w:p>
    <w:p>
      <w:pPr>
        <w:spacing w:after="0" w:line="88" w:lineRule="exact"/>
        <w:rPr>
          <w:sz w:val="20"/>
          <w:szCs w:val="20"/>
          <w:color w:val="auto"/>
        </w:rPr>
      </w:pPr>
    </w:p>
    <w:p>
      <w:pPr>
        <w:ind w:right="220" w:firstLine="211"/>
        <w:spacing w:after="0" w:line="330"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foregoing statements are subject to the detailed provisions of the PBCL and to the applicable provisions of the Comcast charter and bylaws.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Provision Relating to AT&amp;T and Comcast Holdings Directors and Officers</w:t>
      </w:r>
    </w:p>
    <w:p>
      <w:pPr>
        <w:spacing w:after="0" w:line="117"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Comcast has agreed in connection with the completion of its acquisition of the broadband business of AT&amp;T Corp. (the “Broadband acquisition”)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Broadband acquisition became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for the Broadband acquisition and the transactions contemplated by the merger agreement.</w:t>
      </w:r>
    </w:p>
    <w:p>
      <w:pPr>
        <w:spacing w:after="0" w:line="75" w:lineRule="exact"/>
        <w:rPr>
          <w:sz w:val="20"/>
          <w:szCs w:val="20"/>
          <w:color w:val="auto"/>
        </w:rPr>
      </w:pPr>
    </w:p>
    <w:p>
      <w:pPr>
        <w:ind w:right="100" w:firstLine="211"/>
        <w:spacing w:after="0" w:line="255" w:lineRule="auto"/>
        <w:rPr>
          <w:sz w:val="20"/>
          <w:szCs w:val="20"/>
          <w:color w:val="auto"/>
        </w:rPr>
      </w:pPr>
      <w:r>
        <w:rPr>
          <w:rFonts w:ascii="Arial" w:cs="Arial" w:eastAsia="Arial" w:hAnsi="Arial"/>
          <w:sz w:val="18"/>
          <w:szCs w:val="18"/>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83" w:lineRule="exact"/>
        <w:rPr>
          <w:sz w:val="20"/>
          <w:szCs w:val="20"/>
          <w:color w:val="auto"/>
        </w:rPr>
      </w:pPr>
    </w:p>
    <w:p>
      <w:pPr>
        <w:ind w:right="60" w:firstLine="221"/>
        <w:spacing w:after="0" w:line="309" w:lineRule="auto"/>
        <w:rPr>
          <w:sz w:val="20"/>
          <w:szCs w:val="20"/>
          <w:color w:val="auto"/>
        </w:rPr>
      </w:pPr>
      <w:r>
        <w:rPr>
          <w:rFonts w:ascii="Arial" w:cs="Arial" w:eastAsia="Arial" w:hAnsi="Arial"/>
          <w:sz w:val="15"/>
          <w:szCs w:val="15"/>
          <w:color w:val="auto"/>
        </w:rPr>
        <w:t>For six years after completion of the Broadband acquisition,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117" w:lineRule="exact"/>
        <w:rPr>
          <w:sz w:val="20"/>
          <w:szCs w:val="20"/>
          <w:color w:val="auto"/>
        </w:rPr>
      </w:pPr>
    </w:p>
    <w:p>
      <w:pPr>
        <w:ind w:right="100" w:firstLine="221"/>
        <w:spacing w:after="0" w:line="265" w:lineRule="auto"/>
        <w:rPr>
          <w:sz w:val="20"/>
          <w:szCs w:val="20"/>
          <w:color w:val="auto"/>
        </w:rPr>
      </w:pPr>
      <w:r>
        <w:rPr>
          <w:rFonts w:ascii="Arial" w:cs="Arial" w:eastAsia="Arial" w:hAnsi="Arial"/>
          <w:sz w:val="17"/>
          <w:szCs w:val="17"/>
          <w:color w:val="auto"/>
        </w:rPr>
        <w:t>Comcast Cable Communications Holdings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77" w:lineRule="exact"/>
        <w:rPr>
          <w:sz w:val="20"/>
          <w:szCs w:val="20"/>
          <w:color w:val="auto"/>
        </w:rPr>
      </w:pPr>
    </w:p>
    <w:p>
      <w:pPr>
        <w:ind w:firstLine="221"/>
        <w:spacing w:after="0" w:line="248" w:lineRule="auto"/>
        <w:rPr>
          <w:sz w:val="20"/>
          <w:szCs w:val="20"/>
          <w:color w:val="auto"/>
        </w:rPr>
      </w:pPr>
      <w:r>
        <w:rPr>
          <w:rFonts w:ascii="Arial" w:cs="Arial" w:eastAsia="Arial" w:hAnsi="Arial"/>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92" w:lineRule="exact"/>
        <w:rPr>
          <w:sz w:val="20"/>
          <w:szCs w:val="20"/>
          <w:color w:val="auto"/>
        </w:rPr>
      </w:pPr>
    </w:p>
    <w:p>
      <w:pPr>
        <w:ind w:right="120" w:firstLine="221"/>
        <w:spacing w:after="0" w:line="309" w:lineRule="auto"/>
        <w:rPr>
          <w:sz w:val="20"/>
          <w:szCs w:val="20"/>
          <w:color w:val="auto"/>
        </w:rPr>
      </w:pPr>
      <w:r>
        <w:rPr>
          <w:rFonts w:ascii="Arial" w:cs="Arial" w:eastAsia="Arial" w:hAnsi="Arial"/>
          <w:sz w:val="15"/>
          <w:szCs w:val="15"/>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46" w:lineRule="exact"/>
        <w:rPr>
          <w:sz w:val="20"/>
          <w:szCs w:val="20"/>
          <w:color w:val="auto"/>
        </w:rPr>
      </w:pPr>
    </w:p>
    <w:p>
      <w:pPr>
        <w:ind w:right="60" w:firstLine="211"/>
        <w:spacing w:after="0" w:line="264" w:lineRule="auto"/>
        <w:rPr>
          <w:sz w:val="20"/>
          <w:szCs w:val="20"/>
          <w:color w:val="auto"/>
        </w:rPr>
      </w:pPr>
      <w:r>
        <w:rPr>
          <w:rFonts w:ascii="Arial" w:cs="Arial" w:eastAsia="Arial" w:hAnsi="Arial"/>
          <w:sz w:val="17"/>
          <w:szCs w:val="17"/>
          <w:color w:val="auto"/>
        </w:rPr>
        <w:t>Article VIII of Comcast Cable Communications Holdings’ Certificate of Incorporation provides that a director of Comcast Cable Communications Holdings will not be personally liable to Comcast Cable Communications Holdings or its stockholders for monetary damages for breach of fiduciary duty as a director, except that a director will not be exempt from liability (i) for any breach of the director’s duty of loyalty to Comcast Cable Communications Holdings or its stockholders, (ii) for acts or omissions not in good faith or which involve intentional misconduct or a knowing violation of law, (iii) under Section 174 of the General Corporation Law of the State of Delaware or (iv) for any transaction which a director derived an improper personal benefit. If there is any change in Delaware law which expands the liability of directors, the limited liability of Comcast Cable Communications Holdings’ directors shall continue to the extent permitted by law and if there is any change in Delaware law which permits a corporation, without the requirement of any further action by the stockholders or directors of such corporation, to limit further the liability of directors, then the liability of Comcast Cable Communications Holdings’ directors will be limited to the extent permitted by law.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117"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83"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capacity on behalf of Comcast Cable. In addition, the member may, by resolution, indemnify any other person (hereinafter, an “Other Person”) for similar liabilities incurred by him or her in connection with services rendered by him or her for or at the request of Comcast Cable, the member or any of Comcast Cable’s subsidiaries.</w:t>
      </w:r>
    </w:p>
    <w:p>
      <w:pPr>
        <w:spacing w:after="0" w:line="50" w:lineRule="exact"/>
        <w:rPr>
          <w:sz w:val="20"/>
          <w:szCs w:val="20"/>
          <w:color w:val="auto"/>
        </w:rPr>
      </w:pPr>
    </w:p>
    <w:p>
      <w:pPr>
        <w:ind w:right="20" w:firstLine="221"/>
        <w:spacing w:after="0" w:line="312" w:lineRule="auto"/>
        <w:rPr>
          <w:sz w:val="20"/>
          <w:szCs w:val="20"/>
          <w:color w:val="auto"/>
        </w:rPr>
      </w:pPr>
      <w:r>
        <w:rPr>
          <w:rFonts w:ascii="Arial" w:cs="Arial" w:eastAsia="Arial" w:hAnsi="Arial"/>
          <w:sz w:val="15"/>
          <w:szCs w:val="15"/>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46"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Holdings, LLC</w:t>
      </w:r>
    </w:p>
    <w:p>
      <w:pPr>
        <w:spacing w:after="0" w:line="117" w:lineRule="exact"/>
        <w:rPr>
          <w:sz w:val="20"/>
          <w:szCs w:val="20"/>
          <w:color w:val="auto"/>
        </w:rPr>
      </w:pPr>
    </w:p>
    <w:p>
      <w:pPr>
        <w:ind w:right="140" w:firstLine="221"/>
        <w:spacing w:after="0" w:line="330" w:lineRule="auto"/>
        <w:rPr>
          <w:sz w:val="20"/>
          <w:szCs w:val="20"/>
          <w:color w:val="auto"/>
        </w:rPr>
      </w:pPr>
      <w:r>
        <w:rPr>
          <w:rFonts w:ascii="Arial" w:cs="Arial" w:eastAsia="Arial" w:hAnsi="Arial"/>
          <w:sz w:val="15"/>
          <w:szCs w:val="15"/>
          <w:color w:val="auto"/>
        </w:rPr>
        <w:t>Comcast Cable Holdings is a limited liability company organized under the laws of the State of Delaware. The indemnification of officers and other persons provided for by Comcast Cable Holdings’ LLC Agreement and the Delaware Limited Liability Company Act is identical to the indemnification provisions described under “—Comcast Cable Communications, LLC”, except that the member of Comcast Cable Holdings is Comcast Cable Communications Holdings.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Group, Inc.</w:t>
      </w:r>
    </w:p>
    <w:p>
      <w:pPr>
        <w:spacing w:after="0" w:line="117" w:lineRule="exact"/>
        <w:rPr>
          <w:sz w:val="20"/>
          <w:szCs w:val="20"/>
          <w:color w:val="auto"/>
        </w:rPr>
      </w:pPr>
    </w:p>
    <w:p>
      <w:pPr>
        <w:jc w:val="both"/>
        <w:ind w:right="360" w:firstLine="221"/>
        <w:spacing w:after="0" w:line="366" w:lineRule="auto"/>
        <w:rPr>
          <w:sz w:val="20"/>
          <w:szCs w:val="20"/>
          <w:color w:val="auto"/>
        </w:rPr>
      </w:pPr>
      <w:r>
        <w:rPr>
          <w:rFonts w:ascii="Arial" w:cs="Arial" w:eastAsia="Arial" w:hAnsi="Arial"/>
          <w:sz w:val="15"/>
          <w:szCs w:val="15"/>
          <w:color w:val="auto"/>
        </w:rPr>
        <w:t>Comcast MO Group is a corporation organized under the laws of the State of Delaware. The indemnification of officers and directors provided for by the General Corporation Law of the State of Delaware is identical to the provisions described above under “—Comcast Cable Communications Holdings,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211"/>
        <w:spacing w:after="0" w:line="252" w:lineRule="auto"/>
        <w:rPr>
          <w:sz w:val="20"/>
          <w:szCs w:val="20"/>
          <w:color w:val="auto"/>
        </w:rPr>
      </w:pPr>
      <w:r>
        <w:rPr>
          <w:rFonts w:ascii="Arial" w:cs="Arial" w:eastAsia="Arial" w:hAnsi="Arial"/>
          <w:sz w:val="18"/>
          <w:szCs w:val="18"/>
          <w:color w:val="auto"/>
        </w:rPr>
        <w:t>Article VIII, Section 1 of Comcast MO Group’s Certificate of Incorporation provides that a director of Comcast MO Group will not be personally liable to Comcast MO Group or its stockholders for monetary damages for breach of fiduciary duty as director, except to the extent this exemption is not permitted by the General Corporation Law of the State of Delaware. Any repeal or modification of this provision will not affect the rights of a director of Comcast MO Group prior to such repeal or modification.</w:t>
      </w:r>
    </w:p>
    <w:p>
      <w:pPr>
        <w:spacing w:after="0" w:line="85" w:lineRule="exact"/>
        <w:rPr>
          <w:sz w:val="20"/>
          <w:szCs w:val="20"/>
          <w:color w:val="auto"/>
        </w:rPr>
      </w:pPr>
    </w:p>
    <w:p>
      <w:pPr>
        <w:ind w:right="40" w:firstLine="211"/>
        <w:spacing w:after="0" w:line="262" w:lineRule="auto"/>
        <w:rPr>
          <w:sz w:val="20"/>
          <w:szCs w:val="20"/>
          <w:color w:val="auto"/>
        </w:rPr>
      </w:pPr>
      <w:r>
        <w:rPr>
          <w:rFonts w:ascii="Arial" w:cs="Arial" w:eastAsia="Arial" w:hAnsi="Arial"/>
          <w:sz w:val="17"/>
          <w:szCs w:val="17"/>
          <w:color w:val="auto"/>
        </w:rPr>
        <w:t>Article VIII, Section 2 of Comcast MO Group’s Certificate of Incorporation provides that each person who was or is made a party or is threatened to be made a party to or is otherwise in any way involved in any action, suit or proceeding, whether civil, criminal, administrative or investigative (hereinafter a “proceeding”), by reason of the fact that he, or the person of whom he is legal representative, is or was a director or officer of Comcast MO Group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MO Group to the fullest extent authorized by the General Corporation Law of the State of Delaware against all expense, liability and loss (including attorneys’ fees, judgments, fines, amounts paid or to be paid in settlement and Employee Retirement Income Security Act of 1974 excise taxes or penalties) reasonably incurred or suffered by the indemnitee in connection with the proceeding. However, except in the case of proceedings to enforce rights to indemnification, Comcast MO Group will indemnify an indemnitee in connection with a proceeding (or part thereof) initiated by the indemnitee only if the proceeding was authorized by the Board of Directors of Comcast MO Group. The right to indemnification includes the right to be paid by Comcast MO Group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will be made only upon delivery to Comcast MO Group of an undertaking, by or on behalf of the indemnitee, to repay all amounts so advanced if it is ultimately determined that the indemnitee is not entitled to be indemnified for the expenses. Also, the Board of Directors of Comcast MO Group may grant rights to indemnification as described above to any of Comcast MO Group’s employees and agents.</w:t>
      </w:r>
    </w:p>
    <w:p>
      <w:pPr>
        <w:spacing w:after="0" w:line="86"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If a claim for indemnification is not paid in full within 30 days after a written claim is received by Comcast MO Group,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MO Group to indemnify the claimant for the amount claimed, but Comcast MO Group would bear the burden of proving this defense.</w:t>
      </w:r>
    </w:p>
    <w:p>
      <w:pPr>
        <w:spacing w:after="0" w:line="90"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color w:val="auto"/>
        </w:rPr>
        <w:t>Comcast MO Group may maintain insurance, at its expense, to protect itself and any director, officer, employee or agent of Comcast MO Group or another corporation, partnership, joint venture, trust or other enterprise against any expense, liability or loss, whether or not Comcast MO Group would have the power to indemnify such person under the General Corporation Law of the State of Delaware.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of Delaware, LLC</w:t>
      </w:r>
    </w:p>
    <w:p>
      <w:pPr>
        <w:spacing w:after="0" w:line="117"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Comcast MO of Delaware is a limited liability company organized under the laws of the State of Delaware. The indemnification of officers and other persons provided for by Comcast MO of Delaware’s LLC Agreement and the Delaware Limited Liability Company Act is identical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to the indemnification provisions described under “—Comcast Cable Communications, LLC”, except that the member of Comcast MO of Delaware is Comcast of Georgia,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117" w:lineRule="exact"/>
        <w:rPr>
          <w:sz w:val="20"/>
          <w:szCs w:val="20"/>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207" w:lineRule="exact"/>
        <w:rPr>
          <w:sz w:val="20"/>
          <w:szCs w:val="20"/>
          <w:color w:val="auto"/>
        </w:rPr>
      </w:pPr>
    </w:p>
    <w:p>
      <w:pPr>
        <w:spacing w:after="0"/>
        <w:tabs>
          <w:tab w:leader="none" w:pos="57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4445</wp:posOffset>
            </wp:positionV>
            <wp:extent cx="6743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3700" cy="8255"/>
                    </a:xfrm>
                    <a:prstGeom prst="rect">
                      <a:avLst/>
                    </a:prstGeom>
                    <a:noFill/>
                  </pic:spPr>
                </pic:pic>
              </a:graphicData>
            </a:graphic>
          </wp:anchor>
        </w:drawing>
      </w:r>
    </w:p>
    <w:p>
      <w:pPr>
        <w:spacing w:after="0" w:line="108"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Form of Underwriting Agreement (Debt Securities, Warrants, Purchase Contracts and Units)*</w:t>
      </w:r>
    </w:p>
    <w:p>
      <w:pPr>
        <w:spacing w:after="0" w:line="217"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Form of Underwriting Agreement (Preferred Stock, Depositary Shares, Common Stock)*</w:t>
      </w:r>
    </w:p>
    <w:p>
      <w:pPr>
        <w:spacing w:after="0" w:line="216"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Class A Common Stock Certificate</w:t>
      </w:r>
      <w:r>
        <w:rPr>
          <w:rFonts w:ascii="Arial" w:cs="Arial" w:eastAsia="Arial" w:hAnsi="Arial"/>
          <w:sz w:val="13"/>
          <w:szCs w:val="13"/>
          <w:color w:val="auto"/>
        </w:rPr>
        <w:t>1</w:t>
      </w:r>
    </w:p>
    <w:p>
      <w:pPr>
        <w:spacing w:after="0" w:line="217"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Specimen Class A Special Common Stock Certificate</w:t>
      </w:r>
      <w:r>
        <w:rPr>
          <w:rFonts w:ascii="Arial" w:cs="Arial" w:eastAsia="Arial" w:hAnsi="Arial"/>
          <w:sz w:val="13"/>
          <w:szCs w:val="13"/>
          <w:color w:val="auto"/>
        </w:rPr>
        <w:t>1</w:t>
      </w:r>
    </w:p>
    <w:p>
      <w:pPr>
        <w:spacing w:after="0" w:line="218" w:lineRule="exact"/>
        <w:rPr>
          <w:sz w:val="20"/>
          <w:szCs w:val="20"/>
          <w:color w:val="auto"/>
        </w:rPr>
      </w:pPr>
    </w:p>
    <w:p>
      <w:pPr>
        <w:ind w:left="800" w:right="100" w:hanging="554"/>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Rights Agreement dated as of November 18, 2002, between Comcast Corporation and EquiServe Trust Company, N.A., as Rights Agent, which includes the Form of Certificate of Designation of Series A Participant’s Cumulative Preferred Stock as Exhibit A and the Form of Right Certificate as Exhibit B (incorporated by reference to our registration statement on Form 8-A12G filed on November 18, 2002)</w:t>
      </w:r>
      <w:r>
        <w:rPr>
          <w:rFonts w:ascii="Arial" w:cs="Arial" w:eastAsia="Arial" w:hAnsi="Arial"/>
          <w:sz w:val="14"/>
          <w:szCs w:val="14"/>
          <w:color w:val="auto"/>
        </w:rPr>
        <w:t>2</w:t>
      </w:r>
    </w:p>
    <w:p>
      <w:pPr>
        <w:spacing w:after="0" w:line="171"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Senior Indenture among the Company, the cable guarantors party thereto and The Bank of New York, as Trustee</w:t>
      </w:r>
      <w:r>
        <w:rPr>
          <w:rFonts w:ascii="Arial" w:cs="Arial" w:eastAsia="Arial" w:hAnsi="Arial"/>
          <w:sz w:val="13"/>
          <w:szCs w:val="13"/>
          <w:color w:val="auto"/>
        </w:rPr>
        <w:t>3</w:t>
      </w:r>
    </w:p>
    <w:p>
      <w:pPr>
        <w:spacing w:after="0" w:line="218" w:lineRule="exact"/>
        <w:rPr>
          <w:sz w:val="20"/>
          <w:szCs w:val="20"/>
          <w:color w:val="auto"/>
        </w:rPr>
      </w:pPr>
    </w:p>
    <w:p>
      <w:pPr>
        <w:ind w:left="800" w:hanging="554"/>
        <w:spacing w:after="0" w:line="265"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Amendment to Senior Indenture among the Company, Comcast MO of Delaware, Inc. (formerly known as MediaOne of Delaware, Inc.) the other cable guarantors party thereto and The Bank of New York, as Trustee</w:t>
      </w:r>
      <w:r>
        <w:rPr>
          <w:rFonts w:ascii="Arial" w:cs="Arial" w:eastAsia="Arial" w:hAnsi="Arial"/>
          <w:sz w:val="15"/>
          <w:szCs w:val="15"/>
          <w:color w:val="auto"/>
        </w:rPr>
        <w:t>4</w:t>
      </w:r>
    </w:p>
    <w:p>
      <w:pPr>
        <w:spacing w:after="0" w:line="17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Form of Subordinated Indenture among the Company, the cable guarantors party thereto and The Bank of New York, as Trustee*</w:t>
      </w:r>
    </w:p>
    <w:p>
      <w:pPr>
        <w:spacing w:after="0" w:line="216"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Form of Senior Debt Security</w:t>
      </w:r>
      <w:r>
        <w:rPr>
          <w:rFonts w:ascii="Arial" w:cs="Arial" w:eastAsia="Arial" w:hAnsi="Arial"/>
          <w:sz w:val="13"/>
          <w:szCs w:val="13"/>
          <w:color w:val="auto"/>
        </w:rPr>
        <w:t>3</w:t>
      </w:r>
    </w:p>
    <w:p>
      <w:pPr>
        <w:spacing w:after="0" w:line="217"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Form of Subordinated Debt Security</w:t>
      </w:r>
      <w:r>
        <w:rPr>
          <w:rFonts w:ascii="Arial" w:cs="Arial" w:eastAsia="Arial" w:hAnsi="Arial"/>
          <w:sz w:val="13"/>
          <w:szCs w:val="13"/>
          <w:color w:val="auto"/>
        </w:rPr>
        <w:t>3</w:t>
      </w:r>
    </w:p>
    <w:p>
      <w:pPr>
        <w:spacing w:after="0" w:line="218"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color w:val="auto"/>
        </w:rPr>
        <w:t>Form of Purchase Contract Agreement relating to Purchase Contracts (included in Exhibit 4.10)</w:t>
      </w:r>
    </w:p>
    <w:p>
      <w:pPr>
        <w:spacing w:after="0" w:line="216"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Form of Unit Agreement</w:t>
      </w:r>
      <w:r>
        <w:rPr>
          <w:rFonts w:ascii="Arial" w:cs="Arial" w:eastAsia="Arial" w:hAnsi="Arial"/>
          <w:sz w:val="13"/>
          <w:szCs w:val="13"/>
          <w:color w:val="auto"/>
        </w:rPr>
        <w:t>5</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color w:val="auto"/>
        </w:rPr>
        <w:t>Form of Warrant Agreement for Warrants sold separately</w:t>
      </w:r>
      <w:r>
        <w:rPr>
          <w:rFonts w:ascii="Arial" w:cs="Arial" w:eastAsia="Arial" w:hAnsi="Arial"/>
          <w:sz w:val="13"/>
          <w:szCs w:val="13"/>
          <w:color w:val="auto"/>
        </w:rPr>
        <w:t>6</w:t>
      </w:r>
    </w:p>
    <w:p>
      <w:pPr>
        <w:spacing w:after="0" w:line="21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Form of Warrant for Warrants sold separately (included in Exhibit 4.11)</w:t>
      </w:r>
    </w:p>
    <w:p>
      <w:pPr>
        <w:spacing w:after="0" w:line="216"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Form of Warrant Agreement for Warrants sold attached to other Securities</w:t>
      </w:r>
      <w:r>
        <w:rPr>
          <w:rFonts w:ascii="Arial" w:cs="Arial" w:eastAsia="Arial" w:hAnsi="Arial"/>
          <w:sz w:val="13"/>
          <w:szCs w:val="13"/>
          <w:color w:val="auto"/>
        </w:rPr>
        <w:t>6</w:t>
      </w:r>
    </w:p>
    <w:p>
      <w:pPr>
        <w:spacing w:after="0" w:line="21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color w:val="auto"/>
        </w:rPr>
        <w:t>Form of Warrant for Warrants sold attached to other Securities (included in Exhibit 4.13)</w:t>
      </w:r>
    </w:p>
    <w:p>
      <w:pPr>
        <w:spacing w:after="0" w:line="216"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color w:val="auto"/>
        </w:rPr>
        <w:t>Form of Pledge Agreement</w:t>
      </w:r>
      <w:r>
        <w:rPr>
          <w:rFonts w:ascii="Arial" w:cs="Arial" w:eastAsia="Arial" w:hAnsi="Arial"/>
          <w:sz w:val="13"/>
          <w:szCs w:val="13"/>
          <w:color w:val="auto"/>
        </w:rPr>
        <w:t>6</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5"/>
          <w:szCs w:val="15"/>
          <w:color w:val="auto"/>
        </w:rPr>
        <w:t>Form of Deposit Agreement</w:t>
      </w:r>
      <w:r>
        <w:rPr>
          <w:rFonts w:ascii="Arial" w:cs="Arial" w:eastAsia="Arial" w:hAnsi="Arial"/>
          <w:sz w:val="13"/>
          <w:szCs w:val="13"/>
          <w:color w:val="auto"/>
        </w:rPr>
        <w:t>3</w:t>
      </w:r>
    </w:p>
    <w:p>
      <w:pPr>
        <w:spacing w:after="0" w:line="21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5"/>
          <w:szCs w:val="15"/>
          <w:color w:val="auto"/>
        </w:rPr>
        <w:t>Form of Depositary Share (included in Exhibit 4.16)</w:t>
      </w:r>
    </w:p>
    <w:p>
      <w:pPr>
        <w:spacing w:after="0" w:line="216"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5"/>
          <w:szCs w:val="15"/>
          <w:color w:val="auto"/>
        </w:rPr>
        <w:t>Form of Guarantee (Warrants, Purchase Contracts and Units)</w:t>
      </w:r>
      <w:r>
        <w:rPr>
          <w:rFonts w:ascii="Arial" w:cs="Arial" w:eastAsia="Arial" w:hAnsi="Arial"/>
          <w:sz w:val="13"/>
          <w:szCs w:val="13"/>
          <w:color w:val="auto"/>
        </w:rPr>
        <w:t>6</w:t>
      </w:r>
    </w:p>
    <w:p>
      <w:pPr>
        <w:spacing w:after="0" w:line="218"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Arthur R. Block, Esquire*</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tabs>
          <w:tab w:leader="none" w:pos="57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4445</wp:posOffset>
            </wp:positionV>
            <wp:extent cx="6743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3700" cy="8255"/>
                    </a:xfrm>
                    <a:prstGeom prst="rect">
                      <a:avLst/>
                    </a:prstGeom>
                    <a:noFill/>
                  </pic:spPr>
                </pic:pic>
              </a:graphicData>
            </a:graphic>
          </wp:anchor>
        </w:drawing>
      </w:r>
    </w:p>
    <w:p>
      <w:pPr>
        <w:spacing w:after="0" w:line="108"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Davis Polk &amp; Wardwell*</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 of Comcast Corporation*</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Statement Regarding Computation of Ratio of Earnings to Combined Fixed Charges and Preferred Dividends of Comcast Corporation*</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Deloitte &amp; Touche LLP*</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Arthur R. Block, Esquire (included in Exhibit 5.1)</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Davis Polk &amp; Wardwell (included in Exhibit 5.2)</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Powers of Attorney (included on the signature pages hereof)</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color w:val="auto"/>
        </w:rPr>
        <w:t>Statement of Eligibility under the Trust Indenture Act of 1939, as amended, of The Bank of New York, as Trustee under the Senior Indenture*</w:t>
      </w:r>
    </w:p>
    <w:p>
      <w:pPr>
        <w:spacing w:after="0" w:line="217"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color w:val="auto"/>
        </w:rPr>
        <w:t>Statement of Eligibility under the Trust Indenture Act of 1939, as amended, of The Bank of New York, as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1304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6" w:lineRule="exact"/>
        <w:rPr>
          <w:sz w:val="20"/>
          <w:szCs w:val="20"/>
          <w:color w:val="auto"/>
        </w:rPr>
      </w:pPr>
    </w:p>
    <w:p>
      <w:pPr>
        <w:ind w:left="440" w:hanging="43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1" w:lineRule="exact"/>
        <w:rPr>
          <w:sz w:val="20"/>
          <w:szCs w:val="20"/>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2002, filed on March 20, 2003.</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8-A12G filed on November 18, 2002.</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December 16, 2002.</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March 26, 2003.</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Amended Registration Statement on Form S-3/A, filed on December 23,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17" w:lineRule="exact"/>
        <w:rPr>
          <w:sz w:val="20"/>
          <w:szCs w:val="20"/>
          <w:color w:val="auto"/>
        </w:rPr>
      </w:pPr>
    </w:p>
    <w:p>
      <w:pPr>
        <w:ind w:left="660" w:hanging="429"/>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11" w:lineRule="exact"/>
        <w:rPr>
          <w:rFonts w:ascii="Arial" w:cs="Arial" w:eastAsia="Arial" w:hAnsi="Arial"/>
          <w:sz w:val="18"/>
          <w:szCs w:val="18"/>
          <w:color w:val="auto"/>
        </w:rPr>
      </w:pPr>
    </w:p>
    <w:p>
      <w:pPr>
        <w:ind w:left="240" w:right="480" w:firstLine="215"/>
        <w:spacing w:after="0" w:line="265" w:lineRule="auto"/>
        <w:tabs>
          <w:tab w:leader="none" w:pos="7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73" w:lineRule="exact"/>
        <w:rPr>
          <w:rFonts w:ascii="Arial" w:cs="Arial" w:eastAsia="Arial" w:hAnsi="Arial"/>
          <w:sz w:val="18"/>
          <w:szCs w:val="18"/>
          <w:color w:val="auto"/>
        </w:rPr>
      </w:pPr>
    </w:p>
    <w:p>
      <w:pPr>
        <w:ind w:left="900" w:hanging="216"/>
        <w:spacing w:after="0"/>
        <w:tabs>
          <w:tab w:leader="none" w:pos="9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1" w:lineRule="exact"/>
        <w:rPr>
          <w:rFonts w:ascii="Arial" w:cs="Arial" w:eastAsia="Arial" w:hAnsi="Arial"/>
          <w:sz w:val="18"/>
          <w:szCs w:val="18"/>
          <w:color w:val="auto"/>
        </w:rPr>
      </w:pPr>
    </w:p>
    <w:p>
      <w:pPr>
        <w:ind w:left="460" w:right="340" w:firstLine="224"/>
        <w:spacing w:after="0" w:line="330" w:lineRule="auto"/>
        <w:tabs>
          <w:tab w:leader="none" w:pos="941" w:val="left"/>
        </w:tabs>
        <w:numPr>
          <w:ilvl w:val="2"/>
          <w:numId w:val="4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40"/>
        <w:spacing w:after="0" w:line="252" w:lineRule="auto"/>
        <w:rPr>
          <w:sz w:val="20"/>
          <w:szCs w:val="20"/>
          <w:color w:val="auto"/>
        </w:rPr>
      </w:pPr>
      <w:r>
        <w:rPr>
          <w:rFonts w:ascii="Arial" w:cs="Arial" w:eastAsia="Arial" w:hAnsi="Arial"/>
          <w:sz w:val="18"/>
          <w:szCs w:val="18"/>
          <w:color w:val="auto"/>
        </w:rPr>
        <w:t>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5" w:lineRule="exact"/>
        <w:rPr>
          <w:sz w:val="20"/>
          <w:szCs w:val="20"/>
          <w:color w:val="auto"/>
        </w:rPr>
      </w:pPr>
    </w:p>
    <w:p>
      <w:pPr>
        <w:ind w:left="460" w:right="220" w:firstLine="224"/>
        <w:spacing w:after="0" w:line="265" w:lineRule="auto"/>
        <w:tabs>
          <w:tab w:leader="none" w:pos="9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3"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Securities and Exchange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85" w:lineRule="exact"/>
        <w:rPr>
          <w:sz w:val="20"/>
          <w:szCs w:val="20"/>
          <w:color w:val="auto"/>
        </w:rPr>
      </w:pPr>
    </w:p>
    <w:p>
      <w:pPr>
        <w:ind w:right="160" w:firstLine="448"/>
        <w:spacing w:after="0" w:line="255"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2" w:lineRule="exact"/>
        <w:rPr>
          <w:rFonts w:ascii="Arial" w:cs="Arial" w:eastAsia="Arial" w:hAnsi="Arial"/>
          <w:sz w:val="18"/>
          <w:szCs w:val="18"/>
          <w:color w:val="auto"/>
        </w:rPr>
      </w:pPr>
    </w:p>
    <w:p>
      <w:pPr>
        <w:ind w:right="160" w:firstLine="448"/>
        <w:spacing w:after="0" w:line="265"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3" w:lineRule="exact"/>
        <w:rPr>
          <w:rFonts w:ascii="Arial" w:cs="Arial" w:eastAsia="Arial" w:hAnsi="Arial"/>
          <w:sz w:val="18"/>
          <w:szCs w:val="18"/>
          <w:color w:val="auto"/>
        </w:rPr>
      </w:pPr>
    </w:p>
    <w:p>
      <w:pPr>
        <w:ind w:left="700" w:hanging="252"/>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1" w:lineRule="exact"/>
        <w:rPr>
          <w:rFonts w:ascii="Arial" w:cs="Arial" w:eastAsia="Arial" w:hAnsi="Arial"/>
          <w:sz w:val="18"/>
          <w:szCs w:val="18"/>
          <w:color w:val="auto"/>
        </w:rPr>
      </w:pPr>
    </w:p>
    <w:p>
      <w:pPr>
        <w:ind w:left="460" w:right="340" w:firstLine="224"/>
        <w:spacing w:after="0" w:line="265"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3" w:lineRule="exact"/>
        <w:rPr>
          <w:rFonts w:ascii="Arial" w:cs="Arial" w:eastAsia="Arial" w:hAnsi="Arial"/>
          <w:sz w:val="18"/>
          <w:szCs w:val="18"/>
          <w:color w:val="auto"/>
        </w:rPr>
      </w:pPr>
    </w:p>
    <w:p>
      <w:pPr>
        <w:ind w:left="460" w:firstLine="224"/>
        <w:spacing w:after="0" w:line="303" w:lineRule="auto"/>
        <w:tabs>
          <w:tab w:leader="none" w:pos="941" w:val="left"/>
        </w:tabs>
        <w:numPr>
          <w:ilvl w:val="1"/>
          <w:numId w:val="45"/>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5"/>
          <w:szCs w:val="15"/>
          <w:i w:val="1"/>
          <w:iCs w:val="1"/>
          <w:color w:val="auto"/>
        </w:rPr>
        <w:t xml:space="preserve">bona fide </w:t>
      </w:r>
      <w:r>
        <w:rPr>
          <w:rFonts w:ascii="Arial" w:cs="Arial" w:eastAsia="Arial" w:hAnsi="Arial"/>
          <w:sz w:val="15"/>
          <w:szCs w:val="15"/>
          <w:color w:val="auto"/>
        </w:rPr>
        <w:t>offering thereof.</w:t>
      </w:r>
      <w:r>
        <w:rPr>
          <w:rFonts w:ascii="Arial" w:cs="Arial" w:eastAsia="Arial" w:hAnsi="Arial"/>
          <w:sz w:val="15"/>
          <w:szCs w:val="15"/>
          <w:i w:val="1"/>
          <w:iCs w:val="1"/>
          <w:color w:val="auto"/>
        </w:rPr>
        <w:t xml:space="preserve"> Provided, however</w:t>
      </w:r>
      <w:r>
        <w:rPr>
          <w:rFonts w:ascii="Arial" w:cs="Arial" w:eastAsia="Arial" w:hAnsi="Arial"/>
          <w:sz w:val="15"/>
          <w:szCs w:val="15"/>
          <w:color w:val="auto"/>
        </w:rPr>
        <w:t>, that no statement made in a registration statement or prospectus that is part of the registration statement or</w:t>
      </w:r>
      <w:r>
        <w:rPr>
          <w:rFonts w:ascii="Arial" w:cs="Arial" w:eastAsia="Arial" w:hAnsi="Arial"/>
          <w:sz w:val="15"/>
          <w:szCs w:val="15"/>
          <w:i w:val="1"/>
          <w:iCs w:val="1"/>
          <w:color w:val="auto"/>
        </w:rPr>
        <w:t xml:space="preserve"> </w:t>
      </w:r>
      <w:r>
        <w:rPr>
          <w:rFonts w:ascii="Arial" w:cs="Arial" w:eastAsia="Arial" w:hAnsi="Arial"/>
          <w:sz w:val="15"/>
          <w:szCs w:val="15"/>
          <w:color w:val="auto"/>
        </w:rPr>
        <w:t>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9" w:lineRule="exact"/>
        <w:rPr>
          <w:rFonts w:ascii="Arial" w:cs="Arial" w:eastAsia="Arial" w:hAnsi="Arial"/>
          <w:sz w:val="15"/>
          <w:szCs w:val="15"/>
          <w:color w:val="auto"/>
        </w:rPr>
      </w:pPr>
    </w:p>
    <w:p>
      <w:pPr>
        <w:ind w:left="700" w:hanging="252"/>
        <w:spacing w:after="0"/>
        <w:tabs>
          <w:tab w:leader="none" w:pos="7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60" w:firstLine="218"/>
        <w:spacing w:after="0" w:line="252"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900" w:hanging="216"/>
        <w:spacing w:after="0"/>
        <w:tabs>
          <w:tab w:leader="none" w:pos="9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2" w:lineRule="exact"/>
        <w:rPr>
          <w:rFonts w:ascii="Arial" w:cs="Arial" w:eastAsia="Arial" w:hAnsi="Arial"/>
          <w:sz w:val="17"/>
          <w:szCs w:val="17"/>
          <w:color w:val="auto"/>
        </w:rPr>
      </w:pPr>
    </w:p>
    <w:p>
      <w:pPr>
        <w:ind w:left="460" w:right="40" w:firstLine="224"/>
        <w:spacing w:after="0" w:line="265" w:lineRule="auto"/>
        <w:tabs>
          <w:tab w:leader="none" w:pos="9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3" w:lineRule="exact"/>
        <w:rPr>
          <w:rFonts w:ascii="Arial" w:cs="Arial" w:eastAsia="Arial" w:hAnsi="Arial"/>
          <w:sz w:val="18"/>
          <w:szCs w:val="18"/>
          <w:color w:val="auto"/>
        </w:rPr>
      </w:pPr>
    </w:p>
    <w:p>
      <w:pPr>
        <w:ind w:left="460" w:right="340" w:firstLine="224"/>
        <w:spacing w:after="0" w:line="265" w:lineRule="auto"/>
        <w:tabs>
          <w:tab w:leader="none" w:pos="9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3" w:lineRule="exact"/>
        <w:rPr>
          <w:rFonts w:ascii="Arial" w:cs="Arial" w:eastAsia="Arial" w:hAnsi="Arial"/>
          <w:sz w:val="18"/>
          <w:szCs w:val="18"/>
          <w:color w:val="auto"/>
        </w:rPr>
      </w:pPr>
    </w:p>
    <w:p>
      <w:pPr>
        <w:ind w:left="980" w:hanging="296"/>
        <w:spacing w:after="0"/>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1" w:lineRule="exact"/>
        <w:rPr>
          <w:rFonts w:ascii="Arial" w:cs="Arial" w:eastAsia="Arial" w:hAnsi="Arial"/>
          <w:sz w:val="18"/>
          <w:szCs w:val="18"/>
          <w:color w:val="auto"/>
        </w:rPr>
      </w:pPr>
    </w:p>
    <w:p>
      <w:pPr>
        <w:ind w:left="660" w:right="40" w:hanging="429"/>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1" w:lineRule="exact"/>
        <w:rPr>
          <w:rFonts w:ascii="Arial" w:cs="Arial" w:eastAsia="Arial" w:hAnsi="Arial"/>
          <w:sz w:val="18"/>
          <w:szCs w:val="18"/>
          <w:color w:val="auto"/>
        </w:rPr>
      </w:pPr>
    </w:p>
    <w:p>
      <w:pPr>
        <w:ind w:left="660" w:hanging="429"/>
        <w:spacing w:after="0" w:line="26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17"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11430</wp:posOffset>
            </wp:positionV>
            <wp:extent cx="2761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0"/>
              </w:rPr>
              <w:t>Brian L. Roberts</w:t>
            </w:r>
          </w:p>
        </w:tc>
        <w:tc>
          <w:tcPr>
            <w:tcW w:w="34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Ralph J. Roberts</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 of the Executive and Finance Committee of the Board</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7"/>
              </w:rPr>
              <w:t>Ralph J. Roberts</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3"/>
              </w:rPr>
              <w:t>of Directors; Director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Julian A. Brodsky</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Non-Executive Vice Chairman;</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2"/>
              </w:rPr>
              <w:t>Julian A. Brodsky</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Lawrence S. Smith</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S. Smith</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R. Alchin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7"/>
              </w:rPr>
              <w:t>Executive Vice President and Treasurer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John R. Alchin</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Lawrence J. Salva</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Senior Vice President, Chief Accounting Officer and Controller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J. Salva</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3"/>
              </w:rPr>
              <w:t>(Principal Accounting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98"/>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II-11</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 Decker Anstrom</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22,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0"/>
              </w:rPr>
              <w:t>S. Decker Anstrom</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Edward D. Breen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88"/>
              </w:rPr>
              <w:t>Edward D. Breen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Kenneth J. Bacon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Sheldon M. Bonovitz</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Sheldon M. Bonovitz</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J. Collins</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21,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86"/>
              </w:rPr>
              <w:t>Joseph J. Collins</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 Michael Cook</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0"/>
              </w:rPr>
              <w:t>J. Michael Cook</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A. Honickman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2"/>
              </w:rPr>
              <w:t>Jeffrey A. Honickman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Judith Rodin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1"/>
              </w:rPr>
              <w:t>Dr. Judith Rodin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I. Sovern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0"/>
              </w:rPr>
              <w:t>Michael I. Sovern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8"/>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II-12</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00"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11430</wp:posOffset>
            </wp:positionV>
            <wp:extent cx="2787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0"/>
              </w:rPr>
              <w:t>/s/ Brian L. Roberts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90"/>
              </w:rPr>
              <w:t>Brian L. Roberts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89"/>
              </w:rPr>
              <w:t>/s/ Lawrence S. Smith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S. Smith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1"/>
              </w:rPr>
              <w:t>/s/ John R. Alchin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91"/>
              </w:rPr>
              <w:t>John R. Alchin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8"/>
                <w:szCs w:val="18"/>
                <w:color w:val="auto"/>
                <w:w w:val="87"/>
              </w:rPr>
              <w:t>/s/ Lawrence J. Salva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Senior Vice President (Principal</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J. Salva</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Accounting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13"/>
        </w:trPr>
        <w:tc>
          <w:tcPr>
            <w:tcW w:w="480" w:type="dxa"/>
            <w:vAlign w:val="bottom"/>
          </w:tcPr>
          <w:p>
            <w:pPr>
              <w:spacing w:after="0"/>
              <w:rPr>
                <w:sz w:val="24"/>
                <w:szCs w:val="24"/>
                <w:color w:val="auto"/>
              </w:rPr>
            </w:pPr>
          </w:p>
        </w:tc>
        <w:tc>
          <w:tcPr>
            <w:tcW w:w="4100" w:type="dxa"/>
            <w:vAlign w:val="bottom"/>
          </w:tcPr>
          <w:p>
            <w:pPr>
              <w:jc w:val="center"/>
              <w:ind w:right="373"/>
              <w:spacing w:after="0"/>
              <w:rPr>
                <w:sz w:val="20"/>
                <w:szCs w:val="20"/>
                <w:color w:val="auto"/>
              </w:rPr>
            </w:pPr>
            <w:r>
              <w:rPr>
                <w:rFonts w:ascii="Arial" w:cs="Arial" w:eastAsia="Arial" w:hAnsi="Arial"/>
                <w:sz w:val="18"/>
                <w:szCs w:val="18"/>
                <w:color w:val="auto"/>
                <w:w w:val="95"/>
              </w:rPr>
              <w:t>COMCAST HOLDINGS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80" w:type="dxa"/>
            <w:vAlign w:val="bottom"/>
          </w:tcPr>
          <w:p>
            <w:pPr>
              <w:spacing w:after="0"/>
              <w:rPr>
                <w:sz w:val="19"/>
                <w:szCs w:val="19"/>
                <w:color w:val="auto"/>
              </w:rPr>
            </w:pPr>
          </w:p>
        </w:tc>
        <w:tc>
          <w:tcPr>
            <w:tcW w:w="4100" w:type="dxa"/>
            <w:vAlign w:val="bottom"/>
          </w:tcPr>
          <w:p>
            <w:pPr>
              <w:jc w:val="center"/>
              <w:ind w:right="373"/>
              <w:spacing w:after="0"/>
              <w:rPr>
                <w:sz w:val="20"/>
                <w:szCs w:val="20"/>
                <w:color w:val="auto"/>
              </w:rPr>
            </w:pPr>
            <w:r>
              <w:rPr>
                <w:rFonts w:ascii="Arial" w:cs="Arial" w:eastAsia="Arial" w:hAnsi="Arial"/>
                <w:sz w:val="18"/>
                <w:szCs w:val="18"/>
                <w:color w:val="auto"/>
                <w:w w:val="92"/>
              </w:rPr>
              <w:t>CORPORATION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2"/>
              </w:rPr>
              <w:t>/s/ Arthur R. Block</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1920"/>
              <w:spacing w:after="0"/>
              <w:rPr>
                <w:sz w:val="20"/>
                <w:szCs w:val="20"/>
                <w:color w:val="auto"/>
              </w:rPr>
            </w:pPr>
            <w:r>
              <w:rPr>
                <w:rFonts w:ascii="Arial" w:cs="Arial" w:eastAsia="Arial" w:hAnsi="Arial"/>
                <w:sz w:val="18"/>
                <w:szCs w:val="18"/>
                <w:color w:val="auto"/>
              </w:rPr>
              <w:t>Sole Member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07"/>
        </w:trPr>
        <w:tc>
          <w:tcPr>
            <w:tcW w:w="480" w:type="dxa"/>
            <w:vAlign w:val="bottom"/>
          </w:tcPr>
          <w:p>
            <w:pPr>
              <w:spacing w:after="0"/>
              <w:rPr>
                <w:sz w:val="17"/>
                <w:szCs w:val="17"/>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93"/>
              </w:rPr>
              <w:t>Arthur. R. Block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88"/>
              </w:rPr>
              <w:t>Senior Vice President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98"/>
        </w:trPr>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II-13</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100"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Cable Communications Holdings,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COMCAST CABLE COMMUNICATIONS</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HOLDINGS, INC.</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11430</wp:posOffset>
            </wp:positionV>
            <wp:extent cx="278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0"/>
              </w:rPr>
              <w:t>Brian L. Roberts</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(Principal Executive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Lawrence S. Smith</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Executive Vice President (Co-Principal Financial Officer);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S. Smith</w:t>
            </w:r>
          </w:p>
        </w:tc>
        <w:tc>
          <w:tcPr>
            <w:tcW w:w="340" w:type="dxa"/>
            <w:vAlign w:val="bottom"/>
          </w:tcPr>
          <w:p>
            <w:pPr>
              <w:spacing w:after="0"/>
              <w:rPr>
                <w:sz w:val="19"/>
                <w:szCs w:val="19"/>
                <w:color w:val="auto"/>
              </w:rPr>
            </w:pPr>
          </w:p>
        </w:tc>
        <w:tc>
          <w:tcPr>
            <w:tcW w:w="4580" w:type="dxa"/>
            <w:vAlign w:val="bottom"/>
          </w:tcPr>
          <w:p>
            <w:pPr>
              <w:ind w:left="1980"/>
              <w:spacing w:after="0" w:line="203"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R. Alchin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John R. Alchin</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L. Cohen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Executive Vice President; 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R. Block</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Senior Vice President; 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4"/>
              </w:rPr>
              <w:t>Arthur R. Block</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Lawrence J. Salva</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Senior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J. Salva</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3"/>
              </w:rPr>
              <w:t>(Principal Accounting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98"/>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II-14</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HOLDINGS, LLC</w:t>
      </w:r>
    </w:p>
    <w:p>
      <w:pPr>
        <w:spacing w:after="0" w:line="100" w:lineRule="exact"/>
        <w:rPr>
          <w:sz w:val="20"/>
          <w:szCs w:val="20"/>
          <w:color w:val="auto"/>
        </w:rPr>
      </w:pPr>
    </w:p>
    <w:p>
      <w:pPr>
        <w:ind w:right="180"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CABLE HOLDINGS, LLC</w:t>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11430</wp:posOffset>
            </wp:positionV>
            <wp:extent cx="2761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0"/>
              </w:rPr>
              <w:t>/s/ Brian L. Roberts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100" w:type="dxa"/>
            <w:vAlign w:val="bottom"/>
            <w:vMerge w:val="restart"/>
          </w:tcPr>
          <w:p>
            <w:pPr>
              <w:jc w:val="center"/>
              <w:ind w:right="393"/>
              <w:spacing w:after="0"/>
              <w:rPr>
                <w:sz w:val="20"/>
                <w:szCs w:val="20"/>
                <w:color w:val="auto"/>
              </w:rPr>
            </w:pPr>
            <w:r>
              <w:rPr>
                <w:rFonts w:ascii="Arial" w:cs="Arial" w:eastAsia="Arial" w:hAnsi="Arial"/>
                <w:sz w:val="18"/>
                <w:szCs w:val="18"/>
                <w:color w:val="auto"/>
                <w:w w:val="90"/>
              </w:rPr>
              <w:t>Brian L. Roberts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(Principal Executive Officer)</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89"/>
              </w:rPr>
              <w:t>/s/ Lawrence S. Smith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Executive Vice President (Co-Principal Financial Officer)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S. Smith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1"/>
              </w:rPr>
              <w:t>/s/ John R. Alchin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Executive Vice President (Co-Principal Financial Officer)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91"/>
              </w:rPr>
              <w:t>John R. Alchin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8"/>
                <w:szCs w:val="18"/>
                <w:color w:val="auto"/>
                <w:w w:val="87"/>
              </w:rPr>
              <w:t>/s/ Lawrence J. Salva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Senior Vice President (Principal Accounting Officer)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J. Salva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580" w:type="dxa"/>
            <w:vAlign w:val="bottom"/>
            <w:gridSpan w:val="2"/>
          </w:tcPr>
          <w:p>
            <w:pPr>
              <w:spacing w:after="0"/>
              <w:rPr>
                <w:sz w:val="20"/>
                <w:szCs w:val="20"/>
                <w:color w:val="auto"/>
              </w:rPr>
            </w:pPr>
            <w:r>
              <w:rPr>
                <w:rFonts w:ascii="Arial" w:cs="Arial" w:eastAsia="Arial" w:hAnsi="Arial"/>
                <w:sz w:val="18"/>
                <w:szCs w:val="18"/>
                <w:color w:val="auto"/>
                <w:w w:val="96"/>
              </w:rPr>
              <w:t>COMCAST CABLE COMMUNICATIONS HOLDINGS,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2"/>
              </w:rPr>
              <w:t>/s/ Arthur R. Block</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1920"/>
              <w:spacing w:after="0"/>
              <w:rPr>
                <w:sz w:val="20"/>
                <w:szCs w:val="20"/>
                <w:color w:val="auto"/>
              </w:rPr>
            </w:pPr>
            <w:r>
              <w:rPr>
                <w:rFonts w:ascii="Arial" w:cs="Arial" w:eastAsia="Arial" w:hAnsi="Arial"/>
                <w:sz w:val="18"/>
                <w:szCs w:val="18"/>
                <w:color w:val="auto"/>
              </w:rPr>
              <w:t>Sole Member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93"/>
              </w:rPr>
              <w:t>Arthur. R. Block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88"/>
              </w:rPr>
              <w:t>Senior Vice President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II-15</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MO GROUP, INC.</w:t>
      </w:r>
    </w:p>
    <w:p>
      <w:pPr>
        <w:spacing w:after="0" w:line="117" w:lineRule="exact"/>
        <w:rPr>
          <w:sz w:val="20"/>
          <w:szCs w:val="20"/>
          <w:color w:val="auto"/>
        </w:rPr>
      </w:pPr>
    </w:p>
    <w:p>
      <w:pPr>
        <w:jc w:val="both"/>
        <w:ind w:right="120"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11430</wp:posOffset>
            </wp:positionV>
            <wp:extent cx="2761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340" w:type="dxa"/>
            <w:vAlign w:val="bottom"/>
          </w:tcPr>
          <w:p>
            <w:pPr>
              <w:spacing w:after="0"/>
              <w:rPr>
                <w:sz w:val="24"/>
                <w:szCs w:val="24"/>
                <w:color w:val="auto"/>
              </w:rPr>
            </w:pPr>
          </w:p>
        </w:tc>
        <w:tc>
          <w:tcPr>
            <w:tcW w:w="4580" w:type="dxa"/>
            <w:vAlign w:val="bottom"/>
          </w:tcPr>
          <w:p>
            <w:pPr>
              <w:ind w:left="880"/>
              <w:spacing w:after="0"/>
              <w:rPr>
                <w:sz w:val="20"/>
                <w:szCs w:val="20"/>
                <w:color w:val="auto"/>
              </w:rPr>
            </w:pPr>
            <w:r>
              <w:rPr>
                <w:rFonts w:ascii="Arial" w:cs="Arial" w:eastAsia="Arial" w:hAnsi="Arial"/>
                <w:sz w:val="18"/>
                <w:szCs w:val="18"/>
                <w:color w:val="auto"/>
              </w:rPr>
              <w:t>Chairman (Principal Executive Officer)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0"/>
              </w:rPr>
              <w:t>Brian L. Roberts</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Lawrence S. Smith</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S. Smith</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(Co-Principal Financial Officer); Director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R. Alchin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John R. Alchin</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L. Cohen</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Executive Vice President; 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R. Block</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Senior Vice President; Director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8"/>
        </w:trPr>
        <w:tc>
          <w:tcPr>
            <w:tcW w:w="4580" w:type="dxa"/>
            <w:vAlign w:val="bottom"/>
          </w:tcPr>
          <w:p>
            <w:pPr>
              <w:jc w:val="center"/>
              <w:spacing w:after="0"/>
              <w:rPr>
                <w:sz w:val="20"/>
                <w:szCs w:val="20"/>
                <w:color w:val="auto"/>
              </w:rPr>
            </w:pPr>
            <w:r>
              <w:rPr>
                <w:rFonts w:ascii="Arial" w:cs="Arial" w:eastAsia="Arial" w:hAnsi="Arial"/>
                <w:sz w:val="18"/>
                <w:szCs w:val="18"/>
                <w:color w:val="auto"/>
                <w:w w:val="94"/>
              </w:rPr>
              <w:t>Arthur R. Block</w:t>
            </w:r>
          </w:p>
        </w:tc>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2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Lawrence J. Salva</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Senior Vice President</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Lawrence J. Salva</w:t>
            </w:r>
          </w:p>
        </w:tc>
        <w:tc>
          <w:tcPr>
            <w:tcW w:w="340" w:type="dxa"/>
            <w:vAlign w:val="bottom"/>
          </w:tcPr>
          <w:p>
            <w:pPr>
              <w:spacing w:after="0"/>
              <w:rPr>
                <w:sz w:val="19"/>
                <w:szCs w:val="19"/>
                <w:color w:val="auto"/>
              </w:rPr>
            </w:pPr>
          </w:p>
        </w:tc>
        <w:tc>
          <w:tcPr>
            <w:tcW w:w="4580" w:type="dxa"/>
            <w:vAlign w:val="bottom"/>
          </w:tcPr>
          <w:p>
            <w:pPr>
              <w:jc w:val="center"/>
              <w:spacing w:after="0" w:line="203" w:lineRule="exact"/>
              <w:rPr>
                <w:sz w:val="20"/>
                <w:szCs w:val="20"/>
                <w:color w:val="auto"/>
              </w:rPr>
            </w:pPr>
            <w:r>
              <w:rPr>
                <w:rFonts w:ascii="Arial" w:cs="Arial" w:eastAsia="Arial" w:hAnsi="Arial"/>
                <w:sz w:val="18"/>
                <w:szCs w:val="18"/>
                <w:color w:val="auto"/>
                <w:w w:val="93"/>
              </w:rPr>
              <w:t>(Principal Accounting Officer)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98"/>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II-16</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OF DELAWARE, LLC</w:t>
      </w:r>
    </w:p>
    <w:p>
      <w:pPr>
        <w:spacing w:after="0" w:line="100"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Pursuant to the requirements of the Securities Act of 1933, Comcast MO of Delaware,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March 27,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MO OF DELAWARE, LLC</w:t>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11430</wp:posOffset>
            </wp:positionV>
            <wp:extent cx="2761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 Arthur R. Block</w:t>
      </w:r>
    </w:p>
    <w:p>
      <w:pPr>
        <w:spacing w:after="0" w:line="16"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w:t>
      </w:r>
    </w:p>
    <w:p>
      <w:pPr>
        <w:spacing w:after="0" w:line="312"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Lawrence S. Smith, John R. Alchin,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4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0"/>
              </w:rPr>
              <w:t>/s/ Brian L. Roberts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90"/>
              </w:rPr>
              <w:t>Brian L. Roberts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89"/>
              </w:rPr>
              <w:t>/s/ Lawrence S. Smith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S. Smith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1"/>
              </w:rPr>
              <w:t>/s/ John R. Alchin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Executive Vice President</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91"/>
              </w:rPr>
              <w:t>John R. Alchin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(Co-Principal Financial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393"/>
              <w:spacing w:after="0"/>
              <w:rPr>
                <w:sz w:val="20"/>
                <w:szCs w:val="20"/>
                <w:color w:val="auto"/>
              </w:rPr>
            </w:pPr>
            <w:r>
              <w:rPr>
                <w:rFonts w:ascii="Arial" w:cs="Arial" w:eastAsia="Arial" w:hAnsi="Arial"/>
                <w:sz w:val="18"/>
                <w:szCs w:val="18"/>
                <w:color w:val="auto"/>
                <w:w w:val="87"/>
              </w:rPr>
              <w:t>/s/ Lawrence J. Salva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Senior Vice President</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480" w:type="dxa"/>
            <w:vAlign w:val="bottom"/>
          </w:tcPr>
          <w:p>
            <w:pPr>
              <w:spacing w:after="0"/>
              <w:rPr>
                <w:sz w:val="19"/>
                <w:szCs w:val="19"/>
                <w:color w:val="auto"/>
              </w:rPr>
            </w:pPr>
          </w:p>
        </w:tc>
        <w:tc>
          <w:tcPr>
            <w:tcW w:w="4100" w:type="dxa"/>
            <w:vAlign w:val="bottom"/>
          </w:tcPr>
          <w:p>
            <w:pPr>
              <w:jc w:val="center"/>
              <w:ind w:right="393"/>
              <w:spacing w:after="0"/>
              <w:rPr>
                <w:sz w:val="20"/>
                <w:szCs w:val="20"/>
                <w:color w:val="auto"/>
              </w:rPr>
            </w:pPr>
            <w:r>
              <w:rPr>
                <w:rFonts w:ascii="Arial" w:cs="Arial" w:eastAsia="Arial" w:hAnsi="Arial"/>
                <w:sz w:val="18"/>
                <w:szCs w:val="18"/>
                <w:color w:val="auto"/>
                <w:w w:val="88"/>
              </w:rPr>
              <w:t>Lawrence J. Salva</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424"/>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GEORGIA,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2"/>
              </w:rPr>
              <w:t>/s/ Arthur R. Block</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1920"/>
              <w:spacing w:after="0"/>
              <w:rPr>
                <w:sz w:val="20"/>
                <w:szCs w:val="20"/>
                <w:color w:val="auto"/>
              </w:rPr>
            </w:pPr>
            <w:r>
              <w:rPr>
                <w:rFonts w:ascii="Arial" w:cs="Arial" w:eastAsia="Arial" w:hAnsi="Arial"/>
                <w:sz w:val="18"/>
                <w:szCs w:val="18"/>
                <w:color w:val="auto"/>
              </w:rPr>
              <w:t>Sole Member</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March 27, 2006</w:t>
            </w:r>
          </w:p>
        </w:tc>
      </w:tr>
      <w:tr>
        <w:trPr>
          <w:trHeight w:val="207"/>
        </w:trPr>
        <w:tc>
          <w:tcPr>
            <w:tcW w:w="480" w:type="dxa"/>
            <w:vAlign w:val="bottom"/>
          </w:tcPr>
          <w:p>
            <w:pPr>
              <w:spacing w:after="0"/>
              <w:rPr>
                <w:sz w:val="17"/>
                <w:szCs w:val="17"/>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93"/>
              </w:rPr>
              <w:t>Arthur. R. Block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100" w:type="dxa"/>
            <w:vAlign w:val="bottom"/>
          </w:tcPr>
          <w:p>
            <w:pPr>
              <w:jc w:val="center"/>
              <w:ind w:left="153"/>
              <w:spacing w:after="0"/>
              <w:rPr>
                <w:sz w:val="20"/>
                <w:szCs w:val="20"/>
                <w:color w:val="auto"/>
              </w:rPr>
            </w:pPr>
            <w:r>
              <w:rPr>
                <w:rFonts w:ascii="Arial" w:cs="Arial" w:eastAsia="Arial" w:hAnsi="Arial"/>
                <w:sz w:val="18"/>
                <w:szCs w:val="18"/>
                <w:color w:val="auto"/>
                <w:w w:val="88"/>
              </w:rPr>
              <w:t>Senior Vice President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98"/>
        </w:trPr>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II-17</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Exhibit No.</w:t>
            </w:r>
          </w:p>
        </w:tc>
        <w:tc>
          <w:tcPr>
            <w:tcW w:w="10040" w:type="dxa"/>
            <w:vAlign w:val="bottom"/>
          </w:tcPr>
          <w:p>
            <w:pPr>
              <w:ind w:left="4720"/>
              <w:spacing w:after="0"/>
              <w:rPr>
                <w:sz w:val="20"/>
                <w:szCs w:val="20"/>
                <w:color w:val="auto"/>
              </w:rPr>
            </w:pPr>
            <w:r>
              <w:rPr>
                <w:rFonts w:ascii="Arial" w:cs="Arial" w:eastAsia="Arial" w:hAnsi="Arial"/>
                <w:sz w:val="14"/>
                <w:szCs w:val="14"/>
                <w:b w:val="1"/>
                <w:bCs w:val="1"/>
                <w:color w:val="auto"/>
              </w:rPr>
              <w:t>Document</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r>
      <w:tr>
        <w:trPr>
          <w:trHeight w:val="3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10040" w:type="dxa"/>
            <w:vAlign w:val="bottom"/>
          </w:tcPr>
          <w:p>
            <w:pPr>
              <w:spacing w:after="0"/>
              <w:rPr>
                <w:sz w:val="20"/>
                <w:szCs w:val="20"/>
                <w:color w:val="auto"/>
              </w:rPr>
            </w:pPr>
            <w:r>
              <w:rPr>
                <w:rFonts w:ascii="Arial" w:cs="Arial" w:eastAsia="Arial" w:hAnsi="Arial"/>
                <w:sz w:val="18"/>
                <w:szCs w:val="18"/>
                <w:color w:val="auto"/>
              </w:rPr>
              <w:t>Form of Underwriting Agreement (Debt Securities, Warrants, Purchase Contracts and Units)*</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0040" w:type="dxa"/>
            <w:vAlign w:val="bottom"/>
          </w:tcPr>
          <w:p>
            <w:pPr>
              <w:spacing w:after="0"/>
              <w:rPr>
                <w:sz w:val="20"/>
                <w:szCs w:val="20"/>
                <w:color w:val="auto"/>
              </w:rPr>
            </w:pPr>
            <w:r>
              <w:rPr>
                <w:rFonts w:ascii="Arial" w:cs="Arial" w:eastAsia="Arial" w:hAnsi="Arial"/>
                <w:sz w:val="18"/>
                <w:szCs w:val="18"/>
                <w:color w:val="auto"/>
              </w:rPr>
              <w:t>Form of Underwriting Agreement (Preferred Stock, Depositary Shares, Common Stock)*</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10040" w:type="dxa"/>
            <w:vAlign w:val="bottom"/>
          </w:tcPr>
          <w:p>
            <w:pPr>
              <w:spacing w:after="0"/>
              <w:rPr>
                <w:sz w:val="20"/>
                <w:szCs w:val="20"/>
                <w:color w:val="auto"/>
              </w:rPr>
            </w:pPr>
            <w:r>
              <w:rPr>
                <w:rFonts w:ascii="Arial" w:cs="Arial" w:eastAsia="Arial" w:hAnsi="Arial"/>
                <w:sz w:val="18"/>
                <w:szCs w:val="18"/>
                <w:color w:val="auto"/>
              </w:rPr>
              <w:t>Specimen Class A Common Stock Certificate</w:t>
            </w:r>
            <w:r>
              <w:rPr>
                <w:rFonts w:ascii="Arial" w:cs="Arial" w:eastAsia="Arial" w:hAnsi="Arial"/>
                <w:sz w:val="15"/>
                <w:szCs w:val="15"/>
                <w:color w:val="auto"/>
              </w:rPr>
              <w:t>1</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4.2</w:t>
            </w:r>
          </w:p>
        </w:tc>
        <w:tc>
          <w:tcPr>
            <w:tcW w:w="10040" w:type="dxa"/>
            <w:vAlign w:val="bottom"/>
          </w:tcPr>
          <w:p>
            <w:pPr>
              <w:spacing w:after="0"/>
              <w:rPr>
                <w:sz w:val="20"/>
                <w:szCs w:val="20"/>
                <w:color w:val="auto"/>
              </w:rPr>
            </w:pPr>
            <w:r>
              <w:rPr>
                <w:rFonts w:ascii="Arial" w:cs="Arial" w:eastAsia="Arial" w:hAnsi="Arial"/>
                <w:sz w:val="18"/>
                <w:szCs w:val="18"/>
                <w:color w:val="auto"/>
              </w:rPr>
              <w:t>Specimen Class A Special Common Stock Certificate</w:t>
            </w:r>
            <w:r>
              <w:rPr>
                <w:rFonts w:ascii="Arial" w:cs="Arial" w:eastAsia="Arial" w:hAnsi="Arial"/>
                <w:sz w:val="15"/>
                <w:szCs w:val="15"/>
                <w:color w:val="auto"/>
              </w:rPr>
              <w:t>1</w:t>
            </w:r>
          </w:p>
        </w:tc>
      </w:tr>
      <w:tr>
        <w:trPr>
          <w:trHeight w:val="413"/>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4.3</w:t>
            </w:r>
          </w:p>
        </w:tc>
        <w:tc>
          <w:tcPr>
            <w:tcW w:w="10040" w:type="dxa"/>
            <w:vAlign w:val="bottom"/>
          </w:tcPr>
          <w:p>
            <w:pPr>
              <w:spacing w:after="0"/>
              <w:rPr>
                <w:sz w:val="20"/>
                <w:szCs w:val="20"/>
                <w:color w:val="auto"/>
              </w:rPr>
            </w:pPr>
            <w:r>
              <w:rPr>
                <w:rFonts w:ascii="Arial" w:cs="Arial" w:eastAsia="Arial" w:hAnsi="Arial"/>
                <w:sz w:val="18"/>
                <w:szCs w:val="18"/>
                <w:color w:val="auto"/>
                <w:w w:val="91"/>
              </w:rPr>
              <w:t>Rights Agreement dated as of November 18, 2002, between Comcast Corporation and EquiServe Trust Company, N.A., as Rights Agent,</w:t>
            </w:r>
          </w:p>
        </w:tc>
      </w:tr>
      <w:tr>
        <w:trPr>
          <w:trHeight w:val="211"/>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which includes the Form of Certificate of Designation of Series A Participant’s Cumulative Preferred Stock as Exhibit A and the Form of</w:t>
            </w:r>
          </w:p>
        </w:tc>
      </w:tr>
      <w:tr>
        <w:trPr>
          <w:trHeight w:val="224"/>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Right Certificate as Exhibit B (incorporated by reference to our registration statement on Form 8-A12G filed on November 18, 2002)</w:t>
            </w:r>
            <w:r>
              <w:rPr>
                <w:rFonts w:ascii="Arial" w:cs="Arial" w:eastAsia="Arial" w:hAnsi="Arial"/>
                <w:sz w:val="15"/>
                <w:szCs w:val="15"/>
                <w:color w:val="auto"/>
                <w:w w:val="95"/>
              </w:rPr>
              <w:t>2</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4.4</w:t>
            </w:r>
          </w:p>
        </w:tc>
        <w:tc>
          <w:tcPr>
            <w:tcW w:w="10040" w:type="dxa"/>
            <w:vAlign w:val="bottom"/>
          </w:tcPr>
          <w:p>
            <w:pPr>
              <w:spacing w:after="0"/>
              <w:rPr>
                <w:sz w:val="20"/>
                <w:szCs w:val="20"/>
                <w:color w:val="auto"/>
              </w:rPr>
            </w:pPr>
            <w:r>
              <w:rPr>
                <w:rFonts w:ascii="Arial" w:cs="Arial" w:eastAsia="Arial" w:hAnsi="Arial"/>
                <w:sz w:val="18"/>
                <w:szCs w:val="18"/>
                <w:color w:val="auto"/>
              </w:rPr>
              <w:t>Form of Senior Indenture among the Company, the cable guarantors party thereto and The Bank of New York, as Trustee</w:t>
            </w:r>
            <w:r>
              <w:rPr>
                <w:rFonts w:ascii="Arial" w:cs="Arial" w:eastAsia="Arial" w:hAnsi="Arial"/>
                <w:sz w:val="15"/>
                <w:szCs w:val="15"/>
                <w:color w:val="auto"/>
              </w:rPr>
              <w:t>3</w:t>
            </w:r>
          </w:p>
        </w:tc>
      </w:tr>
      <w:tr>
        <w:trPr>
          <w:trHeight w:val="412"/>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10040" w:type="dxa"/>
            <w:vAlign w:val="bottom"/>
          </w:tcPr>
          <w:p>
            <w:pPr>
              <w:spacing w:after="0"/>
              <w:rPr>
                <w:sz w:val="20"/>
                <w:szCs w:val="20"/>
                <w:color w:val="auto"/>
              </w:rPr>
            </w:pPr>
            <w:r>
              <w:rPr>
                <w:rFonts w:ascii="Arial" w:cs="Arial" w:eastAsia="Arial" w:hAnsi="Arial"/>
                <w:sz w:val="18"/>
                <w:szCs w:val="18"/>
                <w:color w:val="auto"/>
                <w:w w:val="91"/>
              </w:rPr>
              <w:t>Form of Amendment to Senior Indenture among the Company, Comcast MO of Delaware, Inc. (formerly known as MediaOne of Delaware,</w:t>
            </w:r>
          </w:p>
        </w:tc>
      </w:tr>
      <w:tr>
        <w:trPr>
          <w:trHeight w:val="224"/>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 the other cable guarantors party thereto and The Bank of New York, as Trustee</w:t>
            </w:r>
            <w:r>
              <w:rPr>
                <w:rFonts w:ascii="Arial" w:cs="Arial" w:eastAsia="Arial" w:hAnsi="Arial"/>
                <w:sz w:val="15"/>
                <w:szCs w:val="15"/>
                <w:color w:val="auto"/>
              </w:rPr>
              <w:t>4</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4.6</w:t>
            </w:r>
          </w:p>
        </w:tc>
        <w:tc>
          <w:tcPr>
            <w:tcW w:w="10040" w:type="dxa"/>
            <w:vAlign w:val="bottom"/>
          </w:tcPr>
          <w:p>
            <w:pPr>
              <w:spacing w:after="0"/>
              <w:rPr>
                <w:sz w:val="20"/>
                <w:szCs w:val="20"/>
                <w:color w:val="auto"/>
              </w:rPr>
            </w:pPr>
            <w:r>
              <w:rPr>
                <w:rFonts w:ascii="Arial" w:cs="Arial" w:eastAsia="Arial" w:hAnsi="Arial"/>
                <w:sz w:val="18"/>
                <w:szCs w:val="18"/>
                <w:color w:val="auto"/>
                <w:w w:val="97"/>
              </w:rPr>
              <w:t>Form of Subordinated Indenture among the Company, the cable guarantors party thereto and The Bank of New York, as Trustee*</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4.7</w:t>
            </w:r>
          </w:p>
        </w:tc>
        <w:tc>
          <w:tcPr>
            <w:tcW w:w="10040" w:type="dxa"/>
            <w:vAlign w:val="bottom"/>
          </w:tcPr>
          <w:p>
            <w:pPr>
              <w:spacing w:after="0"/>
              <w:rPr>
                <w:sz w:val="20"/>
                <w:szCs w:val="20"/>
                <w:color w:val="auto"/>
              </w:rPr>
            </w:pPr>
            <w:r>
              <w:rPr>
                <w:rFonts w:ascii="Arial" w:cs="Arial" w:eastAsia="Arial" w:hAnsi="Arial"/>
                <w:sz w:val="18"/>
                <w:szCs w:val="18"/>
                <w:color w:val="auto"/>
              </w:rPr>
              <w:t>Form of Senior Debt Security</w:t>
            </w:r>
            <w:r>
              <w:rPr>
                <w:rFonts w:ascii="Arial" w:cs="Arial" w:eastAsia="Arial" w:hAnsi="Arial"/>
                <w:sz w:val="15"/>
                <w:szCs w:val="15"/>
                <w:color w:val="auto"/>
              </w:rPr>
              <w:t>3</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4.8</w:t>
            </w:r>
          </w:p>
        </w:tc>
        <w:tc>
          <w:tcPr>
            <w:tcW w:w="10040" w:type="dxa"/>
            <w:vAlign w:val="bottom"/>
          </w:tcPr>
          <w:p>
            <w:pPr>
              <w:spacing w:after="0"/>
              <w:rPr>
                <w:sz w:val="20"/>
                <w:szCs w:val="20"/>
                <w:color w:val="auto"/>
              </w:rPr>
            </w:pPr>
            <w:r>
              <w:rPr>
                <w:rFonts w:ascii="Arial" w:cs="Arial" w:eastAsia="Arial" w:hAnsi="Arial"/>
                <w:sz w:val="18"/>
                <w:szCs w:val="18"/>
                <w:color w:val="auto"/>
              </w:rPr>
              <w:t>Form of Subordinated Debt Security</w:t>
            </w:r>
            <w:r>
              <w:rPr>
                <w:rFonts w:ascii="Arial" w:cs="Arial" w:eastAsia="Arial" w:hAnsi="Arial"/>
                <w:sz w:val="15"/>
                <w:szCs w:val="15"/>
                <w:color w:val="auto"/>
              </w:rPr>
              <w:t>3</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4.9</w:t>
            </w:r>
          </w:p>
        </w:tc>
        <w:tc>
          <w:tcPr>
            <w:tcW w:w="10040" w:type="dxa"/>
            <w:vAlign w:val="bottom"/>
          </w:tcPr>
          <w:p>
            <w:pPr>
              <w:spacing w:after="0"/>
              <w:rPr>
                <w:sz w:val="20"/>
                <w:szCs w:val="20"/>
                <w:color w:val="auto"/>
              </w:rPr>
            </w:pPr>
            <w:r>
              <w:rPr>
                <w:rFonts w:ascii="Arial" w:cs="Arial" w:eastAsia="Arial" w:hAnsi="Arial"/>
                <w:sz w:val="18"/>
                <w:szCs w:val="18"/>
                <w:color w:val="auto"/>
              </w:rPr>
              <w:t>Form of Purchase Contract Agreement relating to Purchase Contracts (included in Exhibit 4.10)</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4.10</w:t>
            </w:r>
          </w:p>
        </w:tc>
        <w:tc>
          <w:tcPr>
            <w:tcW w:w="10040" w:type="dxa"/>
            <w:vAlign w:val="bottom"/>
          </w:tcPr>
          <w:p>
            <w:pPr>
              <w:spacing w:after="0"/>
              <w:rPr>
                <w:sz w:val="20"/>
                <w:szCs w:val="20"/>
                <w:color w:val="auto"/>
              </w:rPr>
            </w:pPr>
            <w:r>
              <w:rPr>
                <w:rFonts w:ascii="Arial" w:cs="Arial" w:eastAsia="Arial" w:hAnsi="Arial"/>
                <w:sz w:val="18"/>
                <w:szCs w:val="18"/>
                <w:color w:val="auto"/>
              </w:rPr>
              <w:t>Form of Unit Agreement</w:t>
            </w:r>
            <w:r>
              <w:rPr>
                <w:rFonts w:ascii="Arial" w:cs="Arial" w:eastAsia="Arial" w:hAnsi="Arial"/>
                <w:sz w:val="15"/>
                <w:szCs w:val="15"/>
                <w:color w:val="auto"/>
              </w:rPr>
              <w:t>5</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4.11</w:t>
            </w:r>
          </w:p>
        </w:tc>
        <w:tc>
          <w:tcPr>
            <w:tcW w:w="10040" w:type="dxa"/>
            <w:vAlign w:val="bottom"/>
          </w:tcPr>
          <w:p>
            <w:pPr>
              <w:spacing w:after="0"/>
              <w:rPr>
                <w:sz w:val="20"/>
                <w:szCs w:val="20"/>
                <w:color w:val="auto"/>
              </w:rPr>
            </w:pPr>
            <w:r>
              <w:rPr>
                <w:rFonts w:ascii="Arial" w:cs="Arial" w:eastAsia="Arial" w:hAnsi="Arial"/>
                <w:sz w:val="18"/>
                <w:szCs w:val="18"/>
                <w:color w:val="auto"/>
              </w:rPr>
              <w:t>Form of Warrant Agreement for Warrants sold separately</w:t>
            </w:r>
            <w:r>
              <w:rPr>
                <w:rFonts w:ascii="Arial" w:cs="Arial" w:eastAsia="Arial" w:hAnsi="Arial"/>
                <w:sz w:val="15"/>
                <w:szCs w:val="15"/>
                <w:color w:val="auto"/>
              </w:rPr>
              <w:t>6</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4.12</w:t>
            </w:r>
          </w:p>
        </w:tc>
        <w:tc>
          <w:tcPr>
            <w:tcW w:w="10040" w:type="dxa"/>
            <w:vAlign w:val="bottom"/>
          </w:tcPr>
          <w:p>
            <w:pPr>
              <w:spacing w:after="0"/>
              <w:rPr>
                <w:sz w:val="20"/>
                <w:szCs w:val="20"/>
                <w:color w:val="auto"/>
              </w:rPr>
            </w:pPr>
            <w:r>
              <w:rPr>
                <w:rFonts w:ascii="Arial" w:cs="Arial" w:eastAsia="Arial" w:hAnsi="Arial"/>
                <w:sz w:val="18"/>
                <w:szCs w:val="18"/>
                <w:color w:val="auto"/>
              </w:rPr>
              <w:t>Form of Warrant for Warrants sold separately (included in Exhibit 4.11)</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4.13</w:t>
            </w:r>
          </w:p>
        </w:tc>
        <w:tc>
          <w:tcPr>
            <w:tcW w:w="10040" w:type="dxa"/>
            <w:vAlign w:val="bottom"/>
          </w:tcPr>
          <w:p>
            <w:pPr>
              <w:spacing w:after="0"/>
              <w:rPr>
                <w:sz w:val="20"/>
                <w:szCs w:val="20"/>
                <w:color w:val="auto"/>
              </w:rPr>
            </w:pPr>
            <w:r>
              <w:rPr>
                <w:rFonts w:ascii="Arial" w:cs="Arial" w:eastAsia="Arial" w:hAnsi="Arial"/>
                <w:sz w:val="18"/>
                <w:szCs w:val="18"/>
                <w:color w:val="auto"/>
              </w:rPr>
              <w:t>Form of Warrant Agreement for Warrants sold attached to other Securities</w:t>
            </w:r>
            <w:r>
              <w:rPr>
                <w:rFonts w:ascii="Arial" w:cs="Arial" w:eastAsia="Arial" w:hAnsi="Arial"/>
                <w:sz w:val="15"/>
                <w:szCs w:val="15"/>
                <w:color w:val="auto"/>
              </w:rPr>
              <w:t>6</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4.14</w:t>
            </w:r>
          </w:p>
        </w:tc>
        <w:tc>
          <w:tcPr>
            <w:tcW w:w="10040" w:type="dxa"/>
            <w:vAlign w:val="bottom"/>
          </w:tcPr>
          <w:p>
            <w:pPr>
              <w:spacing w:after="0"/>
              <w:rPr>
                <w:sz w:val="20"/>
                <w:szCs w:val="20"/>
                <w:color w:val="auto"/>
              </w:rPr>
            </w:pPr>
            <w:r>
              <w:rPr>
                <w:rFonts w:ascii="Arial" w:cs="Arial" w:eastAsia="Arial" w:hAnsi="Arial"/>
                <w:sz w:val="18"/>
                <w:szCs w:val="18"/>
                <w:color w:val="auto"/>
              </w:rPr>
              <w:t>Form of Warrant for Warrants sold attached to other Securities (included in Exhibit 4.13)</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4.15</w:t>
            </w:r>
          </w:p>
        </w:tc>
        <w:tc>
          <w:tcPr>
            <w:tcW w:w="10040" w:type="dxa"/>
            <w:vAlign w:val="bottom"/>
          </w:tcPr>
          <w:p>
            <w:pPr>
              <w:spacing w:after="0"/>
              <w:rPr>
                <w:sz w:val="20"/>
                <w:szCs w:val="20"/>
                <w:color w:val="auto"/>
              </w:rPr>
            </w:pPr>
            <w:r>
              <w:rPr>
                <w:rFonts w:ascii="Arial" w:cs="Arial" w:eastAsia="Arial" w:hAnsi="Arial"/>
                <w:sz w:val="18"/>
                <w:szCs w:val="18"/>
                <w:color w:val="auto"/>
              </w:rPr>
              <w:t>Form of Pledge Agreement</w:t>
            </w:r>
            <w:r>
              <w:rPr>
                <w:rFonts w:ascii="Arial" w:cs="Arial" w:eastAsia="Arial" w:hAnsi="Arial"/>
                <w:sz w:val="15"/>
                <w:szCs w:val="15"/>
                <w:color w:val="auto"/>
              </w:rPr>
              <w:t>6</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4.16</w:t>
            </w:r>
          </w:p>
        </w:tc>
        <w:tc>
          <w:tcPr>
            <w:tcW w:w="10040" w:type="dxa"/>
            <w:vAlign w:val="bottom"/>
          </w:tcPr>
          <w:p>
            <w:pPr>
              <w:spacing w:after="0"/>
              <w:rPr>
                <w:sz w:val="20"/>
                <w:szCs w:val="20"/>
                <w:color w:val="auto"/>
              </w:rPr>
            </w:pPr>
            <w:r>
              <w:rPr>
                <w:rFonts w:ascii="Arial" w:cs="Arial" w:eastAsia="Arial" w:hAnsi="Arial"/>
                <w:sz w:val="18"/>
                <w:szCs w:val="18"/>
                <w:color w:val="auto"/>
              </w:rPr>
              <w:t>Form of Deposit Agreement</w:t>
            </w:r>
            <w:r>
              <w:rPr>
                <w:rFonts w:ascii="Arial" w:cs="Arial" w:eastAsia="Arial" w:hAnsi="Arial"/>
                <w:sz w:val="15"/>
                <w:szCs w:val="15"/>
                <w:color w:val="auto"/>
              </w:rPr>
              <w:t>3</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4.17</w:t>
            </w:r>
          </w:p>
        </w:tc>
        <w:tc>
          <w:tcPr>
            <w:tcW w:w="10040" w:type="dxa"/>
            <w:vAlign w:val="bottom"/>
          </w:tcPr>
          <w:p>
            <w:pPr>
              <w:spacing w:after="0"/>
              <w:rPr>
                <w:sz w:val="20"/>
                <w:szCs w:val="20"/>
                <w:color w:val="auto"/>
              </w:rPr>
            </w:pPr>
            <w:r>
              <w:rPr>
                <w:rFonts w:ascii="Arial" w:cs="Arial" w:eastAsia="Arial" w:hAnsi="Arial"/>
                <w:sz w:val="18"/>
                <w:szCs w:val="18"/>
                <w:color w:val="auto"/>
              </w:rPr>
              <w:t>Form of Depositary Share (included in Exhibit 4.16)</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4.18</w:t>
            </w:r>
          </w:p>
        </w:tc>
        <w:tc>
          <w:tcPr>
            <w:tcW w:w="10040" w:type="dxa"/>
            <w:vAlign w:val="bottom"/>
          </w:tcPr>
          <w:p>
            <w:pPr>
              <w:spacing w:after="0"/>
              <w:rPr>
                <w:sz w:val="20"/>
                <w:szCs w:val="20"/>
                <w:color w:val="auto"/>
              </w:rPr>
            </w:pPr>
            <w:r>
              <w:rPr>
                <w:rFonts w:ascii="Arial" w:cs="Arial" w:eastAsia="Arial" w:hAnsi="Arial"/>
                <w:sz w:val="18"/>
                <w:szCs w:val="18"/>
                <w:color w:val="auto"/>
              </w:rPr>
              <w:t>Form of Guarantee (Warrants, Purchase Contracts and Units)</w:t>
            </w:r>
            <w:r>
              <w:rPr>
                <w:rFonts w:ascii="Arial" w:cs="Arial" w:eastAsia="Arial" w:hAnsi="Arial"/>
                <w:sz w:val="15"/>
                <w:szCs w:val="15"/>
                <w:color w:val="auto"/>
              </w:rPr>
              <w:t>6</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5.1</w:t>
            </w:r>
          </w:p>
        </w:tc>
        <w:tc>
          <w:tcPr>
            <w:tcW w:w="10040" w:type="dxa"/>
            <w:vAlign w:val="bottom"/>
          </w:tcPr>
          <w:p>
            <w:pPr>
              <w:spacing w:after="0"/>
              <w:rPr>
                <w:sz w:val="20"/>
                <w:szCs w:val="20"/>
                <w:color w:val="auto"/>
              </w:rPr>
            </w:pPr>
            <w:r>
              <w:rPr>
                <w:rFonts w:ascii="Arial" w:cs="Arial" w:eastAsia="Arial" w:hAnsi="Arial"/>
                <w:sz w:val="18"/>
                <w:szCs w:val="18"/>
                <w:color w:val="auto"/>
              </w:rPr>
              <w:t>Opinion of Arthur R. Block, Esquire*</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5.2</w:t>
            </w:r>
          </w:p>
        </w:tc>
        <w:tc>
          <w:tcPr>
            <w:tcW w:w="10040" w:type="dxa"/>
            <w:vAlign w:val="bottom"/>
          </w:tcPr>
          <w:p>
            <w:pPr>
              <w:spacing w:after="0"/>
              <w:rPr>
                <w:sz w:val="20"/>
                <w:szCs w:val="20"/>
                <w:color w:val="auto"/>
              </w:rPr>
            </w:pPr>
            <w:r>
              <w:rPr>
                <w:rFonts w:ascii="Arial" w:cs="Arial" w:eastAsia="Arial" w:hAnsi="Arial"/>
                <w:sz w:val="18"/>
                <w:szCs w:val="18"/>
                <w:color w:val="auto"/>
              </w:rPr>
              <w:t>Opinion of Davis Polk &amp; Wardwell*</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12.1</w:t>
            </w:r>
          </w:p>
        </w:tc>
        <w:tc>
          <w:tcPr>
            <w:tcW w:w="100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 of Comcast Corporation*</w:t>
            </w:r>
          </w:p>
        </w:tc>
      </w:tr>
      <w:tr>
        <w:trPr>
          <w:trHeight w:val="398"/>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40" w:type="dxa"/>
            <w:vAlign w:val="bottom"/>
          </w:tcPr>
          <w:p>
            <w:pPr>
              <w:ind w:left="4160"/>
              <w:spacing w:after="0"/>
              <w:rPr>
                <w:sz w:val="20"/>
                <w:szCs w:val="20"/>
                <w:color w:val="auto"/>
              </w:rPr>
            </w:pPr>
            <w:r>
              <w:rPr>
                <w:rFonts w:ascii="Arial" w:cs="Arial" w:eastAsia="Arial" w:hAnsi="Arial"/>
                <w:sz w:val="18"/>
                <w:szCs w:val="18"/>
                <w:color w:val="auto"/>
              </w:rPr>
              <w:t>II-18</w:t>
            </w:r>
          </w:p>
        </w:tc>
      </w:tr>
      <w:tr>
        <w:trPr>
          <w:trHeight w:val="223"/>
        </w:trPr>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Exhibit No.</w:t>
            </w:r>
          </w:p>
        </w:tc>
        <w:tc>
          <w:tcPr>
            <w:tcW w:w="10040" w:type="dxa"/>
            <w:vAlign w:val="bottom"/>
          </w:tcPr>
          <w:p>
            <w:pPr>
              <w:ind w:left="4720"/>
              <w:spacing w:after="0"/>
              <w:rPr>
                <w:sz w:val="20"/>
                <w:szCs w:val="20"/>
                <w:color w:val="auto"/>
              </w:rPr>
            </w:pPr>
            <w:r>
              <w:rPr>
                <w:rFonts w:ascii="Arial" w:cs="Arial" w:eastAsia="Arial" w:hAnsi="Arial"/>
                <w:sz w:val="14"/>
                <w:szCs w:val="14"/>
                <w:b w:val="1"/>
                <w:bCs w:val="1"/>
                <w:color w:val="auto"/>
              </w:rPr>
              <w:t>Document</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r>
      <w:tr>
        <w:trPr>
          <w:trHeight w:val="417"/>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12.2</w:t>
            </w:r>
          </w:p>
        </w:tc>
        <w:tc>
          <w:tcPr>
            <w:tcW w:w="10040" w:type="dxa"/>
            <w:vAlign w:val="bottom"/>
          </w:tcPr>
          <w:p>
            <w:pPr>
              <w:spacing w:after="0"/>
              <w:rPr>
                <w:sz w:val="20"/>
                <w:szCs w:val="20"/>
                <w:color w:val="auto"/>
              </w:rPr>
            </w:pPr>
            <w:r>
              <w:rPr>
                <w:rFonts w:ascii="Arial" w:cs="Arial" w:eastAsia="Arial" w:hAnsi="Arial"/>
                <w:sz w:val="18"/>
                <w:szCs w:val="18"/>
                <w:color w:val="auto"/>
                <w:w w:val="93"/>
              </w:rPr>
              <w:t>Statement Regarding Computation of Ratio of Earnings to Combined Fixed Charges and Preferred Dividends of Comcast Corporation*</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23.1</w:t>
            </w:r>
          </w:p>
        </w:tc>
        <w:tc>
          <w:tcPr>
            <w:tcW w:w="1004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23.2</w:t>
            </w:r>
          </w:p>
        </w:tc>
        <w:tc>
          <w:tcPr>
            <w:tcW w:w="10040" w:type="dxa"/>
            <w:vAlign w:val="bottom"/>
          </w:tcPr>
          <w:p>
            <w:pPr>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23.3</w:t>
            </w:r>
          </w:p>
        </w:tc>
        <w:tc>
          <w:tcPr>
            <w:tcW w:w="10040" w:type="dxa"/>
            <w:vAlign w:val="bottom"/>
          </w:tcPr>
          <w:p>
            <w:pPr>
              <w:spacing w:after="0"/>
              <w:rPr>
                <w:sz w:val="20"/>
                <w:szCs w:val="20"/>
                <w:color w:val="auto"/>
              </w:rPr>
            </w:pPr>
            <w:r>
              <w:rPr>
                <w:rFonts w:ascii="Arial" w:cs="Arial" w:eastAsia="Arial" w:hAnsi="Arial"/>
                <w:sz w:val="18"/>
                <w:szCs w:val="18"/>
                <w:color w:val="auto"/>
              </w:rPr>
              <w:t>Consent of Davis Polk &amp; Wardwell (included in Exhibit 5.2)</w:t>
            </w:r>
          </w:p>
        </w:tc>
      </w:tr>
      <w:tr>
        <w:trPr>
          <w:trHeight w:val="424"/>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24.1</w:t>
            </w:r>
          </w:p>
        </w:tc>
        <w:tc>
          <w:tcPr>
            <w:tcW w:w="10040" w:type="dxa"/>
            <w:vAlign w:val="bottom"/>
          </w:tcPr>
          <w:p>
            <w:pPr>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413"/>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25.1</w:t>
            </w:r>
          </w:p>
        </w:tc>
        <w:tc>
          <w:tcPr>
            <w:tcW w:w="10040" w:type="dxa"/>
            <w:vAlign w:val="bottom"/>
          </w:tcPr>
          <w:p>
            <w:pPr>
              <w:spacing w:after="0"/>
              <w:rPr>
                <w:sz w:val="20"/>
                <w:szCs w:val="20"/>
                <w:color w:val="auto"/>
              </w:rPr>
            </w:pPr>
            <w:r>
              <w:rPr>
                <w:rFonts w:ascii="Arial" w:cs="Arial" w:eastAsia="Arial" w:hAnsi="Arial"/>
                <w:sz w:val="18"/>
                <w:szCs w:val="18"/>
                <w:color w:val="auto"/>
                <w:w w:val="96"/>
              </w:rPr>
              <w:t>Statement of Eligibility under the Trust Indenture Act of 1939, as amended, of The Bank of New York, as Trustee under the Senior</w:t>
            </w:r>
          </w:p>
        </w:tc>
      </w:tr>
      <w:tr>
        <w:trPr>
          <w:trHeight w:val="223"/>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Indenture*</w:t>
            </w:r>
          </w:p>
        </w:tc>
      </w:tr>
      <w:tr>
        <w:trPr>
          <w:trHeight w:val="413"/>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25.2</w:t>
            </w:r>
          </w:p>
        </w:tc>
        <w:tc>
          <w:tcPr>
            <w:tcW w:w="10040" w:type="dxa"/>
            <w:vAlign w:val="bottom"/>
          </w:tcPr>
          <w:p>
            <w:pPr>
              <w:spacing w:after="0"/>
              <w:rPr>
                <w:sz w:val="20"/>
                <w:szCs w:val="20"/>
                <w:color w:val="auto"/>
              </w:rPr>
            </w:pPr>
            <w:r>
              <w:rPr>
                <w:rFonts w:ascii="Arial" w:cs="Arial" w:eastAsia="Arial" w:hAnsi="Arial"/>
                <w:sz w:val="18"/>
                <w:szCs w:val="18"/>
                <w:color w:val="auto"/>
                <w:w w:val="92"/>
              </w:rPr>
              <w:t>Statement of Eligibility under the Trust Indenture Act of 1939, as amended, of The Bank of New York, as Trustee under the Subordinated</w:t>
            </w:r>
          </w:p>
        </w:tc>
      </w:tr>
      <w:tr>
        <w:trPr>
          <w:trHeight w:val="223"/>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left="440" w:hanging="43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1" w:lineRule="exact"/>
        <w:rPr>
          <w:sz w:val="20"/>
          <w:szCs w:val="20"/>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2002, filed on March 20, 2003.</w:t>
      </w:r>
    </w:p>
    <w:p>
      <w:pPr>
        <w:spacing w:after="0" w:line="111" w:lineRule="exact"/>
        <w:rPr>
          <w:rFonts w:ascii="Arial" w:cs="Arial" w:eastAsia="Arial" w:hAnsi="Arial"/>
          <w:sz w:val="18"/>
          <w:szCs w:val="18"/>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8-A12G, filed on November 18, 2002.</w:t>
      </w:r>
    </w:p>
    <w:p>
      <w:pPr>
        <w:spacing w:after="0" w:line="111" w:lineRule="exact"/>
        <w:rPr>
          <w:rFonts w:ascii="Arial" w:cs="Arial" w:eastAsia="Arial" w:hAnsi="Arial"/>
          <w:sz w:val="18"/>
          <w:szCs w:val="18"/>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December 16, 2002.</w:t>
      </w:r>
    </w:p>
    <w:p>
      <w:pPr>
        <w:spacing w:after="0" w:line="124" w:lineRule="exact"/>
        <w:rPr>
          <w:rFonts w:ascii="Arial" w:cs="Arial" w:eastAsia="Arial" w:hAnsi="Arial"/>
          <w:sz w:val="18"/>
          <w:szCs w:val="18"/>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March 26, 2003.</w:t>
      </w:r>
    </w:p>
    <w:p>
      <w:pPr>
        <w:spacing w:after="0" w:line="124" w:lineRule="exact"/>
        <w:rPr>
          <w:rFonts w:ascii="Arial" w:cs="Arial" w:eastAsia="Arial" w:hAnsi="Arial"/>
          <w:sz w:val="18"/>
          <w:szCs w:val="18"/>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111" w:lineRule="exact"/>
        <w:rPr>
          <w:rFonts w:ascii="Arial" w:cs="Arial" w:eastAsia="Arial" w:hAnsi="Arial"/>
          <w:sz w:val="18"/>
          <w:szCs w:val="18"/>
          <w:color w:val="auto"/>
        </w:rPr>
      </w:pPr>
    </w:p>
    <w:p>
      <w:pPr>
        <w:ind w:left="240" w:hanging="234"/>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our Amended Registration Statement on Form S-3/A, filed on December 23, 2002.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20"/>
          </w:cols>
          <w:pgMar w:left="240" w:top="413" w:right="239" w:bottom="1440" w:gutter="0" w:footer="0" w:header="0"/>
        </w:sectPr>
      </w:pPr>
    </w:p>
    <w:bookmarkStart w:id="53" w:name="page54"/>
    <w:bookmarkEnd w:id="53"/>
    <w:p>
      <w:pPr>
        <w:ind w:left="10400"/>
        <w:spacing w:after="0"/>
        <w:rPr>
          <w:sz w:val="20"/>
          <w:szCs w:val="20"/>
          <w:color w:val="auto"/>
        </w:rPr>
      </w:pPr>
      <w:r>
        <w:rPr>
          <w:rFonts w:ascii="Arial" w:cs="Arial" w:eastAsia="Arial" w:hAnsi="Arial"/>
          <w:sz w:val="18"/>
          <w:szCs w:val="18"/>
          <w:b w:val="1"/>
          <w:bCs w:val="1"/>
          <w:u w:val="single" w:color="auto"/>
          <w:color w:val="auto"/>
        </w:rPr>
        <w:t>EXHIBIT 1.1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0" w:lineRule="exact"/>
        <w:rPr>
          <w:sz w:val="20"/>
          <w:szCs w:val="20"/>
          <w:color w:val="auto"/>
        </w:rPr>
      </w:pPr>
    </w:p>
    <w:p>
      <w:pPr>
        <w:jc w:val="both"/>
        <w:ind w:left="10420"/>
        <w:spacing w:after="0"/>
        <w:tabs>
          <w:tab w:leader="none" w:pos="113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05" w:lineRule="exact"/>
        <w:rPr>
          <w:sz w:val="20"/>
          <w:szCs w:val="20"/>
          <w:color w:val="auto"/>
        </w:rPr>
      </w:pPr>
    </w:p>
    <w:p>
      <w:pPr>
        <w:ind w:right="420" w:firstLine="218"/>
        <w:spacing w:after="0" w:line="307" w:lineRule="auto"/>
        <w:rPr>
          <w:sz w:val="20"/>
          <w:szCs w:val="20"/>
          <w:color w:val="auto"/>
        </w:rPr>
      </w:pPr>
      <w:r>
        <w:rPr>
          <w:rFonts w:ascii="Arial" w:cs="Arial" w:eastAsia="Arial" w:hAnsi="Arial"/>
          <w:sz w:val="15"/>
          <w:szCs w:val="15"/>
          <w:color w:val="auto"/>
        </w:rPr>
        <w:t>We (the “</w:t>
      </w:r>
      <w:r>
        <w:rPr>
          <w:rFonts w:ascii="Arial" w:cs="Arial" w:eastAsia="Arial" w:hAnsi="Arial"/>
          <w:sz w:val="15"/>
          <w:szCs w:val="15"/>
          <w:b w:val="1"/>
          <w:bCs w:val="1"/>
          <w:color w:val="auto"/>
        </w:rPr>
        <w:t>Manager</w:t>
      </w:r>
      <w:r>
        <w:rPr>
          <w:rFonts w:ascii="Arial" w:cs="Arial" w:eastAsia="Arial" w:hAnsi="Arial"/>
          <w:sz w:val="15"/>
          <w:szCs w:val="15"/>
          <w:color w:val="auto"/>
        </w:rPr>
        <w:t>”) are acting on behalf of the underwriter or underwriters (including ourselves) named below (such underwriter or underwriters being herein called the “</w:t>
      </w:r>
      <w:r>
        <w:rPr>
          <w:rFonts w:ascii="Arial" w:cs="Arial" w:eastAsia="Arial" w:hAnsi="Arial"/>
          <w:sz w:val="15"/>
          <w:szCs w:val="15"/>
          <w:b w:val="1"/>
          <w:bCs w:val="1"/>
          <w:color w:val="auto"/>
        </w:rPr>
        <w:t>Underwriters</w:t>
      </w:r>
      <w:r>
        <w:rPr>
          <w:rFonts w:ascii="Arial" w:cs="Arial" w:eastAsia="Arial" w:hAnsi="Arial"/>
          <w:sz w:val="15"/>
          <w:szCs w:val="15"/>
          <w:color w:val="auto"/>
        </w:rPr>
        <w:t>”), and we understand that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w:t>
      </w:r>
    </w:p>
    <w:p>
      <w:pPr>
        <w:ind w:right="340"/>
        <w:spacing w:after="0" w:line="247" w:lineRule="auto"/>
        <w:rPr>
          <w:sz w:val="20"/>
          <w:szCs w:val="20"/>
          <w:color w:val="auto"/>
        </w:rPr>
      </w:pPr>
      <w:r>
        <w:rPr>
          <w:rFonts w:ascii="Arial" w:cs="Arial" w:eastAsia="Arial" w:hAnsi="Arial"/>
          <w:sz w:val="18"/>
          <w:szCs w:val="18"/>
          <w:color w:val="auto"/>
        </w:rPr>
        <w:t>$[ ] aggregate principal amount of [ ]% Notes Due [ ] (the “</w:t>
      </w:r>
      <w:r>
        <w:rPr>
          <w:rFonts w:ascii="Arial" w:cs="Arial" w:eastAsia="Arial" w:hAnsi="Arial"/>
          <w:sz w:val="18"/>
          <w:szCs w:val="18"/>
          <w:b w:val="1"/>
          <w:bCs w:val="1"/>
          <w:color w:val="auto"/>
        </w:rPr>
        <w:t>Offered Securities</w:t>
      </w:r>
      <w:r>
        <w:rPr>
          <w:rFonts w:ascii="Arial" w:cs="Arial" w:eastAsia="Arial" w:hAnsi="Arial"/>
          <w:sz w:val="18"/>
          <w:szCs w:val="18"/>
          <w:color w:val="auto"/>
        </w:rPr>
        <w:t>”). The Offered Securities are to be issued pursuant to the provisions of the [specify the indenture] and guaranteed on an unsecured and [unsubordinated] [subordinated] basis by Comcast Cable Communications, LLC, Comcast Cable Communications Holdings, Inc., Comcast Cable Holdings, LLC, Comcast MO Group, Inc. and Comcast MO of Delaware, LLC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Subject to the terms and conditions set forth or incorporated by reference herein, the Company hereby agrees to sell and the Underwriters agree to purchase,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gridSpan w:val="5"/>
          </w:tcPr>
          <w:p>
            <w:pPr>
              <w:spacing w:after="0"/>
              <w:rPr>
                <w:sz w:val="20"/>
                <w:szCs w:val="20"/>
                <w:color w:val="auto"/>
              </w:rPr>
            </w:pPr>
            <w:r>
              <w:rPr>
                <w:rFonts w:ascii="Arial" w:cs="Arial" w:eastAsia="Arial" w:hAnsi="Arial"/>
                <w:sz w:val="18"/>
                <w:szCs w:val="18"/>
                <w:color w:val="auto"/>
                <w:w w:val="91"/>
              </w:rPr>
              <w:t>severally and not jointly, the aggregate principal amount of the Offered Securities set forth below opposite their names at a purchase price of [</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w w:val="99"/>
              </w:rPr>
              <w:t>], plus</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accrued interest, if any, from [</w:t>
            </w:r>
          </w:p>
        </w:tc>
        <w:tc>
          <w:tcPr>
            <w:tcW w:w="7700" w:type="dxa"/>
            <w:vAlign w:val="bottom"/>
            <w:gridSpan w:val="4"/>
          </w:tcPr>
          <w:p>
            <w:pPr>
              <w:ind w:left="440"/>
              <w:spacing w:after="0"/>
              <w:rPr>
                <w:sz w:val="20"/>
                <w:szCs w:val="20"/>
                <w:color w:val="auto"/>
              </w:rPr>
            </w:pPr>
            <w:r>
              <w:rPr>
                <w:rFonts w:ascii="Arial" w:cs="Arial" w:eastAsia="Arial" w:hAnsi="Arial"/>
                <w:sz w:val="18"/>
                <w:szCs w:val="18"/>
                <w:color w:val="auto"/>
              </w:rPr>
              <w:t>] to the date of payment and delivery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2"/>
              </w:rPr>
              <w:t>Offered Securities</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20"/>
                <w:szCs w:val="20"/>
                <w:color w:val="auto"/>
              </w:rPr>
            </w:pPr>
            <w:r>
              <w:rPr>
                <w:rFonts w:ascii="Arial" w:cs="Arial" w:eastAsia="Arial" w:hAnsi="Arial"/>
                <w:sz w:val="14"/>
                <w:szCs w:val="14"/>
                <w:color w:val="auto"/>
              </w:rPr>
              <w:t>Underwriter</w:t>
            </w:r>
          </w:p>
        </w:tc>
        <w:tc>
          <w:tcPr>
            <w:tcW w:w="1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To Be Purchased</w:t>
            </w:r>
          </w:p>
        </w:tc>
        <w:tc>
          <w:tcPr>
            <w:tcW w:w="0" w:type="dxa"/>
            <w:vAlign w:val="bottom"/>
          </w:tcPr>
          <w:p>
            <w:pPr>
              <w:spacing w:after="0"/>
              <w:rPr>
                <w:sz w:val="1"/>
                <w:szCs w:val="1"/>
                <w:color w:val="auto"/>
              </w:rPr>
            </w:pPr>
          </w:p>
        </w:tc>
      </w:tr>
      <w:tr>
        <w:trPr>
          <w:trHeight w:val="417"/>
        </w:trPr>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[Insert syndicate list]</w:t>
            </w:r>
          </w:p>
        </w:tc>
        <w:tc>
          <w:tcPr>
            <w:tcW w:w="11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ind w:left="220"/>
              <w:spacing w:after="0"/>
              <w:rPr>
                <w:sz w:val="20"/>
                <w:szCs w:val="20"/>
                <w:color w:val="auto"/>
              </w:rPr>
            </w:pPr>
            <w:r>
              <w:rPr>
                <w:rFonts w:ascii="Arial" w:cs="Arial" w:eastAsia="Arial" w:hAnsi="Arial"/>
                <w:sz w:val="18"/>
                <w:szCs w:val="18"/>
                <w:color w:val="auto"/>
                <w:w w:val="97"/>
              </w:rPr>
              <w:t>For purposes of the Underwriting Agreement, Applicable Time means [</w:t>
            </w:r>
          </w:p>
        </w:tc>
        <w:tc>
          <w:tcPr>
            <w:tcW w:w="4540" w:type="dxa"/>
            <w:vAlign w:val="bottom"/>
            <w:gridSpan w:val="2"/>
            <w:vMerge w:val="restart"/>
          </w:tcPr>
          <w:p>
            <w:pPr>
              <w:ind w:left="440"/>
              <w:spacing w:after="0"/>
              <w:rPr>
                <w:sz w:val="20"/>
                <w:szCs w:val="20"/>
                <w:color w:val="auto"/>
              </w:rPr>
            </w:pPr>
            <w:r>
              <w:rPr>
                <w:rFonts w:ascii="Arial" w:cs="Arial" w:eastAsia="Arial" w:hAnsi="Arial"/>
                <w:sz w:val="18"/>
                <w:szCs w:val="18"/>
                <w:color w:val="auto"/>
              </w:rPr>
              <w:t>] (New York time) on the date hereof.</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40" w:type="dxa"/>
            <w:vAlign w:val="bottom"/>
            <w:gridSpan w:val="3"/>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1420" w:type="dxa"/>
            <w:vAlign w:val="bottom"/>
            <w:gridSpan w:val="7"/>
          </w:tcPr>
          <w:p>
            <w:pPr>
              <w:ind w:left="220"/>
              <w:spacing w:after="0"/>
              <w:rPr>
                <w:sz w:val="20"/>
                <w:szCs w:val="20"/>
                <w:color w:val="auto"/>
              </w:rPr>
            </w:pPr>
            <w:r>
              <w:rPr>
                <w:rFonts w:ascii="Arial" w:cs="Arial" w:eastAsia="Arial" w:hAnsi="Arial"/>
                <w:sz w:val="18"/>
                <w:szCs w:val="18"/>
                <w:color w:val="auto"/>
                <w:w w:val="94"/>
              </w:rPr>
              <w:t>The Underwriters will pay for the Offered Securities upon delivery thereof at the offices of Davis Polk &amp; Wardwell, 1600 El Camino Real, Menlo Park,</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California at 10:00 a.m. (New York time) on [</w:t>
            </w:r>
          </w:p>
        </w:tc>
        <w:tc>
          <w:tcPr>
            <w:tcW w:w="6580" w:type="dxa"/>
            <w:vAlign w:val="bottom"/>
            <w:gridSpan w:val="3"/>
          </w:tcPr>
          <w:p>
            <w:pPr>
              <w:ind w:left="440"/>
              <w:spacing w:after="0"/>
              <w:rPr>
                <w:sz w:val="20"/>
                <w:szCs w:val="20"/>
                <w:color w:val="auto"/>
              </w:rPr>
            </w:pPr>
            <w:r>
              <w:rPr>
                <w:rFonts w:ascii="Arial" w:cs="Arial" w:eastAsia="Arial" w:hAnsi="Arial"/>
                <w:sz w:val="18"/>
                <w:szCs w:val="18"/>
                <w:color w:val="auto"/>
              </w:rPr>
              <w:t>], or at such other time, not later than 5:00 p.m. (New York time)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25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54" w:name="page55"/>
    <w:bookmarkEnd w:id="54"/>
    <w:p>
      <w:pPr>
        <w:ind w:right="520"/>
        <w:spacing w:after="0" w:line="265" w:lineRule="auto"/>
        <w:rPr>
          <w:sz w:val="20"/>
          <w:szCs w:val="20"/>
          <w:color w:val="auto"/>
        </w:rPr>
      </w:pPr>
      <w:r>
        <w:rPr>
          <w:rFonts w:ascii="Arial" w:cs="Arial" w:eastAsia="Arial" w:hAnsi="Arial"/>
          <w:sz w:val="18"/>
          <w:szCs w:val="18"/>
          <w:color w:val="auto"/>
        </w:rPr>
        <w:t>on [ ] as shall be designated in writing by the Underwriters and the Company. The time and date of such payment and delivery are hereinafter referred to as the Closing Date.</w:t>
      </w:r>
    </w:p>
    <w:p>
      <w:pPr>
        <w:sectPr>
          <w:pgSz w:w="11900" w:h="16838" w:orient="portrait"/>
          <w:cols w:equalWidth="0" w:num="1">
            <w:col w:w="11360"/>
          </w:cols>
          <w:pgMar w:left="240" w:top="923" w:right="299" w:bottom="1440" w:gutter="0" w:footer="0" w:header="0"/>
        </w:sectPr>
      </w:pPr>
    </w:p>
    <w:p>
      <w:pPr>
        <w:spacing w:after="0" w:line="7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 2006 and the Prospectus Supplement dated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8" w:lineRule="exact"/>
        <w:rPr>
          <w:sz w:val="20"/>
          <w:szCs w:val="20"/>
          <w:color w:val="auto"/>
        </w:rPr>
      </w:pPr>
    </w:p>
    <w:p>
      <w:pPr>
        <w:sectPr>
          <w:pgSz w:w="11900" w:h="16838" w:orient="portrait"/>
          <w:cols w:equalWidth="0" w:num="3">
            <w:col w:w="5860" w:space="720"/>
            <w:col w:w="3500" w:space="720"/>
            <w:col w:w="560"/>
          </w:cols>
          <w:pgMar w:left="240" w:top="92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including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Terms of Offered Securities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Maturity Date: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Rate: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Redemption Provisions:</w:t>
      </w:r>
    </w:p>
    <w:p>
      <w:pPr>
        <w:spacing w:after="0" w:line="111" w:lineRule="exact"/>
        <w:rPr>
          <w:sz w:val="20"/>
          <w:szCs w:val="20"/>
          <w:color w:val="auto"/>
        </w:rPr>
      </w:pPr>
    </w:p>
    <w:p>
      <w:pPr>
        <w:ind w:left="220"/>
        <w:spacing w:after="0"/>
        <w:tabs>
          <w:tab w:leader="none" w:pos="2880" w:val="left"/>
          <w:tab w:leader="none" w:pos="4920" w:val="left"/>
          <w:tab w:leader="none" w:pos="756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8"/>
          <w:szCs w:val="18"/>
          <w:color w:val="auto"/>
        </w:rPr>
        <w:t>] (Interest accrues from [</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Form and Denomination: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Ranking:</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Conversion Provisions: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Terms:</w:t>
      </w:r>
    </w:p>
    <w:p>
      <w:pPr>
        <w:spacing w:after="0" w:line="111" w:lineRule="exact"/>
        <w:rPr>
          <w:sz w:val="20"/>
          <w:szCs w:val="20"/>
          <w:color w:val="auto"/>
        </w:rPr>
      </w:pPr>
    </w:p>
    <w:p>
      <w:pPr>
        <w:ind w:left="220" w:right="520" w:firstLine="10"/>
        <w:spacing w:after="0" w:line="376" w:lineRule="auto"/>
        <w:rPr>
          <w:sz w:val="20"/>
          <w:szCs w:val="20"/>
          <w:color w:val="auto"/>
        </w:rPr>
      </w:pPr>
      <w:r>
        <w:rPr>
          <w:rFonts w:ascii="Arial" w:cs="Arial" w:eastAsia="Arial" w:hAnsi="Arial"/>
          <w:sz w:val="15"/>
          <w:szCs w:val="15"/>
          <w:color w:val="auto"/>
        </w:rPr>
        <w:t>Capitalized terms used above and not defined herein shall have the meanings set forth in the Prospectus and Prospectus Supplement referred to above. All communications hereunder shall be in writing and effective only upon receipt and (a) if to the Underwriters, shall be delivered, mailed or sent via</w:t>
      </w:r>
    </w:p>
    <w:p>
      <w:pPr>
        <w:spacing w:after="0" w:line="1" w:lineRule="exact"/>
        <w:rPr>
          <w:sz w:val="20"/>
          <w:szCs w:val="20"/>
          <w:color w:val="auto"/>
        </w:rPr>
      </w:pPr>
    </w:p>
    <w:p>
      <w:pPr>
        <w:spacing w:after="0"/>
        <w:tabs>
          <w:tab w:leader="none" w:pos="2340" w:val="left"/>
          <w:tab w:leader="none" w:pos="4700" w:val="left"/>
          <w:tab w:leader="none" w:pos="6540" w:val="left"/>
        </w:tabs>
        <w:rPr>
          <w:sz w:val="20"/>
          <w:szCs w:val="20"/>
          <w:color w:val="auto"/>
        </w:rPr>
      </w:pPr>
      <w:r>
        <w:rPr>
          <w:rFonts w:ascii="Arial" w:cs="Arial" w:eastAsia="Arial" w:hAnsi="Arial"/>
          <w:sz w:val="18"/>
          <w:szCs w:val="18"/>
          <w:color w:val="auto"/>
        </w:rPr>
        <w:t>facsimile in care of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5"/>
          <w:szCs w:val="15"/>
          <w:color w:val="auto"/>
        </w:rPr>
        <w:t>], or (b) if to the Company, shall be delivered, mailed or sent via</w:t>
      </w:r>
    </w:p>
    <w:p>
      <w:pPr>
        <w:spacing w:after="0" w:line="5" w:lineRule="exact"/>
        <w:rPr>
          <w:sz w:val="20"/>
          <w:szCs w:val="20"/>
          <w:color w:val="auto"/>
        </w:rPr>
      </w:pPr>
    </w:p>
    <w:p>
      <w:pPr>
        <w:spacing w:after="0"/>
        <w:tabs>
          <w:tab w:leader="none" w:pos="7020" w:val="left"/>
          <w:tab w:leader="none" w:pos="8860" w:val="left"/>
        </w:tabs>
        <w:rPr>
          <w:sz w:val="20"/>
          <w:szCs w:val="20"/>
          <w:color w:val="auto"/>
        </w:rPr>
      </w:pPr>
      <w:r>
        <w:rPr>
          <w:rFonts w:ascii="Arial" w:cs="Arial" w:eastAsia="Arial" w:hAnsi="Arial"/>
          <w:sz w:val="18"/>
          <w:szCs w:val="18"/>
          <w:color w:val="auto"/>
        </w:rPr>
        <w:t>facsimile to 1500 Market Street, Philadelphia, Pennsylvania 19102,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8"/>
          <w:szCs w:val="18"/>
          <w:color w:val="auto"/>
        </w:rPr>
        <w:t>].</w:t>
      </w:r>
    </w:p>
    <w:p>
      <w:pPr>
        <w:spacing w:after="0" w:line="100"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type w:val="continuous"/>
        </w:sectPr>
      </w:pPr>
    </w:p>
    <w:bookmarkStart w:id="55" w:name="page56"/>
    <w:bookmarkEnd w:id="55"/>
    <w:p>
      <w:pPr>
        <w:ind w:left="220"/>
        <w:spacing w:after="0"/>
        <w:rPr>
          <w:sz w:val="20"/>
          <w:szCs w:val="20"/>
          <w:color w:val="auto"/>
        </w:rPr>
      </w:pPr>
      <w:r>
        <w:rPr>
          <w:rFonts w:ascii="Arial" w:cs="Arial" w:eastAsia="Arial" w:hAnsi="Arial"/>
          <w:sz w:val="15"/>
          <w:szCs w:val="15"/>
          <w:color w:val="auto"/>
        </w:rPr>
        <w:t>Except as set forth below, all provisions contained in the document entitled Comcast Corporation Underwriting Agreement Standard Provisions (Debt</w:t>
      </w:r>
    </w:p>
    <w:p>
      <w:pPr>
        <w:spacing w:after="0" w:line="5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Securities, Warrants, Purchase Contracts, Units and Guarantees) dated [ ], (the “</w:t>
      </w:r>
      <w:r>
        <w:rPr>
          <w:rFonts w:ascii="Arial" w:cs="Arial" w:eastAsia="Arial" w:hAnsi="Arial"/>
          <w:sz w:val="15"/>
          <w:szCs w:val="15"/>
          <w:b w:val="1"/>
          <w:bCs w:val="1"/>
          <w:color w:val="auto"/>
        </w:rPr>
        <w:t>Standard Provisions</w:t>
      </w:r>
      <w:r>
        <w:rPr>
          <w:rFonts w:ascii="Arial" w:cs="Arial" w:eastAsia="Arial" w:hAnsi="Arial"/>
          <w:sz w:val="15"/>
          <w:szCs w:val="15"/>
          <w:color w:val="auto"/>
        </w:rPr>
        <w:t>”),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color w:val="auto"/>
        </w:rPr>
        <w:t>Please confirm your agreement by having an authorized officer sign a copy of this Agreement in the space set forth below.</w:t>
      </w:r>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of Lead Managers]</w:t>
      </w:r>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On behalf of themselves and the other</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Underwriters named herein</w:t>
      </w:r>
    </w:p>
    <w:p>
      <w:pPr>
        <w:spacing w:after="0" w:line="206" w:lineRule="exact"/>
        <w:rPr>
          <w:sz w:val="20"/>
          <w:szCs w:val="20"/>
          <w:color w:val="auto"/>
        </w:rPr>
      </w:pPr>
    </w:p>
    <w:p>
      <w:pPr>
        <w:jc w:val="right"/>
        <w:spacing w:after="0"/>
        <w:tabs>
          <w:tab w:leader="none" w:pos="5600" w:val="left"/>
          <w:tab w:leader="none" w:pos="40" w:val="left"/>
        </w:tabs>
        <w:rPr>
          <w:sz w:val="20"/>
          <w:szCs w:val="20"/>
          <w:color w:val="auto"/>
        </w:rPr>
      </w:pPr>
      <w:r>
        <w:rPr>
          <w:rFonts w:ascii="Arial" w:cs="Arial" w:eastAsia="Arial" w:hAnsi="Arial"/>
          <w:sz w:val="18"/>
          <w:szCs w:val="18"/>
          <w:color w:val="auto"/>
        </w:rPr>
        <w:t>By</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19685</wp:posOffset>
            </wp:positionV>
            <wp:extent cx="3333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3375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11430</wp:posOffset>
            </wp:positionV>
            <wp:extent cx="34690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69005" cy="8255"/>
                    </a:xfrm>
                    <a:prstGeom prst="rect">
                      <a:avLst/>
                    </a:prstGeom>
                    <a:noFill/>
                  </pic:spPr>
                </pic:pic>
              </a:graphicData>
            </a:graphic>
          </wp:anchor>
        </w:drawing>
      </w:r>
    </w:p>
    <w:p>
      <w:pPr>
        <w:spacing w:after="0" w:line="1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51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51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51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51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436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4436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35"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SCHEDULE I</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TIME OF SALE PROSPECTUS</w:t>
            </w:r>
          </w:p>
        </w:tc>
        <w:tc>
          <w:tcPr>
            <w:tcW w:w="560" w:type="dxa"/>
            <w:vAlign w:val="bottom"/>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7"/>
        </w:trPr>
        <w:tc>
          <w:tcPr>
            <w:tcW w:w="2520" w:type="dxa"/>
            <w:vAlign w:val="bottom"/>
          </w:tcPr>
          <w:p>
            <w:pPr>
              <w:spacing w:after="0"/>
              <w:rPr>
                <w:sz w:val="20"/>
                <w:szCs w:val="20"/>
                <w:color w:val="auto"/>
              </w:rPr>
            </w:pPr>
            <w:r>
              <w:rPr>
                <w:rFonts w:ascii="Arial" w:cs="Arial" w:eastAsia="Arial" w:hAnsi="Arial"/>
                <w:sz w:val="18"/>
                <w:szCs w:val="18"/>
                <w:color w:val="auto"/>
              </w:rPr>
              <w:t>1.   Base Prospectus dated [</w:t>
            </w:r>
          </w:p>
        </w:tc>
        <w:tc>
          <w:tcPr>
            <w:tcW w:w="7140" w:type="dxa"/>
            <w:vAlign w:val="bottom"/>
            <w:gridSpan w:val="3"/>
          </w:tcPr>
          <w:p>
            <w:pPr>
              <w:ind w:left="46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5" w:lineRule="exact"/>
        <w:rPr>
          <w:sz w:val="20"/>
          <w:szCs w:val="20"/>
          <w:color w:val="auto"/>
        </w:rPr>
      </w:pPr>
    </w:p>
    <w:p>
      <w:pPr>
        <w:ind w:left="400" w:hanging="394"/>
        <w:spacing w:after="0"/>
        <w:tabs>
          <w:tab w:leader="none" w:pos="4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Final term sheet containing the final terms of the Offered Securities as set forth in Schedule II hereto and filed with the Commission under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SCHEDULE II</w:t>
      </w:r>
    </w:p>
    <w:p>
      <w:pPr>
        <w:spacing w:after="0" w:line="32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FINAL PRICING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396240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3" w:lineRule="exact"/>
        <w:rPr>
          <w:sz w:val="20"/>
          <w:szCs w:val="20"/>
          <w:color w:val="auto"/>
        </w:rPr>
      </w:pPr>
    </w:p>
    <w:p>
      <w:pPr>
        <w:jc w:val="both"/>
        <w:ind w:left="1086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05" w:lineRule="exact"/>
        <w:rPr>
          <w:sz w:val="20"/>
          <w:szCs w:val="20"/>
          <w:color w:val="auto"/>
        </w:rPr>
      </w:pPr>
    </w:p>
    <w:p>
      <w:pPr>
        <w:ind w:right="20" w:firstLine="218"/>
        <w:spacing w:after="0" w:line="303" w:lineRule="auto"/>
        <w:rPr>
          <w:sz w:val="20"/>
          <w:szCs w:val="20"/>
          <w:color w:val="auto"/>
        </w:rPr>
      </w:pPr>
      <w:r>
        <w:rPr>
          <w:rFonts w:ascii="Arial" w:cs="Arial" w:eastAsia="Arial" w:hAnsi="Arial"/>
          <w:sz w:val="15"/>
          <w:szCs w:val="15"/>
          <w:color w:val="auto"/>
        </w:rPr>
        <w:t>We (the “</w:t>
      </w:r>
      <w:r>
        <w:rPr>
          <w:rFonts w:ascii="Arial" w:cs="Arial" w:eastAsia="Arial" w:hAnsi="Arial"/>
          <w:sz w:val="15"/>
          <w:szCs w:val="15"/>
          <w:b w:val="1"/>
          <w:bCs w:val="1"/>
          <w:color w:val="auto"/>
        </w:rPr>
        <w:t>Manager</w:t>
      </w:r>
      <w:r>
        <w:rPr>
          <w:rFonts w:ascii="Arial" w:cs="Arial" w:eastAsia="Arial" w:hAnsi="Arial"/>
          <w:sz w:val="15"/>
          <w:szCs w:val="15"/>
          <w:color w:val="auto"/>
        </w:rPr>
        <w:t>”) are acting on behalf of the underwriter or underwriters (including ourselves) named below (such underwriter or underwriters being herein called the “</w:t>
      </w:r>
      <w:r>
        <w:rPr>
          <w:rFonts w:ascii="Arial" w:cs="Arial" w:eastAsia="Arial" w:hAnsi="Arial"/>
          <w:sz w:val="15"/>
          <w:szCs w:val="15"/>
          <w:b w:val="1"/>
          <w:bCs w:val="1"/>
          <w:color w:val="auto"/>
        </w:rPr>
        <w:t>Underwriters</w:t>
      </w:r>
      <w:r>
        <w:rPr>
          <w:rFonts w:ascii="Arial" w:cs="Arial" w:eastAsia="Arial" w:hAnsi="Arial"/>
          <w:sz w:val="15"/>
          <w:szCs w:val="15"/>
          <w:color w:val="auto"/>
        </w:rPr>
        <w:t>”), and we understand that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 [number and title of warrants] Warrants (the “</w:t>
      </w:r>
      <w:r>
        <w:rPr>
          <w:rFonts w:ascii="Arial" w:cs="Arial" w:eastAsia="Arial" w:hAnsi="Arial"/>
          <w:sz w:val="15"/>
          <w:szCs w:val="15"/>
          <w:b w:val="1"/>
          <w:bCs w:val="1"/>
          <w:color w:val="auto"/>
        </w:rPr>
        <w:t>Offered [Company] Securities</w:t>
      </w:r>
      <w:r>
        <w:rPr>
          <w:rFonts w:ascii="Arial" w:cs="Arial" w:eastAsia="Arial" w:hAnsi="Arial"/>
          <w:sz w:val="15"/>
          <w:szCs w:val="15"/>
          <w:color w:val="auto"/>
        </w:rPr>
        <w:t>”). The Offered [Company] Securities are to be issued pursuant to the provisions of</w:t>
      </w:r>
    </w:p>
    <w:p>
      <w:pPr>
        <w:spacing w:after="0"/>
        <w:tabs>
          <w:tab w:leader="none" w:pos="4960" w:val="left"/>
        </w:tabs>
        <w:rPr>
          <w:sz w:val="20"/>
          <w:szCs w:val="20"/>
          <w:color w:val="auto"/>
        </w:rPr>
      </w:pPr>
      <w:r>
        <w:rPr>
          <w:rFonts w:ascii="Arial" w:cs="Arial" w:eastAsia="Arial" w:hAnsi="Arial"/>
          <w:sz w:val="18"/>
          <w:szCs w:val="18"/>
          <w:color w:val="auto"/>
        </w:rPr>
        <w:t>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dated as of [</w:t>
      </w:r>
      <w:r>
        <w:rPr>
          <w:sz w:val="20"/>
          <w:szCs w:val="20"/>
          <w:color w:val="auto"/>
        </w:rPr>
        <w:tab/>
      </w:r>
      <w:r>
        <w:rPr>
          <w:rFonts w:ascii="Arial" w:cs="Arial" w:eastAsia="Arial" w:hAnsi="Arial"/>
          <w:sz w:val="15"/>
          <w:szCs w:val="15"/>
          <w:color w:val="auto"/>
        </w:rPr>
        <w:t>] between the Company and [name of Warrant Agent], as Warrant Agent.</w:t>
      </w:r>
    </w:p>
    <w:p>
      <w:pPr>
        <w:spacing w:after="0" w:line="100" w:lineRule="exact"/>
        <w:rPr>
          <w:sz w:val="20"/>
          <w:szCs w:val="20"/>
          <w:color w:val="auto"/>
        </w:rPr>
      </w:pPr>
    </w:p>
    <w:p>
      <w:pPr>
        <w:ind w:right="60" w:firstLine="221"/>
        <w:spacing w:after="0" w:line="303" w:lineRule="auto"/>
        <w:rPr>
          <w:sz w:val="20"/>
          <w:szCs w:val="20"/>
          <w:color w:val="auto"/>
        </w:rPr>
      </w:pPr>
      <w:r>
        <w:rPr>
          <w:rFonts w:ascii="Arial" w:cs="Arial" w:eastAsia="Arial" w:hAnsi="Arial"/>
          <w:sz w:val="15"/>
          <w:szCs w:val="15"/>
          <w:color w:val="auto"/>
        </w:rPr>
        <w:t>[It is understood that substantially contemporaneously with the closing of the sale of the Offered Company Securities to the Underwriters contemplated hereby, [Comcast Cable Communications, LLC,] [Comcast Cable Communications Holdings, Inc.,] [Comcast Cable Holdings, LLC,] [Comcast MO Group, Inc.</w:t>
      </w:r>
    </w:p>
    <w:p>
      <w:pPr>
        <w:ind w:right="60"/>
        <w:spacing w:after="0" w:line="247" w:lineRule="auto"/>
        <w:rPr>
          <w:sz w:val="20"/>
          <w:szCs w:val="20"/>
          <w:color w:val="auto"/>
        </w:rPr>
      </w:pPr>
      <w:r>
        <w:rPr>
          <w:rFonts w:ascii="Arial" w:cs="Arial" w:eastAsia="Arial" w:hAnsi="Arial"/>
          <w:sz w:val="18"/>
          <w:szCs w:val="18"/>
          <w:color w:val="auto"/>
        </w:rPr>
        <w:t>and] [Comcast MO of Delaware, LLC] (collectively, the “</w:t>
      </w:r>
      <w:r>
        <w:rPr>
          <w:rFonts w:ascii="Arial" w:cs="Arial" w:eastAsia="Arial" w:hAnsi="Arial"/>
          <w:sz w:val="18"/>
          <w:szCs w:val="18"/>
          <w:b w:val="1"/>
          <w:bCs w:val="1"/>
          <w:color w:val="auto"/>
        </w:rPr>
        <w:t>Cable Guarantors</w:t>
      </w:r>
      <w:r>
        <w:rPr>
          <w:rFonts w:ascii="Arial" w:cs="Arial" w:eastAsia="Arial" w:hAnsi="Arial"/>
          <w:sz w:val="18"/>
          <w:szCs w:val="18"/>
          <w:color w:val="auto"/>
        </w:rPr>
        <w:t>”) and [ ], as Guarantee Trustee, shall enter into a Guarantee Agreement in substantially the form of the Form of the Guarantee Agreement attached as Exhibit 4.18 of the Registration Statement referred to below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w:t>
      </w:r>
      <w:r>
        <w:rPr>
          <w:rFonts w:ascii="Arial" w:cs="Arial" w:eastAsia="Arial" w:hAnsi="Arial"/>
          <w:sz w:val="18"/>
          <w:szCs w:val="18"/>
          <w:color w:val="auto"/>
        </w:rPr>
        <w:t>”) for the benefit of the holders from time to time of the Offered Company Securities. The Offered Company Securities and the Additional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are hereinafter collectively referred to as the “</w:t>
      </w:r>
      <w:r>
        <w:rPr>
          <w:rFonts w:ascii="Arial" w:cs="Arial" w:eastAsia="Arial" w:hAnsi="Arial"/>
          <w:sz w:val="18"/>
          <w:szCs w:val="18"/>
          <w:b w:val="1"/>
          <w:bCs w:val="1"/>
          <w:color w:val="auto"/>
        </w:rPr>
        <w:t>Offered Securities</w:t>
      </w:r>
      <w:r>
        <w:rPr>
          <w:rFonts w:ascii="Arial" w:cs="Arial" w:eastAsia="Arial" w:hAnsi="Arial"/>
          <w:sz w:val="18"/>
          <w:szCs w:val="18"/>
          <w:color w:val="auto"/>
        </w:rPr>
        <w:t>.”]</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Subject to the terms and conditions set forth or incorporated by reference herein, the Company hereby agrees to sell and the Underwriters agree to purchase,</w:t>
      </w:r>
    </w:p>
    <w:p>
      <w:pPr>
        <w:spacing w:after="0" w:line="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severally and not jointly, the aggregate number of Offered [Company] Securities set forth below opposite their names at a purchase price of $[ ] per Offered Company Security,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ectPr>
          <w:pgSz w:w="11900" w:h="16838" w:orient="portrait"/>
          <w:cols w:equalWidth="0" w:num="1">
            <w:col w:w="11420"/>
          </w:cols>
          <w:pgMar w:left="240" w:top="943"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775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75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Number of</w:t>
      </w:r>
    </w:p>
    <w:p>
      <w:pPr>
        <w:jc w:val="center"/>
        <w:ind w:right="100"/>
        <w:spacing w:after="0"/>
        <w:rPr>
          <w:sz w:val="20"/>
          <w:szCs w:val="20"/>
          <w:color w:val="auto"/>
        </w:rPr>
      </w:pPr>
      <w:r>
        <w:rPr>
          <w:rFonts w:ascii="Arial" w:cs="Arial" w:eastAsia="Arial" w:hAnsi="Arial"/>
          <w:sz w:val="12"/>
          <w:szCs w:val="12"/>
          <w:color w:val="auto"/>
        </w:rPr>
        <w:t>Offered [Company] Securities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0775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8900" w:space="720"/>
            <w:col w:w="1800"/>
          </w:cols>
          <w:pgMar w:left="240" w:top="9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[Insert syndicate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6108065</wp:posOffset>
            </wp:positionH>
            <wp:positionV relativeFrom="paragraph">
              <wp:posOffset>1905</wp:posOffset>
            </wp:positionV>
            <wp:extent cx="10775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6108065</wp:posOffset>
            </wp:positionH>
            <wp:positionV relativeFrom="paragraph">
              <wp:posOffset>11430</wp:posOffset>
            </wp:positionV>
            <wp:extent cx="1077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77595" cy="825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27940</wp:posOffset>
            </wp:positionV>
            <wp:extent cx="10775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type w:val="continuous"/>
        </w:sectPr>
      </w:pPr>
    </w:p>
    <w:bookmarkStart w:id="61" w:name="page62"/>
    <w:bookmarkEnd w:id="61"/>
    <w:p>
      <w:pPr>
        <w:ind w:left="220"/>
        <w:spacing w:after="0"/>
        <w:tabs>
          <w:tab w:leader="none" w:pos="5720" w:val="left"/>
        </w:tabs>
        <w:rPr>
          <w:sz w:val="20"/>
          <w:szCs w:val="20"/>
          <w:color w:val="auto"/>
        </w:rPr>
      </w:pPr>
      <w:r>
        <w:rPr>
          <w:rFonts w:ascii="Arial" w:cs="Arial" w:eastAsia="Arial" w:hAnsi="Arial"/>
          <w:sz w:val="18"/>
          <w:szCs w:val="18"/>
          <w:color w:val="auto"/>
        </w:rPr>
        <w:t>For purposes of the Underwriting Agreement, Applicable Time means [</w:t>
      </w:r>
      <w:r>
        <w:rPr>
          <w:sz w:val="20"/>
          <w:szCs w:val="20"/>
          <w:color w:val="auto"/>
        </w:rPr>
        <w:tab/>
      </w:r>
      <w:r>
        <w:rPr>
          <w:rFonts w:ascii="Arial" w:cs="Arial" w:eastAsia="Arial" w:hAnsi="Arial"/>
          <w:sz w:val="15"/>
          <w:szCs w:val="15"/>
          <w:color w:val="auto"/>
        </w:rPr>
        <w:t>] (New York time) on the date hereof.</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Underwriters will pay for the Offered [Company] Securities upon delivery thereof at the offices of Davis Polk &amp; Wardwell, 1600 El Camino Real, Menlo</w:t>
      </w:r>
    </w:p>
    <w:p>
      <w:pPr>
        <w:spacing w:after="0" w:line="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Park, CA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400"/>
          </w:cols>
          <w:pgMar w:left="240" w:top="923" w:right="259" w:bottom="1440" w:gutter="0" w:footer="0" w:header="0"/>
        </w:sectPr>
      </w:pPr>
    </w:p>
    <w:p>
      <w:pPr>
        <w:spacing w:after="0" w:line="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Offered Securities shall have the terms set forth in the Prospectus dated December[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2006, and the Prospectus Supplement dated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8" w:lineRule="exact"/>
        <w:rPr>
          <w:sz w:val="20"/>
          <w:szCs w:val="20"/>
          <w:color w:val="auto"/>
        </w:rPr>
      </w:pPr>
    </w:p>
    <w:p>
      <w:pPr>
        <w:sectPr>
          <w:pgSz w:w="11900" w:h="16838" w:orient="portrait"/>
          <w:cols w:equalWidth="0" w:num="3">
            <w:col w:w="6420" w:space="440"/>
            <w:col w:w="3340" w:space="440"/>
            <w:col w:w="760"/>
          </w:cols>
          <w:pgMar w:left="240" w:top="923" w:right="259" w:bottom="1440" w:gutter="0" w:footer="0" w:header="0"/>
          <w:type w:val="continuous"/>
        </w:sectPr>
      </w:pPr>
    </w:p>
    <w:p>
      <w:pPr>
        <w:spacing w:after="0"/>
        <w:rPr>
          <w:sz w:val="20"/>
          <w:szCs w:val="20"/>
          <w:color w:val="auto"/>
        </w:rPr>
      </w:pPr>
      <w:r>
        <w:rPr>
          <w:rFonts w:ascii="Arial" w:cs="Arial" w:eastAsia="Arial" w:hAnsi="Arial"/>
          <w:sz w:val="18"/>
          <w:szCs w:val="18"/>
          <w:color w:val="auto"/>
        </w:rPr>
        <w:t>including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Terms of Offered [Company] Securities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Designation of the Series of Warrants: [Call] [Put] Warrants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 Property: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Number of Warrants: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Price to Public:</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 Exercise Price: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Dates upon which Warrants may be exercised: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Expiration Date: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Currency in which exercise payments shall be made: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Minimum number of Warrants exercisable by any holder on any day: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Maximum number of Warrants exercisable on any day: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Formula for determining Cash Settlement Value: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Rate (or method of calculation):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on which Warrants are to be listed: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Terms:</w:t>
      </w:r>
    </w:p>
    <w:p>
      <w:pPr>
        <w:sectPr>
          <w:pgSz w:w="11900" w:h="16838" w:orient="portrait"/>
          <w:cols w:equalWidth="0" w:num="1">
            <w:col w:w="11400"/>
          </w:cols>
          <w:pgMar w:left="240" w:top="923" w:right="259" w:bottom="1440" w:gutter="0" w:footer="0" w:header="0"/>
          <w:type w:val="continuous"/>
        </w:sectPr>
      </w:pPr>
    </w:p>
    <w:p>
      <w:pPr>
        <w:spacing w:after="0" w:line="111"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Capitalized terms used above and not defined herein shall have the meanings set forth in the Prospectus and Prospectus Supplement referred to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type w:val="continuous"/>
        </w:sectPr>
      </w:pPr>
    </w:p>
    <w:bookmarkStart w:id="62" w:name="page63"/>
    <w:bookmarkEnd w:id="62"/>
    <w:p>
      <w:pPr>
        <w:ind w:left="220"/>
        <w:spacing w:after="0"/>
        <w:rPr>
          <w:sz w:val="20"/>
          <w:szCs w:val="20"/>
          <w:color w:val="auto"/>
        </w:rPr>
      </w:pPr>
      <w:r>
        <w:rPr>
          <w:rFonts w:ascii="Arial" w:cs="Arial" w:eastAsia="Arial" w:hAnsi="Arial"/>
          <w:sz w:val="17"/>
          <w:szCs w:val="17"/>
          <w:color w:val="auto"/>
        </w:rPr>
        <w:t>All communications hereunder shall be in writing and effective only upon receipt and (a) if to the Underwriters, shall be delivered, mailed or sent via</w:t>
      </w:r>
    </w:p>
    <w:p>
      <w:pPr>
        <w:spacing w:after="0" w:line="28" w:lineRule="exact"/>
        <w:rPr>
          <w:sz w:val="20"/>
          <w:szCs w:val="20"/>
          <w:color w:val="auto"/>
        </w:rPr>
      </w:pPr>
    </w:p>
    <w:p>
      <w:pPr>
        <w:spacing w:after="0"/>
        <w:tabs>
          <w:tab w:leader="none" w:pos="1900" w:val="left"/>
          <w:tab w:leader="none" w:pos="3820" w:val="left"/>
          <w:tab w:leader="none" w:pos="5220" w:val="left"/>
        </w:tabs>
        <w:rPr>
          <w:sz w:val="20"/>
          <w:szCs w:val="20"/>
          <w:color w:val="auto"/>
        </w:rPr>
      </w:pPr>
      <w:r>
        <w:rPr>
          <w:rFonts w:ascii="Arial" w:cs="Arial" w:eastAsia="Arial" w:hAnsi="Arial"/>
          <w:sz w:val="18"/>
          <w:szCs w:val="18"/>
          <w:color w:val="auto"/>
        </w:rPr>
        <w:t>facsimile in care of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5"/>
          <w:szCs w:val="15"/>
          <w:color w:val="auto"/>
        </w:rPr>
        <w:t>], or (b) if to the Company, shall be delivered, mailed or sent via facsimile to 1500</w:t>
      </w:r>
    </w:p>
    <w:p>
      <w:pPr>
        <w:spacing w:after="0" w:line="5" w:lineRule="exact"/>
        <w:rPr>
          <w:sz w:val="20"/>
          <w:szCs w:val="20"/>
          <w:color w:val="auto"/>
        </w:rPr>
      </w:pPr>
    </w:p>
    <w:p>
      <w:pPr>
        <w:spacing w:after="0"/>
        <w:tabs>
          <w:tab w:leader="none" w:pos="5300" w:val="left"/>
          <w:tab w:leader="none" w:pos="6720" w:val="left"/>
        </w:tabs>
        <w:rPr>
          <w:sz w:val="20"/>
          <w:szCs w:val="20"/>
          <w:color w:val="auto"/>
        </w:rPr>
      </w:pPr>
      <w:r>
        <w:rPr>
          <w:rFonts w:ascii="Arial" w:cs="Arial" w:eastAsia="Arial" w:hAnsi="Arial"/>
          <w:sz w:val="18"/>
          <w:szCs w:val="18"/>
          <w:color w:val="auto"/>
        </w:rPr>
        <w:t>Market Street, Philadelphia, Pennsylvania 19102,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100"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Except as set forth below, all provisions contained in the document entitled Comcast Corporation Underwriting Agreement Standard Provisions (Debt</w:t>
      </w:r>
    </w:p>
    <w:p>
      <w:pPr>
        <w:spacing w:after="0" w:line="51"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Securities, Warrants, Purchase Contracts, Units and Guarantees)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color w:val="auto"/>
        </w:rPr>
        <w:t>Please confirm your agreement by having an authorized officer sign a copy of this Agreement in the space set forth below.</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of Lead Managers]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On behalf of themselves and the other</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Underwriters named herein</w:t>
      </w:r>
    </w:p>
    <w:p>
      <w:pPr>
        <w:spacing w:after="0" w:line="206" w:lineRule="exact"/>
        <w:rPr>
          <w:sz w:val="20"/>
          <w:szCs w:val="20"/>
          <w:color w:val="auto"/>
        </w:rPr>
      </w:pPr>
    </w:p>
    <w:p>
      <w:pPr>
        <w:jc w:val="right"/>
        <w:ind w:right="219"/>
        <w:spacing w:after="0"/>
        <w:tabs>
          <w:tab w:leader="none" w:pos="2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11430</wp:posOffset>
            </wp:positionV>
            <wp:extent cx="2534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11430</wp:posOffset>
            </wp:positionV>
            <wp:extent cx="25342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23"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[COMCAST MO OF DELAWARE,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5507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35"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SCHEDULE I</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OF SALE PROSPECTUS</w:t>
      </w:r>
    </w:p>
    <w:p>
      <w:pPr>
        <w:spacing w:after="0" w:line="111" w:lineRule="exact"/>
        <w:rPr>
          <w:sz w:val="20"/>
          <w:szCs w:val="20"/>
          <w:color w:val="auto"/>
        </w:rPr>
      </w:pPr>
    </w:p>
    <w:p>
      <w:pPr>
        <w:spacing w:after="0"/>
        <w:tabs>
          <w:tab w:leader="none" w:pos="2280" w:val="left"/>
          <w:tab w:leader="none" w:pos="8980" w:val="left"/>
        </w:tabs>
        <w:rPr>
          <w:sz w:val="20"/>
          <w:szCs w:val="20"/>
          <w:color w:val="auto"/>
        </w:rPr>
      </w:pPr>
      <w:r>
        <w:rPr>
          <w:rFonts w:ascii="Arial" w:cs="Arial" w:eastAsia="Arial" w:hAnsi="Arial"/>
          <w:sz w:val="18"/>
          <w:szCs w:val="18"/>
          <w:color w:val="auto"/>
        </w:rPr>
        <w:t>1. Base Prospectus dated [</w:t>
      </w:r>
      <w:r>
        <w:rPr>
          <w:sz w:val="20"/>
          <w:szCs w:val="20"/>
          <w:color w:val="auto"/>
        </w:rPr>
        <w:tab/>
      </w:r>
      <w:r>
        <w:rPr>
          <w:rFonts w:ascii="Arial" w:cs="Arial" w:eastAsia="Arial" w:hAnsi="Arial"/>
          <w:sz w:val="17"/>
          <w:szCs w:val="17"/>
          <w:color w:val="auto"/>
        </w:rPr>
        <w:t>] relating to the Offered Securities and included in the Registration Statement (File No. [</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2. Final term sheet containing the final terms of the Offered Securities as set forth in Schedule II hereto and filed with the Commission under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SCHEDULE II</w:t>
      </w:r>
    </w:p>
    <w:p>
      <w:pPr>
        <w:spacing w:after="0" w:line="32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FINAL PRICING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396240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(Prepaid Purchase Contracts)</w:t>
      </w:r>
    </w:p>
    <w:p>
      <w:pPr>
        <w:spacing w:after="0" w:line="206" w:lineRule="exact"/>
        <w:rPr>
          <w:sz w:val="20"/>
          <w:szCs w:val="20"/>
          <w:color w:val="auto"/>
        </w:rPr>
      </w:pPr>
    </w:p>
    <w:p>
      <w:pPr>
        <w:ind w:left="9220"/>
        <w:spacing w:after="0"/>
        <w:tabs>
          <w:tab w:leader="none" w:pos="10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05" w:lineRule="exact"/>
        <w:rPr>
          <w:sz w:val="20"/>
          <w:szCs w:val="20"/>
          <w:color w:val="auto"/>
        </w:rPr>
      </w:pPr>
    </w:p>
    <w:p>
      <w:pPr>
        <w:ind w:right="80" w:firstLine="218"/>
        <w:spacing w:after="0" w:line="315" w:lineRule="auto"/>
        <w:rPr>
          <w:sz w:val="20"/>
          <w:szCs w:val="20"/>
          <w:color w:val="auto"/>
        </w:rPr>
      </w:pPr>
      <w:r>
        <w:rPr>
          <w:rFonts w:ascii="Arial" w:cs="Arial" w:eastAsia="Arial" w:hAnsi="Arial"/>
          <w:sz w:val="15"/>
          <w:szCs w:val="15"/>
          <w:color w:val="auto"/>
        </w:rPr>
        <w:t>We (the “</w:t>
      </w:r>
      <w:r>
        <w:rPr>
          <w:rFonts w:ascii="Arial" w:cs="Arial" w:eastAsia="Arial" w:hAnsi="Arial"/>
          <w:sz w:val="15"/>
          <w:szCs w:val="15"/>
          <w:b w:val="1"/>
          <w:bCs w:val="1"/>
          <w:color w:val="auto"/>
        </w:rPr>
        <w:t>Manager</w:t>
      </w:r>
      <w:r>
        <w:rPr>
          <w:rFonts w:ascii="Arial" w:cs="Arial" w:eastAsia="Arial" w:hAnsi="Arial"/>
          <w:sz w:val="15"/>
          <w:szCs w:val="15"/>
          <w:color w:val="auto"/>
        </w:rPr>
        <w:t>”) are acting on behalf of the underwriter or underwriters (including ourselves) named below (such underwriter or underwriters being herein called the “</w:t>
      </w:r>
      <w:r>
        <w:rPr>
          <w:rFonts w:ascii="Arial" w:cs="Arial" w:eastAsia="Arial" w:hAnsi="Arial"/>
          <w:sz w:val="15"/>
          <w:szCs w:val="15"/>
          <w:b w:val="1"/>
          <w:bCs w:val="1"/>
          <w:color w:val="auto"/>
        </w:rPr>
        <w:t>Underwriters</w:t>
      </w:r>
      <w:r>
        <w:rPr>
          <w:rFonts w:ascii="Arial" w:cs="Arial" w:eastAsia="Arial" w:hAnsi="Arial"/>
          <w:sz w:val="15"/>
          <w:szCs w:val="15"/>
          <w:color w:val="auto"/>
        </w:rPr>
        <w:t>”), and we understand that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 [number and title of purchase contracts] Purchase Contracts (the “</w:t>
      </w:r>
      <w:r>
        <w:rPr>
          <w:rFonts w:ascii="Arial" w:cs="Arial" w:eastAsia="Arial" w:hAnsi="Arial"/>
          <w:sz w:val="15"/>
          <w:szCs w:val="15"/>
          <w:b w:val="1"/>
          <w:bCs w:val="1"/>
          <w:color w:val="auto"/>
        </w:rPr>
        <w:t>Offered Securities</w:t>
      </w:r>
      <w:r>
        <w:rPr>
          <w:rFonts w:ascii="Arial" w:cs="Arial" w:eastAsia="Arial" w:hAnsi="Arial"/>
          <w:sz w:val="15"/>
          <w:szCs w:val="15"/>
          <w:color w:val="auto"/>
        </w:rPr>
        <w:t>”). The Offered Securities are to be issued pursuant to the provisions of the [Senior Indenture] [Subordinated Indenture] and guaranteed on a[n] [unsubordinated] [subordinated] basis by Comcast Cable Communications, LLC, Comcast Cable Communications Holdings, Inc., Comcast Cable Holdings, LLC, Comcast MO Group, Inc. and Comcast MO of Delaware, LLC.</w:t>
      </w:r>
    </w:p>
    <w:p>
      <w:pPr>
        <w:spacing w:after="0" w:line="41"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Subject to the terms and conditions set forth or incorporated by reference herein, the Company hereby agrees to sell and the Underwriters agree to purchase, severally and not jointly, the aggregate number of Offered Securities set forth below opposite their names at a purchase price of per Offered Security,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Number of</w:t>
            </w:r>
          </w:p>
        </w:tc>
      </w:tr>
      <w:tr>
        <w:trPr>
          <w:trHeight w:val="146"/>
        </w:trPr>
        <w:tc>
          <w:tcPr>
            <w:tcW w:w="56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92"/>
              </w:rPr>
              <w:t>Offered Company</w:t>
            </w:r>
          </w:p>
        </w:tc>
      </w:tr>
      <w:tr>
        <w:trPr>
          <w:trHeight w:val="146"/>
        </w:trPr>
        <w:tc>
          <w:tcPr>
            <w:tcW w:w="56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91"/>
              </w:rPr>
              <w:t>Securities</w:t>
            </w:r>
          </w:p>
        </w:tc>
      </w:tr>
      <w:tr>
        <w:trPr>
          <w:trHeight w:val="164"/>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w:t>
            </w:r>
          </w:p>
        </w:tc>
        <w:tc>
          <w:tcPr>
            <w:tcW w:w="42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To Be Purchased</w:t>
            </w:r>
          </w:p>
        </w:tc>
      </w:tr>
      <w:tr>
        <w:trPr>
          <w:trHeight w:val="417"/>
        </w:trPr>
        <w:tc>
          <w:tcPr>
            <w:tcW w:w="5620" w:type="dxa"/>
            <w:vAlign w:val="bottom"/>
          </w:tcPr>
          <w:p>
            <w:pPr>
              <w:spacing w:after="0"/>
              <w:rPr>
                <w:sz w:val="20"/>
                <w:szCs w:val="20"/>
                <w:color w:val="auto"/>
              </w:rPr>
            </w:pPr>
            <w:r>
              <w:rPr>
                <w:rFonts w:ascii="Arial" w:cs="Arial" w:eastAsia="Arial" w:hAnsi="Arial"/>
                <w:sz w:val="18"/>
                <w:szCs w:val="18"/>
                <w:color w:val="auto"/>
              </w:rPr>
              <w:t>[Insert syndicate list]</w:t>
            </w: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31"/>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ind w:left="220"/>
              <w:spacing w:after="0"/>
              <w:rPr>
                <w:sz w:val="20"/>
                <w:szCs w:val="20"/>
                <w:color w:val="auto"/>
              </w:rPr>
            </w:pPr>
            <w:r>
              <w:rPr>
                <w:rFonts w:ascii="Arial" w:cs="Arial" w:eastAsia="Arial" w:hAnsi="Arial"/>
                <w:sz w:val="18"/>
                <w:szCs w:val="18"/>
                <w:color w:val="auto"/>
                <w:w w:val="95"/>
              </w:rPr>
              <w:t>For purposes of the Underwriting Agreement, Applicable Time means [</w:t>
            </w:r>
          </w:p>
        </w:tc>
        <w:tc>
          <w:tcPr>
            <w:tcW w:w="5800" w:type="dxa"/>
            <w:vAlign w:val="bottom"/>
            <w:gridSpan w:val="3"/>
          </w:tcPr>
          <w:p>
            <w:pPr>
              <w:ind w:left="340"/>
              <w:spacing w:after="0"/>
              <w:rPr>
                <w:sz w:val="20"/>
                <w:szCs w:val="20"/>
                <w:color w:val="auto"/>
              </w:rPr>
            </w:pPr>
            <w:r>
              <w:rPr>
                <w:rFonts w:ascii="Arial" w:cs="Arial" w:eastAsia="Arial" w:hAnsi="Arial"/>
                <w:sz w:val="18"/>
                <w:szCs w:val="18"/>
                <w:color w:val="auto"/>
              </w:rPr>
              <w:t>] (New York time) on the date hereof.</w:t>
            </w:r>
          </w:p>
        </w:tc>
      </w:tr>
    </w:tbl>
    <w:p>
      <w:pPr>
        <w:spacing w:after="0" w:line="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Underwriters will pay for the Offered Securities upon delivery thereof at the offices of Davis Polk &amp; Wardwell, 1600 El Camino Real, Menlo Park, CA at</w:t>
      </w:r>
    </w:p>
    <w:p>
      <w:pPr>
        <w:spacing w:after="0" w:line="5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68" w:name="page69"/>
    <w:bookmarkEnd w:id="68"/>
    <w:p>
      <w:pPr>
        <w:ind w:left="220"/>
        <w:spacing w:after="0"/>
        <w:rPr>
          <w:sz w:val="20"/>
          <w:szCs w:val="20"/>
          <w:color w:val="auto"/>
        </w:rPr>
      </w:pPr>
      <w:r>
        <w:rPr>
          <w:rFonts w:ascii="Arial" w:cs="Arial" w:eastAsia="Arial" w:hAnsi="Arial"/>
          <w:sz w:val="15"/>
          <w:szCs w:val="15"/>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 2006 and the Prospectus Supplement dated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including the</w:t>
      </w:r>
    </w:p>
    <w:p>
      <w:pPr>
        <w:spacing w:after="0" w:line="51" w:lineRule="exact"/>
        <w:rPr>
          <w:sz w:val="20"/>
          <w:szCs w:val="20"/>
          <w:color w:val="auto"/>
        </w:rPr>
      </w:pPr>
    </w:p>
    <w:p>
      <w:pPr>
        <w:sectPr>
          <w:pgSz w:w="11900" w:h="16838" w:orient="portrait"/>
          <w:cols w:equalWidth="0" w:num="3">
            <w:col w:w="5700" w:space="660"/>
            <w:col w:w="3280" w:space="660"/>
            <w:col w:w="1080"/>
          </w:cols>
          <w:pgMar w:left="240" w:top="923" w:right="279" w:bottom="1440" w:gutter="0" w:footer="0" w:header="0"/>
        </w:sectPr>
      </w:pPr>
    </w:p>
    <w:p>
      <w:pPr>
        <w:spacing w:after="0"/>
        <w:rPr>
          <w:sz w:val="20"/>
          <w:szCs w:val="20"/>
          <w:color w:val="auto"/>
        </w:rPr>
      </w:pPr>
      <w:r>
        <w:rPr>
          <w:rFonts w:ascii="Arial" w:cs="Arial" w:eastAsia="Arial" w:hAnsi="Arial"/>
          <w:sz w:val="18"/>
          <w:szCs w:val="18"/>
          <w:color w:val="auto"/>
        </w:rPr>
        <w:t>following:</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Terms of Offered Securities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Designation of the Series of Purchase Contracts: [Purchase][Sale]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 Contracts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 Contract Property:</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Number of Purchase Contracts: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Price to Public:</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Settlement Date: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[Purchase/Sale] Price of Purchase Contract Property</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Form:</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Terms:</w:t>
      </w:r>
    </w:p>
    <w:p>
      <w:pPr>
        <w:sectPr>
          <w:pgSz w:w="11900" w:h="16838" w:orient="portrait"/>
          <w:cols w:equalWidth="0" w:num="1">
            <w:col w:w="11380"/>
          </w:cols>
          <w:pgMar w:left="240" w:top="923" w:right="279" w:bottom="1440" w:gutter="0" w:footer="0" w:header="0"/>
          <w:type w:val="continuous"/>
        </w:sectPr>
      </w:pPr>
    </w:p>
    <w:p>
      <w:pPr>
        <w:spacing w:after="0" w:line="111" w:lineRule="exact"/>
        <w:rPr>
          <w:sz w:val="20"/>
          <w:szCs w:val="20"/>
          <w:color w:val="auto"/>
        </w:rPr>
      </w:pPr>
    </w:p>
    <w:p>
      <w:pPr>
        <w:ind w:left="220" w:right="540" w:firstLine="10"/>
        <w:spacing w:after="0" w:line="376" w:lineRule="auto"/>
        <w:rPr>
          <w:sz w:val="20"/>
          <w:szCs w:val="20"/>
          <w:color w:val="auto"/>
        </w:rPr>
      </w:pPr>
      <w:r>
        <w:rPr>
          <w:rFonts w:ascii="Arial" w:cs="Arial" w:eastAsia="Arial" w:hAnsi="Arial"/>
          <w:sz w:val="15"/>
          <w:szCs w:val="15"/>
          <w:color w:val="auto"/>
        </w:rPr>
        <w:t>Capitalized terms used above and not defined herein shall have the meanings set forth in the Prospectus and Prospectus Supplement referred to above. All communications hereunder shall be in writing and effective only upon receipt and (a) if to the Underwriters, shall be delivered, mailed or sent via</w:t>
      </w:r>
    </w:p>
    <w:p>
      <w:pPr>
        <w:spacing w:after="0" w:line="1" w:lineRule="exact"/>
        <w:rPr>
          <w:sz w:val="20"/>
          <w:szCs w:val="20"/>
          <w:color w:val="auto"/>
        </w:rPr>
      </w:pPr>
    </w:p>
    <w:p>
      <w:pPr>
        <w:spacing w:after="0"/>
        <w:tabs>
          <w:tab w:leader="none" w:pos="2120" w:val="left"/>
          <w:tab w:leader="none" w:pos="4260" w:val="left"/>
          <w:tab w:leader="none" w:pos="5880" w:val="left"/>
        </w:tabs>
        <w:rPr>
          <w:sz w:val="20"/>
          <w:szCs w:val="20"/>
          <w:color w:val="auto"/>
        </w:rPr>
      </w:pPr>
      <w:r>
        <w:rPr>
          <w:rFonts w:ascii="Arial" w:cs="Arial" w:eastAsia="Arial" w:hAnsi="Arial"/>
          <w:sz w:val="18"/>
          <w:szCs w:val="18"/>
          <w:color w:val="auto"/>
        </w:rPr>
        <w:t>facsimile in care of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5"/>
          <w:szCs w:val="15"/>
          <w:color w:val="auto"/>
        </w:rPr>
        <w:t>], or (b) if to the Company, shall be delivered, mailed or sent via facsimile to</w:t>
      </w:r>
    </w:p>
    <w:p>
      <w:pPr>
        <w:spacing w:after="0" w:line="5" w:lineRule="exact"/>
        <w:rPr>
          <w:sz w:val="20"/>
          <w:szCs w:val="20"/>
          <w:color w:val="auto"/>
        </w:rPr>
      </w:pPr>
    </w:p>
    <w:p>
      <w:pPr>
        <w:spacing w:after="0"/>
        <w:tabs>
          <w:tab w:leader="none" w:pos="5920" w:val="left"/>
          <w:tab w:leader="none" w:pos="7560" w:val="left"/>
        </w:tabs>
        <w:rPr>
          <w:sz w:val="20"/>
          <w:szCs w:val="20"/>
          <w:color w:val="auto"/>
        </w:rPr>
      </w:pPr>
      <w:r>
        <w:rPr>
          <w:rFonts w:ascii="Arial" w:cs="Arial" w:eastAsia="Arial" w:hAnsi="Arial"/>
          <w:sz w:val="18"/>
          <w:szCs w:val="18"/>
          <w:color w:val="auto"/>
        </w:rPr>
        <w:t>1500 Market Street, Philadelphia, Pennsylvania 19102,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100" w:lineRule="exact"/>
        <w:rPr>
          <w:sz w:val="20"/>
          <w:szCs w:val="20"/>
          <w:color w:val="auto"/>
        </w:rPr>
      </w:pPr>
    </w:p>
    <w:p>
      <w:pPr>
        <w:ind w:right="20" w:firstLine="218"/>
        <w:spacing w:after="0" w:line="265"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7"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Except as set forth below, all provisions contained in the document entitled Comcast Corporation Underwriting Agreement Standard Provisions (Debt Securities, Warrants,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type w:val="continuous"/>
        </w:sectPr>
      </w:pPr>
    </w:p>
    <w:bookmarkStart w:id="69" w:name="page70"/>
    <w:bookmarkEnd w:id="69"/>
    <w:p>
      <w:pPr>
        <w:spacing w:after="0" w:line="270" w:lineRule="auto"/>
        <w:rPr>
          <w:sz w:val="20"/>
          <w:szCs w:val="20"/>
          <w:color w:val="auto"/>
        </w:rPr>
      </w:pPr>
      <w:r>
        <w:rPr>
          <w:rFonts w:ascii="Arial" w:cs="Arial" w:eastAsia="Arial" w:hAnsi="Arial"/>
          <w:sz w:val="17"/>
          <w:szCs w:val="17"/>
          <w:color w:val="auto"/>
        </w:rPr>
        <w:t>Contracts, Units and Guarantees) dated [ ] (the “</w:t>
      </w:r>
      <w:r>
        <w:rPr>
          <w:rFonts w:ascii="Arial" w:cs="Arial" w:eastAsia="Arial" w:hAnsi="Arial"/>
          <w:sz w:val="17"/>
          <w:szCs w:val="17"/>
          <w:b w:val="1"/>
          <w:bCs w:val="1"/>
          <w:color w:val="auto"/>
        </w:rPr>
        <w:t>Standard Provisions</w:t>
      </w:r>
      <w:r>
        <w:rPr>
          <w:rFonts w:ascii="Arial" w:cs="Arial" w:eastAsia="Arial" w:hAnsi="Arial"/>
          <w:sz w:val="17"/>
          <w:szCs w:val="17"/>
          <w:color w:val="auto"/>
        </w:rPr>
        <w:t>”),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color w:val="auto"/>
        </w:rPr>
        <w:t>Please confirm your agreement by having an authorized officer sign a copy of this Agreement in the space set forth below.</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Lead Managers]</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On behalf of themselves and the other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Underwriters named herein</w:t>
      </w:r>
    </w:p>
    <w:p>
      <w:pPr>
        <w:spacing w:after="0" w:line="206" w:lineRule="exact"/>
        <w:rPr>
          <w:sz w:val="20"/>
          <w:szCs w:val="20"/>
          <w:color w:val="auto"/>
        </w:rPr>
      </w:pPr>
    </w:p>
    <w:p>
      <w:pPr>
        <w:jc w:val="both"/>
        <w:ind w:left="5500"/>
        <w:spacing w:after="0"/>
        <w:tabs>
          <w:tab w:leader="none" w:pos="5900" w:val="left"/>
          <w:tab w:leader="none" w:pos="11300" w:val="left"/>
        </w:tabs>
        <w:rPr>
          <w:sz w:val="20"/>
          <w:szCs w:val="20"/>
          <w:color w:val="auto"/>
        </w:rPr>
      </w:pPr>
      <w:r>
        <w:rPr>
          <w:rFonts w:ascii="Arial" w:cs="Arial" w:eastAsia="Arial" w:hAnsi="Arial"/>
          <w:sz w:val="18"/>
          <w:szCs w:val="18"/>
          <w:color w:val="auto"/>
        </w:rPr>
        <w:t>By</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11430</wp:posOffset>
            </wp:positionV>
            <wp:extent cx="32581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11430</wp:posOffset>
            </wp:positionV>
            <wp:extent cx="3258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3810</wp:posOffset>
            </wp:positionV>
            <wp:extent cx="31908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1908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1908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1908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1908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COMCAST MO OF DELAWARE,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3241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41675"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35"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SCHEDULE I</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OF SALE PROSPECTUS</w:t>
      </w:r>
    </w:p>
    <w:p>
      <w:pPr>
        <w:spacing w:after="0" w:line="111" w:lineRule="exact"/>
        <w:rPr>
          <w:sz w:val="20"/>
          <w:szCs w:val="20"/>
          <w:color w:val="auto"/>
        </w:rPr>
      </w:pPr>
    </w:p>
    <w:p>
      <w:pPr>
        <w:spacing w:after="0"/>
        <w:tabs>
          <w:tab w:leader="none" w:pos="2560" w:val="left"/>
          <w:tab w:leader="none" w:pos="9560" w:val="left"/>
        </w:tabs>
        <w:rPr>
          <w:sz w:val="20"/>
          <w:szCs w:val="20"/>
          <w:color w:val="auto"/>
        </w:rPr>
      </w:pPr>
      <w:r>
        <w:rPr>
          <w:rFonts w:ascii="Arial" w:cs="Arial" w:eastAsia="Arial" w:hAnsi="Arial"/>
          <w:sz w:val="18"/>
          <w:szCs w:val="18"/>
          <w:color w:val="auto"/>
        </w:rPr>
        <w:t>1. Base Prospectus dated [</w:t>
      </w:r>
      <w:r>
        <w:rPr>
          <w:sz w:val="20"/>
          <w:szCs w:val="20"/>
          <w:color w:val="auto"/>
        </w:rPr>
        <w:tab/>
      </w:r>
      <w:r>
        <w:rPr>
          <w:rFonts w:ascii="Arial" w:cs="Arial" w:eastAsia="Arial" w:hAnsi="Arial"/>
          <w:sz w:val="18"/>
          <w:szCs w:val="18"/>
          <w:color w:val="auto"/>
        </w:rPr>
        <w:t>] relating to the Offered Securities and included in the Registration Statement (File No. [</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2. Final term sheet containing the final terms of the Offered Securities as set forth in Schedule II hereto and filed with the Commission under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SCHEDULE II</w:t>
      </w:r>
    </w:p>
    <w:p>
      <w:pPr>
        <w:spacing w:after="0" w:line="32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FINAL PRICING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396240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ind w:left="9940"/>
        <w:spacing w:after="0"/>
        <w:tabs>
          <w:tab w:leader="none" w:pos="10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05" w:lineRule="exact"/>
        <w:rPr>
          <w:sz w:val="20"/>
          <w:szCs w:val="20"/>
          <w:color w:val="auto"/>
        </w:rPr>
      </w:pPr>
    </w:p>
    <w:p>
      <w:pPr>
        <w:ind w:right="200" w:firstLine="218"/>
        <w:spacing w:after="0" w:line="301" w:lineRule="auto"/>
        <w:rPr>
          <w:sz w:val="20"/>
          <w:szCs w:val="20"/>
          <w:color w:val="auto"/>
        </w:rPr>
      </w:pPr>
      <w:r>
        <w:rPr>
          <w:rFonts w:ascii="Arial" w:cs="Arial" w:eastAsia="Arial" w:hAnsi="Arial"/>
          <w:sz w:val="15"/>
          <w:szCs w:val="15"/>
          <w:color w:val="auto"/>
        </w:rPr>
        <w:t>We (the “</w:t>
      </w:r>
      <w:r>
        <w:rPr>
          <w:rFonts w:ascii="Arial" w:cs="Arial" w:eastAsia="Arial" w:hAnsi="Arial"/>
          <w:sz w:val="15"/>
          <w:szCs w:val="15"/>
          <w:b w:val="1"/>
          <w:bCs w:val="1"/>
          <w:color w:val="auto"/>
        </w:rPr>
        <w:t>Manager</w:t>
      </w:r>
      <w:r>
        <w:rPr>
          <w:rFonts w:ascii="Arial" w:cs="Arial" w:eastAsia="Arial" w:hAnsi="Arial"/>
          <w:sz w:val="15"/>
          <w:szCs w:val="15"/>
          <w:color w:val="auto"/>
        </w:rPr>
        <w:t>”) are acting on behalf of the underwriter or underwriters (including ourselves) named below (such underwriter or underwriters being herein called the “</w:t>
      </w:r>
      <w:r>
        <w:rPr>
          <w:rFonts w:ascii="Arial" w:cs="Arial" w:eastAsia="Arial" w:hAnsi="Arial"/>
          <w:sz w:val="15"/>
          <w:szCs w:val="15"/>
          <w:b w:val="1"/>
          <w:bCs w:val="1"/>
          <w:color w:val="auto"/>
        </w:rPr>
        <w:t>Underwriters</w:t>
      </w:r>
      <w:r>
        <w:rPr>
          <w:rFonts w:ascii="Arial" w:cs="Arial" w:eastAsia="Arial" w:hAnsi="Arial"/>
          <w:sz w:val="15"/>
          <w:szCs w:val="15"/>
          <w:color w:val="auto"/>
        </w:rPr>
        <w:t>”), and we understand that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 [number and title of units] Units (the “</w:t>
      </w:r>
      <w:r>
        <w:rPr>
          <w:rFonts w:ascii="Arial" w:cs="Arial" w:eastAsia="Arial" w:hAnsi="Arial"/>
          <w:sz w:val="15"/>
          <w:szCs w:val="15"/>
          <w:b w:val="1"/>
          <w:bCs w:val="1"/>
          <w:color w:val="auto"/>
        </w:rPr>
        <w:t>Offered [Company] Securities</w:t>
      </w:r>
      <w:r>
        <w:rPr>
          <w:rFonts w:ascii="Arial" w:cs="Arial" w:eastAsia="Arial" w:hAnsi="Arial"/>
          <w:sz w:val="15"/>
          <w:szCs w:val="15"/>
          <w:color w:val="auto"/>
        </w:rPr>
        <w:t>”) consisting of [$___aggregate principal amount of ___% Notes Due ___] [number and title of Warrants] [number and title of Purchase Contracts]. The Offered [Company] Securities are to be issued pursuant to the provisions of a Unit Agreement</w:t>
      </w:r>
    </w:p>
    <w:p>
      <w:pPr>
        <w:spacing w:after="0" w:line="1"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Unit Agreement</w:t>
      </w:r>
      <w:r>
        <w:rPr>
          <w:rFonts w:ascii="Arial" w:cs="Arial" w:eastAsia="Arial" w:hAnsi="Arial"/>
          <w:sz w:val="18"/>
          <w:szCs w:val="18"/>
          <w:color w:val="auto"/>
        </w:rPr>
        <w:t>”) dated as of [ ] among the Company, [ ], as Agent, and the holders from time to time of the Units. [The Debt Securities included in the Offered [Company] Securities will be issued pursuant to the [specify the indenture].] [The Warrants included in the Offered [Company] Securities will be issued pursuant to the [specify the warrant agreement.]] [The Purchase Contracts included in the Offered [Company] Securities will be issued pursuant to the Unit Agreement.]</w:t>
      </w:r>
    </w:p>
    <w:p>
      <w:pPr>
        <w:spacing w:after="0" w:line="91" w:lineRule="exact"/>
        <w:rPr>
          <w:sz w:val="20"/>
          <w:szCs w:val="20"/>
          <w:color w:val="auto"/>
        </w:rPr>
      </w:pPr>
    </w:p>
    <w:p>
      <w:pPr>
        <w:ind w:right="60" w:firstLine="221"/>
        <w:spacing w:after="0" w:line="249" w:lineRule="auto"/>
        <w:rPr>
          <w:sz w:val="20"/>
          <w:szCs w:val="20"/>
          <w:color w:val="auto"/>
        </w:rPr>
      </w:pPr>
      <w:r>
        <w:rPr>
          <w:rFonts w:ascii="Arial" w:cs="Arial" w:eastAsia="Arial" w:hAnsi="Arial"/>
          <w:sz w:val="18"/>
          <w:szCs w:val="18"/>
          <w:color w:val="auto"/>
        </w:rPr>
        <w:t>[It is understood that substantially contemporaneously with the closing of the sale of the Offered Company Securities to the Underwriters contemplated hereby, [Comcast Cable Communications, LLC,] [Comcast Cable Communications Holdings, Inc.,] [Comcast Cable Holdings, LLC,] [Comcast MO Group, Inc. and] [Comcast MO of Delaware, LLC] (collectively, the “</w:t>
      </w:r>
      <w:r>
        <w:rPr>
          <w:rFonts w:ascii="Arial" w:cs="Arial" w:eastAsia="Arial" w:hAnsi="Arial"/>
          <w:sz w:val="18"/>
          <w:szCs w:val="18"/>
          <w:b w:val="1"/>
          <w:bCs w:val="1"/>
          <w:color w:val="auto"/>
        </w:rPr>
        <w:t>Cable Guarantors</w:t>
      </w:r>
      <w:r>
        <w:rPr>
          <w:rFonts w:ascii="Arial" w:cs="Arial" w:eastAsia="Arial" w:hAnsi="Arial"/>
          <w:sz w:val="18"/>
          <w:szCs w:val="18"/>
          <w:color w:val="auto"/>
        </w:rPr>
        <w:t>”) and [ ], as Guarantee Trustee, shall enter into a Guarantee Agreement in substantially the form of the Form of the Guarantee Agreement attached as Exhibit 4.18 of the Registration Statement referred to below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w:t>
      </w:r>
      <w:r>
        <w:rPr>
          <w:rFonts w:ascii="Arial" w:cs="Arial" w:eastAsia="Arial" w:hAnsi="Arial"/>
          <w:sz w:val="18"/>
          <w:szCs w:val="18"/>
          <w:color w:val="auto"/>
        </w:rPr>
        <w:t>”) for the benefit of the holders from time to time of the Offered Company Securities. The Offered Company Securities and the Additional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are hereinafter collectively referred to as the “</w:t>
      </w:r>
      <w:r>
        <w:rPr>
          <w:rFonts w:ascii="Arial" w:cs="Arial" w:eastAsia="Arial" w:hAnsi="Arial"/>
          <w:sz w:val="18"/>
          <w:szCs w:val="18"/>
          <w:b w:val="1"/>
          <w:bCs w:val="1"/>
          <w:color w:val="auto"/>
        </w:rPr>
        <w:t>Offered Securities</w:t>
      </w:r>
      <w:r>
        <w:rPr>
          <w:rFonts w:ascii="Arial" w:cs="Arial" w:eastAsia="Arial" w:hAnsi="Arial"/>
          <w:sz w:val="18"/>
          <w:szCs w:val="18"/>
          <w:color w:val="auto"/>
        </w:rPr>
        <w: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Subject to the terms and conditions set forth or incorporated by reference herein, the Company hereby agrees to sell and the Underwriters agree to purchase,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0" w:type="dxa"/>
            <w:vAlign w:val="bottom"/>
            <w:gridSpan w:val="2"/>
          </w:tcPr>
          <w:p>
            <w:pPr>
              <w:spacing w:after="0"/>
              <w:rPr>
                <w:sz w:val="20"/>
                <w:szCs w:val="20"/>
                <w:color w:val="auto"/>
              </w:rPr>
            </w:pPr>
            <w:r>
              <w:rPr>
                <w:rFonts w:ascii="Arial" w:cs="Arial" w:eastAsia="Arial" w:hAnsi="Arial"/>
                <w:sz w:val="18"/>
                <w:szCs w:val="18"/>
                <w:color w:val="auto"/>
                <w:w w:val="92"/>
              </w:rPr>
              <w:t>severally and not jointly, the aggregate number of Offered [Company] Securities set forth below opposite their names at a purchase price of $[</w:t>
            </w:r>
          </w:p>
        </w:tc>
        <w:tc>
          <w:tcPr>
            <w:tcW w:w="1020" w:type="dxa"/>
            <w:vAlign w:val="bottom"/>
          </w:tcPr>
          <w:p>
            <w:pPr>
              <w:ind w:left="360"/>
              <w:spacing w:after="0"/>
              <w:rPr>
                <w:sz w:val="20"/>
                <w:szCs w:val="20"/>
                <w:color w:val="auto"/>
              </w:rPr>
            </w:pPr>
            <w:r>
              <w:rPr>
                <w:rFonts w:ascii="Arial" w:cs="Arial" w:eastAsia="Arial" w:hAnsi="Arial"/>
                <w:sz w:val="18"/>
                <w:szCs w:val="18"/>
                <w:color w:val="auto"/>
              </w:rPr>
              <w:t>], plus</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accrued interest, if any, from [</w:t>
            </w:r>
          </w:p>
        </w:tc>
        <w:tc>
          <w:tcPr>
            <w:tcW w:w="7900" w:type="dxa"/>
            <w:vAlign w:val="bottom"/>
          </w:tcPr>
          <w:p>
            <w:pPr>
              <w:ind w:left="340"/>
              <w:spacing w:after="0"/>
              <w:rPr>
                <w:sz w:val="20"/>
                <w:szCs w:val="20"/>
                <w:color w:val="auto"/>
              </w:rPr>
            </w:pPr>
            <w:r>
              <w:rPr>
                <w:rFonts w:ascii="Arial" w:cs="Arial" w:eastAsia="Arial" w:hAnsi="Arial"/>
                <w:sz w:val="18"/>
                <w:szCs w:val="18"/>
                <w:color w:val="auto"/>
              </w:rPr>
              <w:t>] to the date of payment and delivery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tc>
        <w:tc>
          <w:tcPr>
            <w:tcW w:w="1020" w:type="dxa"/>
            <w:vAlign w:val="bottom"/>
          </w:tcPr>
          <w:p>
            <w:pPr>
              <w:spacing w:after="0"/>
              <w:rPr>
                <w:sz w:val="19"/>
                <w:szCs w:val="19"/>
                <w:color w:val="auto"/>
              </w:rPr>
            </w:pPr>
          </w:p>
        </w:tc>
      </w:tr>
      <w:tr>
        <w:trPr>
          <w:trHeight w:val="621"/>
        </w:trPr>
        <w:tc>
          <w:tcPr>
            <w:tcW w:w="250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Number of</w:t>
            </w:r>
          </w:p>
        </w:tc>
      </w:tr>
      <w:tr>
        <w:trPr>
          <w:trHeight w:val="146"/>
        </w:trPr>
        <w:tc>
          <w:tcPr>
            <w:tcW w:w="56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Arial" w:cs="Arial" w:eastAsia="Arial" w:hAnsi="Arial"/>
                <w:sz w:val="14"/>
                <w:szCs w:val="14"/>
                <w:color w:val="auto"/>
                <w:w w:val="92"/>
              </w:rPr>
              <w:t>Offered [Company] Securities</w:t>
            </w:r>
          </w:p>
        </w:tc>
      </w:tr>
      <w:tr>
        <w:trPr>
          <w:trHeight w:val="164"/>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w:t>
            </w:r>
          </w:p>
        </w:tc>
        <w:tc>
          <w:tcPr>
            <w:tcW w:w="3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To Be Purchased</w:t>
            </w:r>
          </w:p>
        </w:tc>
      </w:tr>
      <w:tr>
        <w:trPr>
          <w:trHeight w:val="417"/>
        </w:trPr>
        <w:tc>
          <w:tcPr>
            <w:tcW w:w="5640" w:type="dxa"/>
            <w:vAlign w:val="bottom"/>
          </w:tcPr>
          <w:p>
            <w:pPr>
              <w:spacing w:after="0"/>
              <w:rPr>
                <w:sz w:val="20"/>
                <w:szCs w:val="20"/>
                <w:color w:val="auto"/>
              </w:rPr>
            </w:pPr>
            <w:r>
              <w:rPr>
                <w:rFonts w:ascii="Arial" w:cs="Arial" w:eastAsia="Arial" w:hAnsi="Arial"/>
                <w:sz w:val="18"/>
                <w:szCs w:val="18"/>
                <w:color w:val="auto"/>
              </w:rPr>
              <w:t>[Insert syndicate list]</w:t>
            </w: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431"/>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0"/>
        </w:trPr>
        <w:tc>
          <w:tcPr>
            <w:tcW w:w="564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11"/>
        </w:trPr>
        <w:tc>
          <w:tcPr>
            <w:tcW w:w="5640" w:type="dxa"/>
            <w:vAlign w:val="bottom"/>
          </w:tcPr>
          <w:p>
            <w:pPr>
              <w:ind w:left="220"/>
              <w:spacing w:after="0"/>
              <w:rPr>
                <w:sz w:val="20"/>
                <w:szCs w:val="20"/>
                <w:color w:val="auto"/>
              </w:rPr>
            </w:pPr>
            <w:r>
              <w:rPr>
                <w:rFonts w:ascii="Arial" w:cs="Arial" w:eastAsia="Arial" w:hAnsi="Arial"/>
                <w:sz w:val="18"/>
                <w:szCs w:val="18"/>
                <w:color w:val="auto"/>
                <w:w w:val="96"/>
              </w:rPr>
              <w:t>For purposes of the Underwriting Agreement, Applicable Time means [</w:t>
            </w: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 (New York time) on the date hereof.</w:t>
            </w:r>
          </w:p>
        </w:tc>
      </w:tr>
    </w:tbl>
    <w:p>
      <w:pPr>
        <w:spacing w:after="0" w:line="95" w:lineRule="exact"/>
        <w:rPr>
          <w:sz w:val="20"/>
          <w:szCs w:val="20"/>
          <w:color w:val="auto"/>
        </w:rPr>
      </w:pPr>
    </w:p>
    <w:p>
      <w:pPr>
        <w:ind w:right="20" w:firstLine="218"/>
        <w:spacing w:after="0" w:line="330" w:lineRule="auto"/>
        <w:rPr>
          <w:sz w:val="20"/>
          <w:szCs w:val="20"/>
          <w:color w:val="auto"/>
        </w:rPr>
      </w:pPr>
      <w:r>
        <w:rPr>
          <w:rFonts w:ascii="Arial" w:cs="Arial" w:eastAsia="Arial" w:hAnsi="Arial"/>
          <w:sz w:val="15"/>
          <w:szCs w:val="15"/>
          <w:color w:val="auto"/>
        </w:rPr>
        <w:t>The Underwriters will pay for the Offered [Company] Securities upon delivery thereof at the offices of Davis Polk &amp; Wardwell, 1600 El Camino Real, Menlo Park, CA at 10:00 a.m. (New York time) on ___, ___, or at such other time, not later than 5:00 p.m. (New York time) on ___, ___, as shall be designated in writing by the Underwriters and the Company. The time and date of such payment and delivery are hereinafter referred to as the Closing Date.</w:t>
      </w:r>
    </w:p>
    <w:p>
      <w:pPr>
        <w:sectPr>
          <w:pgSz w:w="11900" w:h="16838" w:orient="portrait"/>
          <w:cols w:equalWidth="0" w:num="1">
            <w:col w:w="11420"/>
          </w:cols>
          <w:pgMar w:left="240" w:top="1113" w:right="239" w:bottom="1440" w:gutter="0" w:footer="0" w:header="0"/>
        </w:sectPr>
      </w:pPr>
    </w:p>
    <w:p>
      <w:pPr>
        <w:spacing w:after="0" w:line="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Offered Securities shall have the terms set forth in the Prospectus dated December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2006, and the Prospectus Supplement dated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ectPr>
          <w:pgSz w:w="11900" w:h="16838" w:orient="portrait"/>
          <w:cols w:equalWidth="0" w:num="3">
            <w:col w:w="6460" w:space="700"/>
            <w:col w:w="3340" w:space="700"/>
            <w:col w:w="220"/>
          </w:cols>
          <w:pgMar w:left="240" w:top="1113"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including the following:</w:t>
      </w:r>
    </w:p>
    <w:p>
      <w:pPr>
        <w:sectPr>
          <w:pgSz w:w="11900" w:h="16838" w:orient="portrait"/>
          <w:cols w:equalWidth="0" w:num="1">
            <w:col w:w="11420"/>
          </w:cols>
          <w:pgMar w:left="240" w:top="1113" w:right="239" w:bottom="1440" w:gutter="0" w:footer="0" w:header="0"/>
          <w:type w:val="continuous"/>
        </w:sectPr>
      </w:pP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Terms of Debt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Maturity Date: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Rate: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Redemption Provisions: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Payment Dates: ___,</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commencing ___(Interest accrues from ___)</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Form and Denomination:</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Ranking:</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Terms: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Terms of 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Designation of the Series of Warrants: [Call] [Put] Warrants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 Property:</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3" w:right="239" w:bottom="1440" w:gutter="0" w:footer="0" w:header="0"/>
          <w:type w:val="continuous"/>
        </w:sectPr>
      </w:pPr>
    </w:p>
    <w:bookmarkStart w:id="76" w:name="page77"/>
    <w:bookmarkEnd w:id="76"/>
    <w:p>
      <w:pPr>
        <w:ind w:left="220"/>
        <w:spacing w:after="0"/>
        <w:rPr>
          <w:sz w:val="20"/>
          <w:szCs w:val="20"/>
          <w:color w:val="auto"/>
        </w:rPr>
      </w:pPr>
      <w:r>
        <w:rPr>
          <w:rFonts w:ascii="Arial" w:cs="Arial" w:eastAsia="Arial" w:hAnsi="Arial"/>
          <w:sz w:val="18"/>
          <w:szCs w:val="18"/>
          <w:color w:val="auto"/>
        </w:rPr>
        <w:t>Warrant Exercise Price: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Dates upon which Warrants may be exercised: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Expiration Date: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Currency in which exercise payments shall be made: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[Maximum number of Warrants exercisable on any day:]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Formula for determining Cash Settlement Value: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Exchange Rate (or method of calculation):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Terms: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Terms of Purchase Contracts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Designation of the Series of Purchase Contracts: [Purchase][Sale]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 Contracts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 Contract Property: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Aggregate Number of Purchase Contracts: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Price to Public:</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Settlement Date: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[Purchase/Sale] Price of Purchase Contract Property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Form:</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Terms:</w:t>
      </w:r>
    </w:p>
    <w:p>
      <w:pPr>
        <w:spacing w:after="0" w:line="111" w:lineRule="exact"/>
        <w:rPr>
          <w:sz w:val="20"/>
          <w:szCs w:val="20"/>
          <w:color w:val="auto"/>
        </w:rPr>
      </w:pPr>
    </w:p>
    <w:p>
      <w:pPr>
        <w:ind w:left="220" w:right="520" w:firstLine="10"/>
        <w:spacing w:after="0" w:line="376" w:lineRule="auto"/>
        <w:rPr>
          <w:sz w:val="20"/>
          <w:szCs w:val="20"/>
          <w:color w:val="auto"/>
        </w:rPr>
      </w:pPr>
      <w:r>
        <w:rPr>
          <w:rFonts w:ascii="Arial" w:cs="Arial" w:eastAsia="Arial" w:hAnsi="Arial"/>
          <w:sz w:val="15"/>
          <w:szCs w:val="15"/>
          <w:color w:val="auto"/>
        </w:rPr>
        <w:t>Capitalized terms used above and not defined herein shall have the meanings set forth in the Prospectus and Prospectus Supplement referred to above. All communications hereunder shall be in writing and effective only upon receipt and (a) if to the Underwriters, shall be delivered, mailed or sent via</w:t>
      </w:r>
    </w:p>
    <w:p>
      <w:pPr>
        <w:spacing w:after="0" w:line="1" w:lineRule="exact"/>
        <w:rPr>
          <w:sz w:val="20"/>
          <w:szCs w:val="20"/>
          <w:color w:val="auto"/>
        </w:rPr>
      </w:pPr>
    </w:p>
    <w:p>
      <w:pPr>
        <w:spacing w:after="0"/>
        <w:tabs>
          <w:tab w:leader="none" w:pos="1900" w:val="left"/>
          <w:tab w:leader="none" w:pos="3820" w:val="left"/>
          <w:tab w:leader="none" w:pos="5220" w:val="left"/>
        </w:tabs>
        <w:rPr>
          <w:sz w:val="20"/>
          <w:szCs w:val="20"/>
          <w:color w:val="auto"/>
        </w:rPr>
      </w:pPr>
      <w:r>
        <w:rPr>
          <w:rFonts w:ascii="Arial" w:cs="Arial" w:eastAsia="Arial" w:hAnsi="Arial"/>
          <w:sz w:val="18"/>
          <w:szCs w:val="18"/>
          <w:color w:val="auto"/>
        </w:rPr>
        <w:t>facsimile in care of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5"/>
          <w:szCs w:val="15"/>
          <w:color w:val="auto"/>
        </w:rPr>
        <w:t>], or (b) if to the Company, shall be delivered, mailed or sent via facsimile to 1500</w:t>
      </w:r>
    </w:p>
    <w:p>
      <w:pPr>
        <w:spacing w:after="0" w:line="5" w:lineRule="exact"/>
        <w:rPr>
          <w:sz w:val="20"/>
          <w:szCs w:val="20"/>
          <w:color w:val="auto"/>
        </w:rPr>
      </w:pPr>
    </w:p>
    <w:p>
      <w:pPr>
        <w:spacing w:after="0"/>
        <w:tabs>
          <w:tab w:leader="none" w:pos="5300" w:val="left"/>
          <w:tab w:leader="none" w:pos="6720" w:val="left"/>
        </w:tabs>
        <w:rPr>
          <w:sz w:val="20"/>
          <w:szCs w:val="20"/>
          <w:color w:val="auto"/>
        </w:rPr>
      </w:pPr>
      <w:r>
        <w:rPr>
          <w:rFonts w:ascii="Arial" w:cs="Arial" w:eastAsia="Arial" w:hAnsi="Arial"/>
          <w:sz w:val="18"/>
          <w:szCs w:val="18"/>
          <w:color w:val="auto"/>
        </w:rPr>
        <w:t>Market Street, Philadelphia, Pennsylvania 19102,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100"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77" w:name="page78"/>
    <w:bookmarkEnd w:id="77"/>
    <w:p>
      <w:pPr>
        <w:spacing w:after="0" w:line="249" w:lineRule="auto"/>
        <w:rPr>
          <w:sz w:val="20"/>
          <w:szCs w:val="20"/>
          <w:color w:val="auto"/>
        </w:rPr>
      </w:pPr>
      <w:r>
        <w:rPr>
          <w:rFonts w:ascii="Arial" w:cs="Arial" w:eastAsia="Arial" w:hAnsi="Arial"/>
          <w:sz w:val="18"/>
          <w:szCs w:val="18"/>
          <w:color w:val="auto"/>
        </w:rPr>
        <w:t>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90" w:lineRule="exact"/>
        <w:rPr>
          <w:sz w:val="20"/>
          <w:szCs w:val="20"/>
          <w:color w:val="auto"/>
        </w:rPr>
      </w:pPr>
    </w:p>
    <w:p>
      <w:pPr>
        <w:ind w:right="100" w:firstLine="221"/>
        <w:spacing w:after="0" w:line="309" w:lineRule="auto"/>
        <w:rPr>
          <w:sz w:val="20"/>
          <w:szCs w:val="20"/>
          <w:color w:val="auto"/>
        </w:rPr>
      </w:pPr>
      <w:r>
        <w:rPr>
          <w:rFonts w:ascii="Arial" w:cs="Arial" w:eastAsia="Arial" w:hAnsi="Arial"/>
          <w:sz w:val="15"/>
          <w:szCs w:val="15"/>
          <w:color w:val="auto"/>
        </w:rPr>
        <w:t>Except as set forth below, all provisions contained in the document entitled Comcast Corporation Underwriting Agreement Standard Provisions (Debt Securities, Warrants, Purchase Contracts, Units and Guarantees)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23" w:right="379" w:bottom="1440" w:gutter="0" w:footer="0" w:header="0"/>
        </w:sectPr>
      </w:pPr>
    </w:p>
    <w:bookmarkStart w:id="78" w:name="page79"/>
    <w:bookmarkEnd w:id="78"/>
    <w:p>
      <w:pPr>
        <w:ind w:left="220"/>
        <w:spacing w:after="0"/>
        <w:rPr>
          <w:sz w:val="20"/>
          <w:szCs w:val="20"/>
          <w:color w:val="auto"/>
        </w:rPr>
      </w:pPr>
      <w:r>
        <w:rPr>
          <w:rFonts w:ascii="Arial" w:cs="Arial" w:eastAsia="Arial" w:hAnsi="Arial"/>
          <w:sz w:val="15"/>
          <w:szCs w:val="15"/>
          <w:color w:val="auto"/>
        </w:rPr>
        <w:t>Please confirm your agreement by having an authorized officer sign a copy of this Agreement in the space set forth below.</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of Lead Managers]</w:t>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On behalf of themselves and the other</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Underwriters named herein</w:t>
      </w:r>
    </w:p>
    <w:p>
      <w:pPr>
        <w:spacing w:after="0" w:line="206" w:lineRule="exact"/>
        <w:rPr>
          <w:sz w:val="20"/>
          <w:szCs w:val="20"/>
          <w:color w:val="auto"/>
        </w:rPr>
      </w:pPr>
    </w:p>
    <w:p>
      <w:pPr>
        <w:ind w:left="5080"/>
        <w:spacing w:after="0"/>
        <w:tabs>
          <w:tab w:leader="none" w:pos="680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11430</wp:posOffset>
            </wp:positionV>
            <wp:extent cx="2787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11430</wp:posOffset>
            </wp:positionV>
            <wp:extent cx="2787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78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78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78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78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78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23" w:right="1440"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[COMCAST MO OF DELAWARE,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11430</wp:posOffset>
            </wp:positionV>
            <wp:extent cx="2761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523875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35"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SCHEDULE I</w:t>
      </w: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TIME OF SALE PROSPECTUS</w:t>
      </w:r>
    </w:p>
    <w:p>
      <w:pPr>
        <w:spacing w:after="0" w:line="111" w:lineRule="exact"/>
        <w:rPr>
          <w:sz w:val="20"/>
          <w:szCs w:val="20"/>
          <w:color w:val="auto"/>
        </w:rPr>
      </w:pPr>
    </w:p>
    <w:p>
      <w:pPr>
        <w:spacing w:after="0"/>
        <w:tabs>
          <w:tab w:leader="none" w:pos="2280" w:val="left"/>
          <w:tab w:leader="none" w:pos="8980" w:val="left"/>
        </w:tabs>
        <w:rPr>
          <w:sz w:val="20"/>
          <w:szCs w:val="20"/>
          <w:color w:val="auto"/>
        </w:rPr>
      </w:pPr>
      <w:r>
        <w:rPr>
          <w:rFonts w:ascii="Arial" w:cs="Arial" w:eastAsia="Arial" w:hAnsi="Arial"/>
          <w:sz w:val="18"/>
          <w:szCs w:val="18"/>
          <w:color w:val="auto"/>
        </w:rPr>
        <w:t>1. Base Prospectus dated [</w:t>
      </w:r>
      <w:r>
        <w:rPr>
          <w:sz w:val="20"/>
          <w:szCs w:val="20"/>
          <w:color w:val="auto"/>
        </w:rPr>
        <w:tab/>
      </w:r>
      <w:r>
        <w:rPr>
          <w:rFonts w:ascii="Arial" w:cs="Arial" w:eastAsia="Arial" w:hAnsi="Arial"/>
          <w:sz w:val="17"/>
          <w:szCs w:val="17"/>
          <w:color w:val="auto"/>
        </w:rPr>
        <w:t>] relating to the Offered Securities and included in the Registration Statement (File No. [</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 Final term sheet containing the final terms of the Offered Securities as set forth in Schedule II hereto and filed with the Commission under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418465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460" w:top="923"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SCHEDULE II</w:t>
      </w:r>
    </w:p>
    <w:p>
      <w:pPr>
        <w:spacing w:after="0" w:line="32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FINAL PRICING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396240</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color w:val="auto"/>
        </w:rPr>
        <w:t>COMCAST CORPORATION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UNDERWRITING AGREEMENT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STANDARD PROVISIONS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(DEBT SECURITIES, WARRANTS, PURCHASE CONTRACTS, UNITS AND GUARANTEES)</w:t>
      </w:r>
    </w:p>
    <w:p>
      <w:pPr>
        <w:spacing w:after="0" w:line="111" w:lineRule="exact"/>
        <w:rPr>
          <w:sz w:val="20"/>
          <w:szCs w:val="20"/>
          <w:color w:val="auto"/>
        </w:rPr>
      </w:pPr>
    </w:p>
    <w:p>
      <w:pPr>
        <w:ind w:left="5980" w:hanging="943"/>
        <w:spacing w:after="0"/>
        <w:tabs>
          <w:tab w:leader="none" w:pos="5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-13335</wp:posOffset>
            </wp:positionV>
            <wp:extent cx="5613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91" w:lineRule="exact"/>
        <w:rPr>
          <w:sz w:val="20"/>
          <w:szCs w:val="20"/>
          <w:color w:val="auto"/>
        </w:rPr>
      </w:pPr>
    </w:p>
    <w:p>
      <w:pPr>
        <w:ind w:right="160" w:firstLine="221"/>
        <w:spacing w:after="0" w:line="249" w:lineRule="auto"/>
        <w:rPr>
          <w:sz w:val="20"/>
          <w:szCs w:val="20"/>
          <w:color w:val="auto"/>
        </w:rPr>
      </w:pPr>
      <w:r>
        <w:rPr>
          <w:rFonts w:ascii="Arial" w:cs="Arial" w:eastAsia="Arial" w:hAnsi="Arial"/>
          <w:sz w:val="18"/>
          <w:szCs w:val="18"/>
          <w:color w:val="auto"/>
        </w:rPr>
        <w:t>From time to time, Comcast Corporation, a Pennsylvania corporation (the “Company”), may, alone or together with Comcast Cable Communications, LLC (formerly known as Comcast Cable Communications, Inc.), Comcast Cable Communications Holdings, Inc., Comcast Cable Holdings, LLC, Comcast MO Group, Inc. and Comcast MO of Delaware, LLC (formerly known as Comcast MO of Delaware, Inc.) (collectively, the “Cable Guarantors”),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88"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The Company proposes to issue from time to time (a) its senior debt securities (“Senior Debt Securities”), (b) its subordinated debt securities (“Subordinated Debt Securities” and with the Senior Debt Securities, the “Debt Securities”), (c) warrants (“Warrants”) and (d)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 The Debt Securities are to be guaranteed (the “Cable Guarantees”) on an unsecured basis by the Cable Guarantors. The Warrants, Purchase Contracts and Units may be guaranteed on an unsecured basis by the Cable Guarantors to the extent described in the Prospectus (as defined below) pursuant to a Guarantee Agreement to be dated as of a date specified in the Underwriting Agreement and executed and delivered by the Cable Guarantors and a trustee to be named in the relevant prospectus supplement, as trustee (the “Guarantee Trustee”) for the benefit of the holders from time to time of the Offered Company Securities (the “Additional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83" w:name="page84"/>
    <w:bookmarkEnd w:id="83"/>
    <w:p>
      <w:pPr>
        <w:ind w:left="220"/>
        <w:spacing w:after="0"/>
        <w:rPr>
          <w:sz w:val="20"/>
          <w:szCs w:val="20"/>
          <w:color w:val="auto"/>
        </w:rPr>
      </w:pPr>
      <w:r>
        <w:rPr>
          <w:rFonts w:ascii="Arial" w:cs="Arial" w:eastAsia="Arial" w:hAnsi="Arial"/>
          <w:sz w:val="15"/>
          <w:szCs w:val="15"/>
          <w:color w:val="auto"/>
        </w:rPr>
        <w:t>The Company and the Cable Guarantors have filed with the Securities and Exchange Commission (the “Commission”) a registration statement including 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prospectus relating to the Debt Securities, Warrants, Purchase Contracts, Units, Cable Guarantees and Additional Guarantees (collectively, the “Securities”)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have filed with, or transmitted for filing to, or shall promptly after the date of the Underwriting Agreement file with or transmit for filing to, the Commission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prospectus supplement (the “Prospectus Supplement”) pursuant to Rule 424 under the Securities Act of 1933, as amended (the “Securities Act”), specifically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relating to the Securities offered pursuant to this Agreement (the “Offered Company Securities” and the “Offered Guarantees,” if any, and, together, the “Offered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Securities”). The term Registration Statement means the registration statement as amended to the date of the Underwriting Agreement including any additional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filed by the Company pursuant to Rule 462(b). The term Base Prospectus means the prospectus included in the Registration Statement.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term Prospectus means the Base Prospectus together with the Prospectus Supplement. The term preliminary prospectus means a preliminary prospectus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supplement specifically relating to the Offered Securities, together with the Base Prospectus. The term free writing prospectus has the meaning set forth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Rule 405 under the Securities Act. The term issuer free writing prospectus has the meaning set forth in Rule 433 under the Securities Act. The term Time of Sale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Prospectus means the Base Prospectus and preliminary prospectus, if any, together with any additional documents or other information identified in Schedule I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Underwriting Agreement. As used herein, the terms “Base Prospectus,” “Prospectus”, “preliminary prospectus” and “Time of Sale Prospectus” shall include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 each case the documents, if any, incorporated by reference therein. As used herein, the term “Applicable Time” means the time and date set forth in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Underwriting Agreement or such other time as agreed in writing by the Company and the Managers. The terms “supplement,” “amendment” and “amend” as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used herein shall include all documents deemed to be incorporated by reference in the Prospectus that are filed subsequent to the date of the Base Prospectus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Company with the Commission pursuant to the Securities Exchange Act of 1934, as amended (the “Exchange Act”). For purposes of this Agreement,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“Issuers” means the Company and includes the Cable Guarantors if Cable Guarantees or an Additional Guarantee are offered pursuant to this Agreement.</w:t>
      </w:r>
    </w:p>
    <w:p>
      <w:pPr>
        <w:spacing w:after="0" w:line="134" w:lineRule="exact"/>
        <w:rPr>
          <w:sz w:val="20"/>
          <w:szCs w:val="20"/>
          <w:color w:val="auto"/>
        </w:rPr>
      </w:pPr>
    </w:p>
    <w:p>
      <w:pPr>
        <w:ind w:right="340" w:firstLine="227"/>
        <w:spacing w:after="0" w:line="265" w:lineRule="auto"/>
        <w:tabs>
          <w:tab w:leader="none" w:pos="3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Representations and Warranties. The Issuers, jointly and severally, represent and warrant to each of the Underwriters as of the date of the Underwriting Agreement that:</w:t>
      </w:r>
    </w:p>
    <w:p>
      <w:pPr>
        <w:spacing w:after="0" w:line="73" w:lineRule="exact"/>
        <w:rPr>
          <w:rFonts w:ascii="Arial" w:cs="Arial" w:eastAsia="Arial" w:hAnsi="Arial"/>
          <w:sz w:val="18"/>
          <w:szCs w:val="18"/>
          <w:color w:val="auto"/>
        </w:rPr>
      </w:pPr>
    </w:p>
    <w:p>
      <w:pPr>
        <w:ind w:left="340" w:right="620" w:firstLine="229"/>
        <w:spacing w:after="0" w:line="265" w:lineRule="auto"/>
        <w:tabs>
          <w:tab w:leader="none" w:pos="7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73" w:lineRule="exact"/>
        <w:rPr>
          <w:rFonts w:ascii="Arial" w:cs="Arial" w:eastAsia="Arial" w:hAnsi="Arial"/>
          <w:sz w:val="18"/>
          <w:szCs w:val="18"/>
          <w:color w:val="auto"/>
        </w:rPr>
      </w:pPr>
    </w:p>
    <w:p>
      <w:pPr>
        <w:ind w:left="340" w:right="420" w:firstLine="229"/>
        <w:spacing w:after="0" w:line="265" w:lineRule="auto"/>
        <w:tabs>
          <w:tab w:leader="none" w:pos="82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document filed or to be filed pursuant to the Exchange Act and incorporated by reference in the Time of Sale Prospectus or the Prospectus complied or will comply when so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in all material respects with the Exchange Act and the rules and regulations of the Commission thereunder.</w:t>
      </w:r>
    </w:p>
    <w:p>
      <w:pPr>
        <w:spacing w:after="0" w:line="111" w:lineRule="exact"/>
        <w:rPr>
          <w:sz w:val="20"/>
          <w:szCs w:val="20"/>
          <w:color w:val="auto"/>
        </w:rPr>
      </w:pPr>
    </w:p>
    <w:p>
      <w:pPr>
        <w:ind w:firstLine="229"/>
        <w:spacing w:after="0" w:line="267" w:lineRule="auto"/>
        <w:tabs>
          <w:tab w:leader="none" w:pos="5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Registration Statement, the Time of Sale Prospectus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or (b) statements or omissions in the Registration Statement, the Time of Sale Prospectus or the Prospectus or any amendment or supplement thereto based upon information furnished to the Issuers in writing by any Underwriter through the Managers expressly for use therein.</w:t>
      </w:r>
    </w:p>
    <w:p>
      <w:pPr>
        <w:spacing w:after="0" w:line="74" w:lineRule="exact"/>
        <w:rPr>
          <w:rFonts w:ascii="Arial" w:cs="Arial" w:eastAsia="Arial" w:hAnsi="Arial"/>
          <w:sz w:val="17"/>
          <w:szCs w:val="17"/>
          <w:color w:val="auto"/>
        </w:rPr>
      </w:pPr>
    </w:p>
    <w:p>
      <w:pPr>
        <w:ind w:left="520" w:hanging="291"/>
        <w:spacing w:after="0"/>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The</w:t>
      </w:r>
    </w:p>
    <w:p>
      <w:pPr>
        <w:spacing w:after="0" w:line="28" w:lineRule="exact"/>
        <w:rPr>
          <w:rFonts w:ascii="Arial" w:cs="Arial" w:eastAsia="Arial" w:hAnsi="Arial"/>
          <w:sz w:val="17"/>
          <w:szCs w:val="17"/>
          <w:color w:val="auto"/>
        </w:rPr>
      </w:pPr>
    </w:p>
    <w:p>
      <w:pPr>
        <w:spacing w:after="0" w:line="247" w:lineRule="auto"/>
        <w:rPr>
          <w:rFonts w:ascii="Arial" w:cs="Arial" w:eastAsia="Arial" w:hAnsi="Arial"/>
          <w:sz w:val="17"/>
          <w:szCs w:val="17"/>
          <w:color w:val="auto"/>
        </w:rPr>
      </w:pPr>
      <w:r>
        <w:rPr>
          <w:rFonts w:ascii="Arial" w:cs="Arial" w:eastAsia="Arial" w:hAnsi="Arial"/>
          <w:sz w:val="18"/>
          <w:szCs w:val="18"/>
          <w:color w:val="auto"/>
        </w:rPr>
        <w:t>Company has not made, used, prepared, authorized, approved or referred to any offer relating to the Offered Securities that would constitute a free writing prospectus other than (a) any written communications furnished in advance to the Managers; (b) an electronic road show, if any, furnished to the Managers before first use; or (c) free writing prospectuses identified on Schedule I to the Underwriting Agreement, including the term sheet as set forth in Schedule II to the Underwriting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89" w:lineRule="exact"/>
        <w:rPr>
          <w:rFonts w:ascii="Arial" w:cs="Arial" w:eastAsia="Arial" w:hAnsi="Arial"/>
          <w:sz w:val="17"/>
          <w:szCs w:val="17"/>
          <w:color w:val="auto"/>
        </w:rPr>
      </w:pPr>
    </w:p>
    <w:p>
      <w:pPr>
        <w:ind w:right="80" w:firstLine="229"/>
        <w:spacing w:after="0" w:line="318" w:lineRule="auto"/>
        <w:tabs>
          <w:tab w:leader="none" w:pos="471"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the Senior Debt Indenture, the Subordinated Debt Indenture, the Offered Securities, any Warrants, any Purchase Contracts and any Units will not contravene any provision of applicable law or the articles of incorporation or by-laws of the Company or any agreement or other instrument binding upon the Company or any of its subsidiaries that is material to the Company and its consolidated subsidiaries, taken as a whole, or any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351155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20"/>
          </w:cols>
          <w:pgMar w:left="580" w:top="923" w:right="299" w:bottom="1440" w:gutter="0" w:footer="0" w:header="0"/>
        </w:sectPr>
      </w:pPr>
    </w:p>
    <w:bookmarkStart w:id="85" w:name="page86"/>
    <w:bookmarkEnd w:id="85"/>
    <w:p>
      <w:pPr>
        <w:spacing w:after="0" w:line="309" w:lineRule="auto"/>
        <w:rPr>
          <w:sz w:val="20"/>
          <w:szCs w:val="20"/>
          <w:color w:val="auto"/>
        </w:rPr>
      </w:pPr>
      <w:r>
        <w:rPr>
          <w:rFonts w:ascii="Arial" w:cs="Arial" w:eastAsia="Arial" w:hAnsi="Arial"/>
          <w:sz w:val="15"/>
          <w:szCs w:val="15"/>
          <w:color w:val="auto"/>
        </w:rPr>
        <w:t xml:space="preserve">order or decree of any governmental body, agency or court having jurisdiction over the Company or any of its consolidated subsidiaries, and no consent, approval, authorization or order of, or qualification with, any governmental body or agency is required for the performance by the Company of its obligations under this Agreement, the Senior Debt Indenture, the Subordinated Debt Indenture, the Offered Securities or any Warrants, except such as may be required by the securities or blue sky laws of the various states in connection with the offer and sale of the Offered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46" w:lineRule="exact"/>
        <w:rPr>
          <w:sz w:val="20"/>
          <w:szCs w:val="20"/>
          <w:color w:val="auto"/>
        </w:rPr>
      </w:pPr>
    </w:p>
    <w:p>
      <w:pPr>
        <w:ind w:left="520" w:hanging="291"/>
        <w:spacing w:after="0"/>
        <w:tabs>
          <w:tab w:leader="none" w:pos="5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 in violation of its articles of incorporation or by-laws (or similar organizational documents) or</w:t>
      </w:r>
    </w:p>
    <w:p>
      <w:pPr>
        <w:spacing w:after="0" w:line="50" w:lineRule="exact"/>
        <w:rPr>
          <w:rFonts w:ascii="Arial" w:cs="Arial" w:eastAsia="Arial" w:hAnsi="Arial"/>
          <w:sz w:val="15"/>
          <w:szCs w:val="15"/>
          <w:color w:val="auto"/>
        </w:rPr>
      </w:pPr>
    </w:p>
    <w:p>
      <w:pPr>
        <w:ind w:right="140" w:firstLine="9"/>
        <w:spacing w:after="0" w:line="251"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default in the performance or observance of any obligation, covenant or condition contained in any contract, except to the extent such default would not have a material adverse effect.</w:t>
      </w:r>
    </w:p>
    <w:p>
      <w:pPr>
        <w:spacing w:after="0" w:line="86" w:lineRule="exact"/>
        <w:rPr>
          <w:rFonts w:ascii="Arial" w:cs="Arial" w:eastAsia="Arial" w:hAnsi="Arial"/>
          <w:sz w:val="18"/>
          <w:szCs w:val="18"/>
          <w:color w:val="auto"/>
        </w:rPr>
      </w:pPr>
    </w:p>
    <w:p>
      <w:pPr>
        <w:ind w:right="260" w:firstLine="229"/>
        <w:spacing w:after="0" w:line="277" w:lineRule="auto"/>
        <w:tabs>
          <w:tab w:leader="none" w:pos="569"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(exclusive of any amendments or supplements thereto effected subsequent to the date of the Agreement).</w:t>
      </w:r>
    </w:p>
    <w:p>
      <w:pPr>
        <w:spacing w:after="0" w:line="65" w:lineRule="exact"/>
        <w:rPr>
          <w:rFonts w:ascii="Arial" w:cs="Arial" w:eastAsia="Arial" w:hAnsi="Arial"/>
          <w:sz w:val="17"/>
          <w:szCs w:val="17"/>
          <w:color w:val="auto"/>
        </w:rPr>
      </w:pPr>
    </w:p>
    <w:p>
      <w:pPr>
        <w:ind w:right="20" w:firstLine="229"/>
        <w:spacing w:after="0" w:line="250" w:lineRule="auto"/>
        <w:tabs>
          <w:tab w:leader="none" w:pos="6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Time of Sale Prospectus and are not so described or any statutes, regulations, contracts or other documents that are required to be described in the Registration Statement or the Time of Sale Prospectus or to be filed or incorporated by reference as exhibits to the Registration Statement that are not described, filed or incorporated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382270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580" w:top="923" w:right="279" w:bottom="1440" w:gutter="0" w:footer="0" w:header="0"/>
        </w:sectPr>
      </w:pPr>
    </w:p>
    <w:bookmarkStart w:id="86" w:name="page87"/>
    <w:bookmarkEnd w:id="86"/>
    <w:p>
      <w:pPr>
        <w:ind w:left="473" w:right="120" w:firstLine="212"/>
        <w:spacing w:after="0" w:line="250" w:lineRule="auto"/>
        <w:tabs>
          <w:tab w:leader="none" w:pos="993"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Time of Sale Prospectus, except to the extent that the failure to obtain or file would not have a material adverse effect on the Company and its consolidated subsidiaries, taken as a whole.</w:t>
      </w:r>
    </w:p>
    <w:p>
      <w:pPr>
        <w:spacing w:after="0" w:line="88" w:lineRule="exact"/>
        <w:rPr>
          <w:rFonts w:ascii="Arial" w:cs="Arial" w:eastAsia="Arial" w:hAnsi="Arial"/>
          <w:sz w:val="18"/>
          <w:szCs w:val="18"/>
          <w:color w:val="auto"/>
        </w:rPr>
      </w:pPr>
    </w:p>
    <w:p>
      <w:pPr>
        <w:ind w:left="-227" w:right="100" w:firstLine="227"/>
        <w:spacing w:after="0" w:line="255" w:lineRule="auto"/>
        <w:tabs>
          <w:tab w:leader="none" w:pos="1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Public Offering. The Issuers are advised by the Managers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Time of Sale Prospectus and the Prospectus.</w:t>
      </w:r>
    </w:p>
    <w:p>
      <w:pPr>
        <w:spacing w:after="0" w:line="82" w:lineRule="exact"/>
        <w:rPr>
          <w:rFonts w:ascii="Arial" w:cs="Arial" w:eastAsia="Arial" w:hAnsi="Arial"/>
          <w:sz w:val="18"/>
          <w:szCs w:val="18"/>
          <w:color w:val="auto"/>
        </w:rPr>
      </w:pPr>
    </w:p>
    <w:p>
      <w:pPr>
        <w:ind w:left="-227" w:firstLine="227"/>
        <w:spacing w:after="0" w:line="250" w:lineRule="auto"/>
        <w:tabs>
          <w:tab w:leader="none" w:pos="1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88" w:lineRule="exact"/>
        <w:rPr>
          <w:rFonts w:ascii="Arial" w:cs="Arial" w:eastAsia="Arial" w:hAnsi="Arial"/>
          <w:sz w:val="18"/>
          <w:szCs w:val="18"/>
          <w:color w:val="auto"/>
        </w:rPr>
      </w:pPr>
    </w:p>
    <w:p>
      <w:pPr>
        <w:ind w:left="173" w:hanging="173"/>
        <w:spacing w:after="0"/>
        <w:tabs>
          <w:tab w:leader="none" w:pos="1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Conditions to Closing. The several obligations of the Underwriters hereunder are subject to the following conditions:</w:t>
      </w:r>
    </w:p>
    <w:p>
      <w:pPr>
        <w:spacing w:after="0" w:line="111" w:lineRule="exact"/>
        <w:rPr>
          <w:rFonts w:ascii="Arial" w:cs="Arial" w:eastAsia="Arial" w:hAnsi="Arial"/>
          <w:sz w:val="18"/>
          <w:szCs w:val="18"/>
          <w:color w:val="auto"/>
        </w:rPr>
      </w:pPr>
    </w:p>
    <w:p>
      <w:pPr>
        <w:jc w:val="both"/>
        <w:ind w:left="113" w:right="280" w:firstLine="229"/>
        <w:spacing w:after="0" w:line="252" w:lineRule="auto"/>
        <w:tabs>
          <w:tab w:leader="none" w:pos="5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85" w:lineRule="exact"/>
        <w:rPr>
          <w:rFonts w:ascii="Arial" w:cs="Arial" w:eastAsia="Arial" w:hAnsi="Arial"/>
          <w:sz w:val="18"/>
          <w:szCs w:val="18"/>
          <w:color w:val="auto"/>
        </w:rPr>
      </w:pPr>
    </w:p>
    <w:p>
      <w:pPr>
        <w:ind w:left="113" w:right="340" w:firstLine="229"/>
        <w:spacing w:after="0" w:line="255" w:lineRule="auto"/>
        <w:tabs>
          <w:tab w:leader="none" w:pos="5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378460</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73"/>
          </w:cols>
          <w:pgMar w:left="467" w:top="923" w:right="259" w:bottom="1440" w:gutter="0" w:footer="0" w:header="0"/>
        </w:sectPr>
      </w:pPr>
    </w:p>
    <w:bookmarkStart w:id="87" w:name="page88"/>
    <w:bookmarkEnd w:id="87"/>
    <w:p>
      <w:pPr>
        <w:ind w:right="60"/>
        <w:spacing w:after="0" w:line="312" w:lineRule="auto"/>
        <w:rPr>
          <w:sz w:val="20"/>
          <w:szCs w:val="20"/>
          <w:color w:val="auto"/>
        </w:rPr>
      </w:pPr>
      <w:r>
        <w:rPr>
          <w:rFonts w:ascii="Arial" w:cs="Arial" w:eastAsia="Arial" w:hAnsi="Arial"/>
          <w:sz w:val="15"/>
          <w:szCs w:val="15"/>
          <w:color w:val="auto"/>
        </w:rPr>
        <w:t>and its consolidated subsidiaries, taken as a whole, from that set forth in the Time of Sale Prospectus, that, in the judgment of the Managers, is material and adverse and that makes it, in the judgment of the Managers, impracticable to market the Offered Securities on the terms and in the manner contemplated in the Time of Sale Prospectus; and the Managers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46" w:lineRule="exact"/>
        <w:rPr>
          <w:sz w:val="20"/>
          <w:szCs w:val="20"/>
          <w:color w:val="auto"/>
        </w:rPr>
      </w:pPr>
    </w:p>
    <w:p>
      <w:pPr>
        <w:ind w:right="20" w:firstLine="229"/>
        <w:spacing w:after="0" w:line="366" w:lineRule="auto"/>
        <w:tabs>
          <w:tab w:leader="none" w:pos="461"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Managers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4" w:lineRule="exact"/>
        <w:rPr>
          <w:rFonts w:ascii="Arial" w:cs="Arial" w:eastAsia="Arial" w:hAnsi="Arial"/>
          <w:sz w:val="15"/>
          <w:szCs w:val="15"/>
          <w:color w:val="auto"/>
        </w:rPr>
      </w:pPr>
    </w:p>
    <w:p>
      <w:pPr>
        <w:ind w:left="360" w:right="80" w:firstLine="212"/>
        <w:spacing w:after="0" w:line="252" w:lineRule="auto"/>
        <w:tabs>
          <w:tab w:leader="none" w:pos="7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85" w:lineRule="exact"/>
        <w:rPr>
          <w:rFonts w:ascii="Arial" w:cs="Arial" w:eastAsia="Arial" w:hAnsi="Arial"/>
          <w:sz w:val="18"/>
          <w:szCs w:val="18"/>
          <w:color w:val="auto"/>
        </w:rPr>
      </w:pPr>
    </w:p>
    <w:p>
      <w:pPr>
        <w:ind w:left="360" w:firstLine="212"/>
        <w:spacing w:after="0" w:line="312" w:lineRule="auto"/>
        <w:tabs>
          <w:tab w:leader="none" w:pos="841" w:val="left"/>
        </w:tabs>
        <w:numPr>
          <w:ilvl w:val="1"/>
          <w:numId w:val="58"/>
        </w:numPr>
        <w:rPr>
          <w:rFonts w:ascii="Arial" w:cs="Arial" w:eastAsia="Arial" w:hAnsi="Arial"/>
          <w:sz w:val="15"/>
          <w:szCs w:val="15"/>
          <w:color w:val="auto"/>
        </w:rPr>
      </w:pPr>
      <w:r>
        <w:rPr>
          <w:rFonts w:ascii="Arial" w:cs="Arial" w:eastAsia="Arial" w:hAnsi="Arial"/>
          <w:sz w:val="15"/>
          <w:szCs w:val="15"/>
          <w:color w:val="auto"/>
        </w:rPr>
        <w:t>all of the issued shares of capital stock of each Cable Guarantor have been duly and validly authorized and issued, are fully paid and non-assessable, and (except for directors’ qualifying shares and except as otherwise set forth in the Time of Sale Prospectus) are owned directly and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he believes that both the Managers and he are justified in relying upon such opinions and certificates);</w:t>
      </w:r>
    </w:p>
    <w:p>
      <w:pPr>
        <w:spacing w:after="0" w:line="45" w:lineRule="exact"/>
        <w:rPr>
          <w:rFonts w:ascii="Arial" w:cs="Arial" w:eastAsia="Arial" w:hAnsi="Arial"/>
          <w:sz w:val="15"/>
          <w:szCs w:val="15"/>
          <w:color w:val="auto"/>
        </w:rPr>
      </w:pPr>
    </w:p>
    <w:p>
      <w:pPr>
        <w:ind w:left="360" w:right="380" w:firstLine="212"/>
        <w:spacing w:after="0" w:line="265" w:lineRule="auto"/>
        <w:tabs>
          <w:tab w:leader="none" w:pos="8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all of the issued shares of capital stock of the Company have been duly and validly authorized and issued and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372110</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3" w:right="259" w:bottom="1440" w:gutter="0" w:footer="0" w:header="0"/>
        </w:sectPr>
      </w:pPr>
    </w:p>
    <w:bookmarkStart w:id="88" w:name="page89"/>
    <w:bookmarkEnd w:id="88"/>
    <w:p>
      <w:pPr>
        <w:ind w:left="-212" w:right="80" w:firstLine="212"/>
        <w:spacing w:after="0" w:line="269" w:lineRule="auto"/>
        <w:tabs>
          <w:tab w:leader="none" w:pos="308"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the Senior Indenture dated as of January 7, 2003 among the Company, the Cable Guarantors (other than Comcast MO of Delaware, LLC) and The Bank of New York, as trustee (the “Trustee”), as amended by the First Supplemental Indenture dated as of March 25, 2003 among the Company, the Cable Guarantors and the Trustee (the “Senior Indenture”), and the Subordinated Indenture to be dated as of a date indicated in a relevant prospectus supplement (the “Subordinated Indenture”) among the Company and the Cable Guarantors and The Bank of New York, as trustee, has been duly authorized, executed and delivered by the Company;</w:t>
      </w:r>
    </w:p>
    <w:p>
      <w:pPr>
        <w:spacing w:after="0" w:line="71" w:lineRule="exact"/>
        <w:rPr>
          <w:rFonts w:ascii="Arial" w:cs="Arial" w:eastAsia="Arial" w:hAnsi="Arial"/>
          <w:sz w:val="17"/>
          <w:szCs w:val="17"/>
          <w:color w:val="auto"/>
        </w:rPr>
      </w:pPr>
    </w:p>
    <w:p>
      <w:pPr>
        <w:ind w:left="248" w:hanging="248"/>
        <w:spacing w:after="0"/>
        <w:tabs>
          <w:tab w:leader="none" w:pos="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Warrant Agreement, if any, has been duly authorized, executed and delivered by the Company;</w:t>
      </w:r>
    </w:p>
    <w:p>
      <w:pPr>
        <w:spacing w:after="0" w:line="111" w:lineRule="exact"/>
        <w:rPr>
          <w:rFonts w:ascii="Arial" w:cs="Arial" w:eastAsia="Arial" w:hAnsi="Arial"/>
          <w:sz w:val="18"/>
          <w:szCs w:val="18"/>
          <w:color w:val="auto"/>
        </w:rPr>
      </w:pPr>
    </w:p>
    <w:p>
      <w:pPr>
        <w:ind w:left="308" w:hanging="308"/>
        <w:spacing w:after="0"/>
        <w:tabs>
          <w:tab w:leader="none" w:pos="3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Unit Agreement, if any, has been duly authorized, executed and delivered by the Company;</w:t>
      </w:r>
    </w:p>
    <w:p>
      <w:pPr>
        <w:spacing w:after="0" w:line="111" w:lineRule="exact"/>
        <w:rPr>
          <w:rFonts w:ascii="Arial" w:cs="Arial" w:eastAsia="Arial" w:hAnsi="Arial"/>
          <w:sz w:val="18"/>
          <w:szCs w:val="18"/>
          <w:color w:val="auto"/>
        </w:rPr>
      </w:pPr>
    </w:p>
    <w:p>
      <w:pPr>
        <w:ind w:left="348" w:hanging="348"/>
        <w:spacing w:after="0"/>
        <w:tabs>
          <w:tab w:leader="none" w:pos="3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Offered Company Securities have been duly authorized by the Company;</w:t>
      </w:r>
    </w:p>
    <w:p>
      <w:pPr>
        <w:spacing w:after="0" w:line="111" w:lineRule="exact"/>
        <w:rPr>
          <w:rFonts w:ascii="Arial" w:cs="Arial" w:eastAsia="Arial" w:hAnsi="Arial"/>
          <w:sz w:val="18"/>
          <w:szCs w:val="18"/>
          <w:color w:val="auto"/>
        </w:rPr>
      </w:pPr>
    </w:p>
    <w:p>
      <w:pPr>
        <w:ind w:left="388" w:hanging="388"/>
        <w:spacing w:after="0"/>
        <w:tabs>
          <w:tab w:leader="none" w:pos="3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1" w:lineRule="exact"/>
        <w:rPr>
          <w:rFonts w:ascii="Arial" w:cs="Arial" w:eastAsia="Arial" w:hAnsi="Arial"/>
          <w:sz w:val="18"/>
          <w:szCs w:val="18"/>
          <w:color w:val="auto"/>
        </w:rPr>
      </w:pPr>
    </w:p>
    <w:p>
      <w:pPr>
        <w:ind w:left="-212" w:firstLine="212"/>
        <w:spacing w:after="0" w:line="304" w:lineRule="auto"/>
        <w:tabs>
          <w:tab w:leader="none" w:pos="308"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the articles of incorporation or by-laws (or similar organizational document) of any Issuer or, to the best knowledge of such counsel, any material agreement or other material instrument binding upon such Issuer,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356870</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8"/>
          </w:cols>
          <w:pgMar w:left="1152" w:top="923" w:right="259" w:bottom="1440" w:gutter="0" w:footer="0" w:header="0"/>
        </w:sectPr>
      </w:pPr>
    </w:p>
    <w:bookmarkStart w:id="89" w:name="page90"/>
    <w:bookmarkEnd w:id="89"/>
    <w:p>
      <w:pPr>
        <w:ind w:right="20"/>
        <w:spacing w:after="0" w:line="267" w:lineRule="auto"/>
        <w:rPr>
          <w:sz w:val="20"/>
          <w:szCs w:val="20"/>
          <w:color w:val="auto"/>
        </w:rPr>
      </w:pPr>
      <w:r>
        <w:rPr>
          <w:rFonts w:ascii="Arial" w:cs="Arial" w:eastAsia="Arial" w:hAnsi="Arial"/>
          <w:sz w:val="17"/>
          <w:szCs w:val="17"/>
          <w:color w:val="auto"/>
        </w:rPr>
        <w:t>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any Issuer of its obligations under this Agreement, the Senior Indenture, the Subordinated Indenture, the Offered Securities, the Warrant Agreement, the Unit Agreement and the Additional Guarantee, if any;</w:t>
      </w:r>
    </w:p>
    <w:p>
      <w:pPr>
        <w:spacing w:after="0" w:line="74" w:lineRule="exact"/>
        <w:rPr>
          <w:sz w:val="20"/>
          <w:szCs w:val="20"/>
          <w:color w:val="auto"/>
        </w:rPr>
      </w:pPr>
    </w:p>
    <w:p>
      <w:pPr>
        <w:ind w:firstLine="212"/>
        <w:spacing w:after="0" w:line="307" w:lineRule="auto"/>
        <w:tabs>
          <w:tab w:leader="none" w:pos="471" w:val="left"/>
        </w:tabs>
        <w:numPr>
          <w:ilvl w:val="0"/>
          <w:numId w:val="60"/>
        </w:numPr>
        <w:rPr>
          <w:rFonts w:ascii="Arial" w:cs="Arial" w:eastAsia="Arial" w:hAnsi="Arial"/>
          <w:sz w:val="15"/>
          <w:szCs w:val="15"/>
          <w:color w:val="auto"/>
        </w:rPr>
      </w:pPr>
      <w:r>
        <w:rPr>
          <w:rFonts w:ascii="Arial" w:cs="Arial" w:eastAsia="Arial" w:hAnsi="Arial"/>
          <w:sz w:val="15"/>
          <w:szCs w:val="15"/>
          <w:color w:val="auto"/>
        </w:rPr>
        <w:t>subject to such qualification as may be set forth in the Time of Sale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Time of Sale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Time of Sale Prospectus, which restrictions would have a material adverse effect on the business or financial condition of the Company and its subsidiaries, as a whole;</w:t>
      </w:r>
    </w:p>
    <w:p>
      <w:pPr>
        <w:spacing w:after="0" w:line="46" w:lineRule="exact"/>
        <w:rPr>
          <w:rFonts w:ascii="Arial" w:cs="Arial" w:eastAsia="Arial" w:hAnsi="Arial"/>
          <w:sz w:val="15"/>
          <w:szCs w:val="15"/>
          <w:color w:val="auto"/>
        </w:rPr>
      </w:pPr>
    </w:p>
    <w:p>
      <w:pPr>
        <w:ind w:firstLine="212"/>
        <w:spacing w:after="0" w:line="250"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statements (A) in Item 3 of the Company’s most recent Annual Report on Form 10-K incorporated by reference in the Time of Sale Prospectus, (B) in Part II, Item 1 under the caption “Legal Proceedings” of the Company’s most recent Quarterly Report on Form 10-Q incorporated by reference in the Time of Sale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382270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00"/>
          </w:cols>
          <w:pgMar w:left="940" w:top="923" w:right="259" w:bottom="1440" w:gutter="0" w:footer="0" w:header="0"/>
        </w:sectPr>
      </w:pPr>
    </w:p>
    <w:bookmarkStart w:id="90" w:name="page91"/>
    <w:bookmarkEnd w:id="90"/>
    <w:p>
      <w:pPr>
        <w:ind w:left="700" w:right="80" w:firstLine="212"/>
        <w:spacing w:after="0" w:line="250" w:lineRule="auto"/>
        <w:tabs>
          <w:tab w:leader="none" w:pos="1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Time of Sale Prospectus and is not so described or of any contract or other document which is required to be described in the Registration Statement or the Time of Sale Prospectus or to be filed as an exhibit to the Registration Statement which is not described or filed as required;</w:t>
      </w:r>
    </w:p>
    <w:p>
      <w:pPr>
        <w:spacing w:after="0" w:line="88" w:lineRule="exact"/>
        <w:rPr>
          <w:rFonts w:ascii="Arial" w:cs="Arial" w:eastAsia="Arial" w:hAnsi="Arial"/>
          <w:sz w:val="18"/>
          <w:szCs w:val="18"/>
          <w:color w:val="auto"/>
        </w:rPr>
      </w:pPr>
    </w:p>
    <w:p>
      <w:pPr>
        <w:ind w:left="700" w:right="520" w:firstLine="212"/>
        <w:spacing w:after="0" w:line="265" w:lineRule="auto"/>
        <w:tabs>
          <w:tab w:leader="none" w:pos="13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securities into which the Offered Company Securities are convertible, initially reserved for issuance upon conversion of the Offered Company Securities (the “Underlying Securities”), have been duly authorized and reserved for issuance; and</w:t>
      </w:r>
    </w:p>
    <w:p>
      <w:pPr>
        <w:spacing w:after="0" w:line="73" w:lineRule="exact"/>
        <w:rPr>
          <w:rFonts w:ascii="Arial" w:cs="Arial" w:eastAsia="Arial" w:hAnsi="Arial"/>
          <w:sz w:val="18"/>
          <w:szCs w:val="18"/>
          <w:color w:val="auto"/>
        </w:rPr>
      </w:pPr>
    </w:p>
    <w:p>
      <w:pPr>
        <w:ind w:left="700" w:firstLine="212"/>
        <w:spacing w:after="0" w:line="255" w:lineRule="auto"/>
        <w:tabs>
          <w:tab w:leader="none" w:pos="1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Company Securities in accordance with the terms of the Offered Company Securities, such Underlying Securities will be validly issued, fully paid and non-assessable and will not be subject to any preemptive or other right to subscribe for or purchase such Underlying Securities.</w:t>
      </w:r>
    </w:p>
    <w:p>
      <w:pPr>
        <w:spacing w:after="0" w:line="83" w:lineRule="exact"/>
        <w:rPr>
          <w:sz w:val="20"/>
          <w:szCs w:val="20"/>
          <w:color w:val="auto"/>
        </w:rPr>
      </w:pPr>
    </w:p>
    <w:p>
      <w:pPr>
        <w:ind w:right="40" w:firstLine="221"/>
        <w:spacing w:after="0" w:line="302" w:lineRule="auto"/>
        <w:rPr>
          <w:sz w:val="20"/>
          <w:szCs w:val="20"/>
          <w:color w:val="auto"/>
        </w:rPr>
      </w:pPr>
      <w:r>
        <w:rPr>
          <w:rFonts w:ascii="Arial" w:cs="Arial" w:eastAsia="Arial" w:hAnsi="Arial"/>
          <w:sz w:val="15"/>
          <w:szCs w:val="15"/>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(3) that the Prospectus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91" w:name="page92"/>
    <w:bookmarkEnd w:id="91"/>
    <w:p>
      <w:pPr>
        <w:ind w:right="280"/>
        <w:spacing w:after="0" w:line="250" w:lineRule="auto"/>
        <w:rPr>
          <w:sz w:val="20"/>
          <w:szCs w:val="20"/>
          <w:color w:val="auto"/>
        </w:rPr>
      </w:pPr>
      <w:r>
        <w:rPr>
          <w:rFonts w:ascii="Arial" w:cs="Arial" w:eastAsia="Arial" w:hAnsi="Arial"/>
          <w:sz w:val="18"/>
          <w:szCs w:val="18"/>
          <w:color w:val="auto"/>
        </w:rPr>
        <w:t>statements therein, in the light of the circumstances under which they are made, not misleading; or (4)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89" w:lineRule="exact"/>
        <w:rPr>
          <w:sz w:val="20"/>
          <w:szCs w:val="20"/>
          <w:color w:val="auto"/>
        </w:rPr>
      </w:pPr>
    </w:p>
    <w:p>
      <w:pPr>
        <w:ind w:right="40" w:firstLine="218"/>
        <w:spacing w:after="0" w:line="277" w:lineRule="auto"/>
        <w:rPr>
          <w:sz w:val="20"/>
          <w:szCs w:val="20"/>
          <w:color w:val="auto"/>
        </w:rPr>
      </w:pPr>
      <w:r>
        <w:rPr>
          <w:rFonts w:ascii="Arial" w:cs="Arial" w:eastAsia="Arial" w:hAnsi="Arial"/>
          <w:sz w:val="17"/>
          <w:szCs w:val="17"/>
          <w:color w:val="auto"/>
        </w:rPr>
        <w:t>With respect to the preceding paragraph, such counsel may state that his opinion and belief is based upon his participation in the preparation of the Registration Statement, Time of Sale Prospectus, Prospectus (as amended or supplemented) and the documents incorporated therein by reference and review and discussion of the contents thereof, but is without independent check or verification except as specified.</w:t>
      </w:r>
    </w:p>
    <w:p>
      <w:pPr>
        <w:spacing w:after="0" w:line="6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83" w:lineRule="exact"/>
        <w:rPr>
          <w:sz w:val="20"/>
          <w:szCs w:val="20"/>
          <w:color w:val="auto"/>
        </w:rPr>
      </w:pPr>
    </w:p>
    <w:p>
      <w:pPr>
        <w:ind w:left="340" w:right="300" w:firstLine="229"/>
        <w:spacing w:after="0" w:line="265" w:lineRule="auto"/>
        <w:tabs>
          <w:tab w:leader="none" w:pos="8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special counsel for the Company, dated the Closing Date, to the effect that:</w:t>
      </w:r>
    </w:p>
    <w:p>
      <w:pPr>
        <w:spacing w:after="0" w:line="73" w:lineRule="exact"/>
        <w:rPr>
          <w:rFonts w:ascii="Arial" w:cs="Arial" w:eastAsia="Arial" w:hAnsi="Arial"/>
          <w:sz w:val="18"/>
          <w:szCs w:val="18"/>
          <w:color w:val="auto"/>
        </w:rPr>
      </w:pPr>
    </w:p>
    <w:p>
      <w:pPr>
        <w:ind w:left="700" w:right="300" w:firstLine="212"/>
        <w:spacing w:after="0" w:line="265" w:lineRule="auto"/>
        <w:tabs>
          <w:tab w:leader="none" w:pos="11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Cable Guarantor is a corporation or limited liability company duly incorporated or duly organized, validly existing and in good standing under the laws of the jurisdiction of its incorporation or formation;</w:t>
      </w:r>
    </w:p>
    <w:p>
      <w:pPr>
        <w:spacing w:after="0" w:line="73" w:lineRule="exact"/>
        <w:rPr>
          <w:rFonts w:ascii="Arial" w:cs="Arial" w:eastAsia="Arial" w:hAnsi="Arial"/>
          <w:sz w:val="18"/>
          <w:szCs w:val="18"/>
          <w:color w:val="auto"/>
        </w:rPr>
      </w:pPr>
    </w:p>
    <w:p>
      <w:pPr>
        <w:ind w:left="700" w:right="100" w:firstLine="212"/>
        <w:spacing w:after="0" w:line="249" w:lineRule="auto"/>
        <w:tabs>
          <w:tab w:leader="none" w:pos="11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of the Senior Indenture and the Subordinated Indenture has been duly authorized, executed and delivered by each Cable Guarantor and assuming each of the Senior Indenture and the Subordinated Indenture has been duly authorized, executed and delivered by the Company and duly executed and delivered by the respective trustee thereto, each of the Senior Indenture and the Subordinated Indenture is a valid and binding agreement of each Issuer, enforceable against each Issuer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2" w:name="page93"/>
    <w:bookmarkEnd w:id="92"/>
    <w:p>
      <w:pPr>
        <w:jc w:val="both"/>
        <w:ind w:left="-212" w:firstLine="212"/>
        <w:spacing w:after="0" w:line="252" w:lineRule="auto"/>
        <w:tabs>
          <w:tab w:leader="none" w:pos="3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85" w:lineRule="exact"/>
        <w:rPr>
          <w:rFonts w:ascii="Arial" w:cs="Arial" w:eastAsia="Arial" w:hAnsi="Arial"/>
          <w:sz w:val="18"/>
          <w:szCs w:val="18"/>
          <w:color w:val="auto"/>
        </w:rPr>
      </w:pPr>
    </w:p>
    <w:p>
      <w:pPr>
        <w:ind w:left="-212" w:firstLine="212"/>
        <w:spacing w:after="0" w:line="252"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85" w:lineRule="exact"/>
        <w:rPr>
          <w:rFonts w:ascii="Arial" w:cs="Arial" w:eastAsia="Arial" w:hAnsi="Arial"/>
          <w:sz w:val="18"/>
          <w:szCs w:val="18"/>
          <w:color w:val="auto"/>
        </w:rPr>
      </w:pPr>
    </w:p>
    <w:p>
      <w:pPr>
        <w:ind w:left="-212" w:right="100" w:firstLine="212"/>
        <w:spacing w:after="0" w:line="252"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Additional Guarantee, if any, has been duly authorized, executed and delivered by each Cable Guarantor and is a valid and binding agreement of each Cable Guarantor, enforceable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85" w:lineRule="exact"/>
        <w:rPr>
          <w:rFonts w:ascii="Arial" w:cs="Arial" w:eastAsia="Arial" w:hAnsi="Arial"/>
          <w:sz w:val="18"/>
          <w:szCs w:val="18"/>
          <w:color w:val="auto"/>
        </w:rPr>
      </w:pPr>
    </w:p>
    <w:p>
      <w:pPr>
        <w:ind w:left="-212" w:right="60" w:firstLine="212"/>
        <w:spacing w:after="0" w:line="267" w:lineRule="auto"/>
        <w:tabs>
          <w:tab w:leader="none" w:pos="3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Cable Guarantees have been duly authorized, and, assuming the Offered Company Securities have been authorized by the Company, when the Offered Company Securities have been duly executed and authenticated in accordance with the provisions of the relevant Senior Indenture or Subordinated Indenture, the Offered Securities and the Debt Securities will be valid and binding obligations of the Issuers, enforceable against them in accordance with their terms (subject, as to enforcement or remedies, to applicable bankruptcy, reorganization, insolvency, fraudulent transfer, moratorium or other similar laws affecting creditors’ rights generally from time to time in effect and to general equity principles), and will be entitled to the benefits of the relevant Senior Indenture or Subordinated Indenture.</w:t>
      </w:r>
    </w:p>
    <w:p>
      <w:pPr>
        <w:spacing w:after="0" w:line="74" w:lineRule="exact"/>
        <w:rPr>
          <w:rFonts w:ascii="Arial" w:cs="Arial" w:eastAsia="Arial" w:hAnsi="Arial"/>
          <w:sz w:val="17"/>
          <w:szCs w:val="17"/>
          <w:color w:val="auto"/>
        </w:rPr>
      </w:pPr>
    </w:p>
    <w:p>
      <w:pPr>
        <w:ind w:left="348" w:hanging="348"/>
        <w:spacing w:after="0"/>
        <w:tabs>
          <w:tab w:leader="none" w:pos="3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Cable Guarantor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396240</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8"/>
          </w:cols>
          <w:pgMar w:left="1152" w:top="923" w:right="259" w:bottom="1440" w:gutter="0" w:footer="0" w:header="0"/>
        </w:sectPr>
      </w:pPr>
    </w:p>
    <w:bookmarkStart w:id="93" w:name="page94"/>
    <w:bookmarkEnd w:id="93"/>
    <w:p>
      <w:pPr>
        <w:ind w:left="1300" w:hanging="38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the Senior Indenture and the Subordinated Indenture has been duly qualified under the Trust Indenture Act;</w:t>
      </w:r>
    </w:p>
    <w:p>
      <w:pPr>
        <w:spacing w:after="0" w:line="111" w:lineRule="exact"/>
        <w:rPr>
          <w:rFonts w:ascii="Arial" w:cs="Arial" w:eastAsia="Arial" w:hAnsi="Arial"/>
          <w:sz w:val="18"/>
          <w:szCs w:val="18"/>
          <w:color w:val="auto"/>
        </w:rPr>
      </w:pPr>
    </w:p>
    <w:p>
      <w:pPr>
        <w:ind w:left="700" w:firstLine="212"/>
        <w:spacing w:after="0" w:line="302" w:lineRule="auto"/>
        <w:tabs>
          <w:tab w:leader="none" w:pos="12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or New York, or the certificate of incorporation or bylaws or equivalent organizational documents of any Cable Guarantor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any Issuer of its obligations under this Agreement, the Senior Indenture, the Subordinated Indenture, the Offered Securities, the Warrant Agreement, the Unit Agreement and the Additional Guarantee, if any, and</w:t>
      </w:r>
    </w:p>
    <w:p>
      <w:pPr>
        <w:spacing w:after="0" w:line="264" w:lineRule="exact"/>
        <w:rPr>
          <w:rFonts w:ascii="Arial" w:cs="Arial" w:eastAsia="Arial" w:hAnsi="Arial"/>
          <w:sz w:val="15"/>
          <w:szCs w:val="15"/>
          <w:color w:val="auto"/>
        </w:rPr>
      </w:pPr>
    </w:p>
    <w:p>
      <w:pPr>
        <w:ind w:left="700" w:right="260" w:firstLine="212"/>
        <w:spacing w:after="0" w:line="252" w:lineRule="auto"/>
        <w:tabs>
          <w:tab w:leader="none" w:pos="11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statements in the Prospectus Supplement under “Description of [the Offered Securities],” “Certain U.S. Tax Considerations” and “Underwriting” and in the Base Prospectus under “Description of Debt Securities and Cable Guarantees” and “Plan of Distribution,” insofar as such statements constitute a summary of the legal matters or documents referred to therein, fairly present the information called for with respect to such legal matters and documents.</w:t>
      </w:r>
    </w:p>
    <w:p>
      <w:pPr>
        <w:spacing w:after="0" w:line="85" w:lineRule="exact"/>
        <w:rPr>
          <w:sz w:val="20"/>
          <w:szCs w:val="20"/>
          <w:color w:val="auto"/>
        </w:rPr>
      </w:pPr>
    </w:p>
    <w:p>
      <w:pPr>
        <w:ind w:right="400" w:firstLine="221"/>
        <w:spacing w:after="0" w:line="265" w:lineRule="auto"/>
        <w:rPr>
          <w:sz w:val="20"/>
          <w:szCs w:val="20"/>
          <w:color w:val="auto"/>
        </w:rPr>
      </w:pPr>
      <w:r>
        <w:rPr>
          <w:rFonts w:ascii="Arial" w:cs="Arial" w:eastAsia="Arial" w:hAnsi="Arial"/>
          <w:sz w:val="18"/>
          <w:szCs w:val="18"/>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4" w:name="page95"/>
    <w:bookmarkEnd w:id="94"/>
    <w:p>
      <w:pPr>
        <w:spacing w:after="0" w:line="301" w:lineRule="auto"/>
        <w:rPr>
          <w:sz w:val="20"/>
          <w:szCs w:val="20"/>
          <w:color w:val="auto"/>
        </w:rPr>
      </w:pPr>
      <w:r>
        <w:rPr>
          <w:rFonts w:ascii="Arial" w:cs="Arial" w:eastAsia="Arial" w:hAnsi="Arial"/>
          <w:sz w:val="15"/>
          <w:szCs w:val="15"/>
          <w:color w:val="auto"/>
        </w:rPr>
        <w:t>Registration Statement and Prospectus (except for financial statements and other financial or statistical data included or incorporated by reference therein and the Form T-1,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(3)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or (4) that the Prospectus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268" w:lineRule="exact"/>
        <w:rPr>
          <w:sz w:val="20"/>
          <w:szCs w:val="20"/>
          <w:color w:val="auto"/>
        </w:rPr>
      </w:pPr>
    </w:p>
    <w:p>
      <w:pPr>
        <w:ind w:right="60" w:firstLine="218"/>
        <w:spacing w:after="0" w:line="252" w:lineRule="auto"/>
        <w:rPr>
          <w:sz w:val="20"/>
          <w:szCs w:val="20"/>
          <w:color w:val="auto"/>
        </w:rPr>
      </w:pPr>
      <w:r>
        <w:rPr>
          <w:rFonts w:ascii="Arial" w:cs="Arial" w:eastAsia="Arial" w:hAnsi="Arial"/>
          <w:sz w:val="18"/>
          <w:szCs w:val="18"/>
          <w:color w:val="auto"/>
        </w:rPr>
        <w:t>With respect to the preceding paragraph, Davis Polk &amp; Wardwell may state that their opinion and belief is based upon their participation in the preparation of the Registration Statement, Time of Sale Prospectus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85" w:lineRule="exact"/>
        <w:rPr>
          <w:sz w:val="20"/>
          <w:szCs w:val="20"/>
          <w:color w:val="auto"/>
        </w:rPr>
      </w:pPr>
    </w:p>
    <w:p>
      <w:pPr>
        <w:ind w:left="800" w:hanging="231"/>
        <w:spacing w:after="0"/>
        <w:tabs>
          <w:tab w:leader="none" w:pos="8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Managers shall have received on the Closing Date an opinion of regulatory counsel for the Company, dated the Closing Date, to the effect that:</w:t>
      </w:r>
    </w:p>
    <w:p>
      <w:pPr>
        <w:spacing w:after="0" w:line="145" w:lineRule="exact"/>
        <w:rPr>
          <w:rFonts w:ascii="Arial" w:cs="Arial" w:eastAsia="Arial" w:hAnsi="Arial"/>
          <w:sz w:val="15"/>
          <w:szCs w:val="15"/>
          <w:color w:val="auto"/>
        </w:rPr>
      </w:pPr>
    </w:p>
    <w:p>
      <w:pPr>
        <w:ind w:left="700" w:right="600" w:firstLine="212"/>
        <w:spacing w:after="0" w:line="265" w:lineRule="auto"/>
        <w:tabs>
          <w:tab w:leader="none" w:pos="11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73" w:lineRule="exact"/>
        <w:rPr>
          <w:rFonts w:ascii="Arial" w:cs="Arial" w:eastAsia="Arial" w:hAnsi="Arial"/>
          <w:sz w:val="18"/>
          <w:szCs w:val="18"/>
          <w:color w:val="auto"/>
        </w:rPr>
      </w:pPr>
    </w:p>
    <w:p>
      <w:pPr>
        <w:jc w:val="both"/>
        <w:ind w:left="700" w:right="220" w:firstLine="212"/>
        <w:spacing w:after="0" w:line="255" w:lineRule="auto"/>
        <w:tabs>
          <w:tab w:leader="none" w:pos="118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execution and delivery of this Agreement, the Senior Indenture, the Subordinated Indenture, the Warrant Agreement, the Unit Agreement and the Additional Guarantee, if any, by each Issuer, the fulfillment of the terms set forth herein and therein by each Issuer and the consummation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95" w:name="page96"/>
    <w:bookmarkEnd w:id="95"/>
    <w:p>
      <w:pPr>
        <w:ind w:left="131" w:right="40"/>
        <w:spacing w:after="0" w:line="250" w:lineRule="auto"/>
        <w:rPr>
          <w:sz w:val="20"/>
          <w:szCs w:val="20"/>
          <w:color w:val="auto"/>
        </w:rPr>
      </w:pPr>
      <w:r>
        <w:rPr>
          <w:rFonts w:ascii="Arial" w:cs="Arial" w:eastAsia="Arial" w:hAnsi="Arial"/>
          <w:sz w:val="18"/>
          <w:szCs w:val="18"/>
          <w:color w:val="auto"/>
        </w:rPr>
        <w:t>contemplated hereby and thereby by each Issuer do not violate any statute, regulation or other law of the United States relating specifically to the cable communications industry (except as otherwise explicitly set forth in the Time of Sale Prospectus)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89" w:lineRule="exact"/>
        <w:rPr>
          <w:sz w:val="20"/>
          <w:szCs w:val="20"/>
          <w:color w:val="auto"/>
        </w:rPr>
      </w:pPr>
    </w:p>
    <w:p>
      <w:pPr>
        <w:ind w:left="131" w:right="40" w:firstLine="212"/>
        <w:spacing w:after="0" w:line="269" w:lineRule="auto"/>
        <w:tabs>
          <w:tab w:leader="none" w:pos="661"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statements in the Company’s most recent Annual Report on Form 10-K incorporated by reference in the Registration Statement, the Time of Sale Prospectus and Prospectus relating to cable regulatory matters, as updated by the Company’s most recent Quarterly Reports on Form 10-Q incorporated in the Registration Statement, the Time of Sale Prospectus and the Prospectus and as updated by the Time of Sale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1" w:lineRule="exact"/>
        <w:rPr>
          <w:rFonts w:ascii="Arial" w:cs="Arial" w:eastAsia="Arial" w:hAnsi="Arial"/>
          <w:sz w:val="17"/>
          <w:szCs w:val="17"/>
          <w:color w:val="auto"/>
        </w:rPr>
      </w:pPr>
    </w:p>
    <w:p>
      <w:pPr>
        <w:ind w:left="131" w:right="60" w:firstLine="212"/>
        <w:spacing w:after="0" w:line="252" w:lineRule="auto"/>
        <w:tabs>
          <w:tab w:leader="none" w:pos="651"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Time of Sale Prospectus pursuant to Regulation S-K promulgated under the Securities Act, which is not described as required.</w:t>
      </w:r>
    </w:p>
    <w:p>
      <w:pPr>
        <w:spacing w:after="0" w:line="85" w:lineRule="exact"/>
        <w:rPr>
          <w:rFonts w:ascii="Arial" w:cs="Arial" w:eastAsia="Arial" w:hAnsi="Arial"/>
          <w:sz w:val="18"/>
          <w:szCs w:val="18"/>
          <w:color w:val="auto"/>
        </w:rPr>
      </w:pPr>
    </w:p>
    <w:p>
      <w:pPr>
        <w:ind w:left="-229" w:right="240" w:firstLine="229"/>
        <w:spacing w:after="0" w:line="265" w:lineRule="auto"/>
        <w:tabs>
          <w:tab w:leader="none" w:pos="2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Managers shall have received on the Closing Date an opinion of Cahill Gordon &amp; Reindel </w:t>
      </w:r>
      <w:r>
        <w:rPr>
          <w:rFonts w:ascii="Arial" w:cs="Arial" w:eastAsia="Arial" w:hAnsi="Arial"/>
          <w:sz w:val="11"/>
          <w:szCs w:val="11"/>
          <w:color w:val="auto"/>
        </w:rPr>
        <w:t>LLP</w:t>
      </w:r>
      <w:r>
        <w:rPr>
          <w:rFonts w:ascii="Arial" w:cs="Arial" w:eastAsia="Arial" w:hAnsi="Arial"/>
          <w:sz w:val="18"/>
          <w:szCs w:val="18"/>
          <w:color w:val="auto"/>
        </w:rPr>
        <w:t>, counsel for the Underwriters, dated the Closing Date, covering the matters requested by and in form and substance reasonably satisfactory to the Managers.</w:t>
      </w:r>
    </w:p>
    <w:p>
      <w:pPr>
        <w:spacing w:after="0" w:line="73" w:lineRule="exact"/>
        <w:rPr>
          <w:rFonts w:ascii="Arial" w:cs="Arial" w:eastAsia="Arial" w:hAnsi="Arial"/>
          <w:sz w:val="18"/>
          <w:szCs w:val="18"/>
          <w:color w:val="auto"/>
        </w:rPr>
      </w:pPr>
    </w:p>
    <w:p>
      <w:pPr>
        <w:ind w:left="-229" w:firstLine="229"/>
        <w:spacing w:after="0" w:line="255" w:lineRule="auto"/>
        <w:tabs>
          <w:tab w:leader="none" w:pos="2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378460</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51"/>
          </w:cols>
          <w:pgMar w:left="809" w:top="923" w:right="239" w:bottom="1440" w:gutter="0" w:footer="0" w:header="0"/>
        </w:sectPr>
      </w:pPr>
    </w:p>
    <w:bookmarkStart w:id="96" w:name="page97"/>
    <w:bookmarkEnd w:id="96"/>
    <w:p>
      <w:pPr>
        <w:ind w:left="113" w:right="60"/>
        <w:spacing w:after="0" w:line="318" w:lineRule="auto"/>
        <w:rPr>
          <w:sz w:val="20"/>
          <w:szCs w:val="20"/>
          <w:color w:val="auto"/>
        </w:rPr>
      </w:pPr>
      <w:r>
        <w:rPr>
          <w:rFonts w:ascii="Arial" w:cs="Arial" w:eastAsia="Arial" w:hAnsi="Arial"/>
          <w:sz w:val="15"/>
          <w:szCs w:val="15"/>
          <w:color w:val="auto"/>
        </w:rPr>
        <w:t>to the financial statements and certain financial information reviewed by them contained in or incorporated by reference in the Registration Statement, the Time of Sale Prospectus and the Prospectus and each other firm of independent accountants, if any, who audited or reviewed financial statements contained in or incorporated by reference in the Registration Statement, the Time of Sale Prospectus and the Prospectus, containing statements and information of the type ordinarily included in accountants’ “comfort letters” to underwriters with respect to such financial statements and financial information.</w:t>
      </w:r>
    </w:p>
    <w:p>
      <w:pPr>
        <w:spacing w:after="0" w:line="40" w:lineRule="exact"/>
        <w:rPr>
          <w:sz w:val="20"/>
          <w:szCs w:val="20"/>
          <w:color w:val="auto"/>
        </w:rPr>
      </w:pPr>
    </w:p>
    <w:p>
      <w:pPr>
        <w:ind w:left="113" w:right="280" w:firstLine="229"/>
        <w:spacing w:after="0" w:line="265" w:lineRule="auto"/>
        <w:tabs>
          <w:tab w:leader="none" w:pos="5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73" w:lineRule="exact"/>
        <w:rPr>
          <w:rFonts w:ascii="Arial" w:cs="Arial" w:eastAsia="Arial" w:hAnsi="Arial"/>
          <w:sz w:val="18"/>
          <w:szCs w:val="18"/>
          <w:color w:val="auto"/>
        </w:rPr>
      </w:pPr>
    </w:p>
    <w:p>
      <w:pPr>
        <w:ind w:left="173" w:hanging="173"/>
        <w:spacing w:after="0"/>
        <w:tabs>
          <w:tab w:leader="none" w:pos="1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Covenants of the Company. In further consideration of the agreements of the Underwriters herein contained, the Issuers covenant as follows:</w:t>
      </w:r>
    </w:p>
    <w:p>
      <w:pPr>
        <w:spacing w:after="0" w:line="122" w:lineRule="exact"/>
        <w:rPr>
          <w:rFonts w:ascii="Arial" w:cs="Arial" w:eastAsia="Arial" w:hAnsi="Arial"/>
          <w:sz w:val="17"/>
          <w:szCs w:val="17"/>
          <w:color w:val="auto"/>
        </w:rPr>
      </w:pPr>
    </w:p>
    <w:p>
      <w:pPr>
        <w:ind w:left="113" w:right="20" w:firstLine="229"/>
        <w:spacing w:after="0" w:line="252" w:lineRule="auto"/>
        <w:tabs>
          <w:tab w:leader="none" w:pos="5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Time of Sale Prospectus, the Prospectus, any documents incorporated therein by reference and any supplements and amendments thereto as the Managers may reasonably request.</w:t>
      </w:r>
    </w:p>
    <w:p>
      <w:pPr>
        <w:spacing w:after="0" w:line="85" w:lineRule="exact"/>
        <w:rPr>
          <w:rFonts w:ascii="Arial" w:cs="Arial" w:eastAsia="Arial" w:hAnsi="Arial"/>
          <w:sz w:val="18"/>
          <w:szCs w:val="18"/>
          <w:color w:val="auto"/>
        </w:rPr>
      </w:pPr>
    </w:p>
    <w:p>
      <w:pPr>
        <w:ind w:left="113" w:firstLine="229"/>
        <w:spacing w:after="0" w:line="265" w:lineRule="auto"/>
        <w:tabs>
          <w:tab w:leader="none" w:pos="5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the Managers a copy of each such proposed amendment or supplement.</w:t>
      </w:r>
    </w:p>
    <w:p>
      <w:pPr>
        <w:spacing w:after="0" w:line="73" w:lineRule="exact"/>
        <w:rPr>
          <w:rFonts w:ascii="Arial" w:cs="Arial" w:eastAsia="Arial" w:hAnsi="Arial"/>
          <w:sz w:val="18"/>
          <w:szCs w:val="18"/>
          <w:color w:val="auto"/>
        </w:rPr>
      </w:pPr>
    </w:p>
    <w:p>
      <w:pPr>
        <w:ind w:left="113" w:right="320" w:firstLine="229"/>
        <w:spacing w:after="0" w:line="265" w:lineRule="auto"/>
        <w:tabs>
          <w:tab w:leader="none" w:pos="5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73" w:lineRule="exact"/>
        <w:rPr>
          <w:rFonts w:ascii="Arial" w:cs="Arial" w:eastAsia="Arial" w:hAnsi="Arial"/>
          <w:sz w:val="18"/>
          <w:szCs w:val="18"/>
          <w:color w:val="auto"/>
        </w:rPr>
      </w:pPr>
    </w:p>
    <w:p>
      <w:pPr>
        <w:jc w:val="both"/>
        <w:ind w:left="113" w:right="220" w:firstLine="229"/>
        <w:spacing w:after="0" w:line="366" w:lineRule="auto"/>
        <w:tabs>
          <w:tab w:leader="none" w:pos="584" w:val="left"/>
        </w:tabs>
        <w:numPr>
          <w:ilvl w:val="1"/>
          <w:numId w:val="69"/>
        </w:numPr>
        <w:rPr>
          <w:rFonts w:ascii="Arial" w:cs="Arial" w:eastAsia="Arial" w:hAnsi="Arial"/>
          <w:sz w:val="15"/>
          <w:szCs w:val="15"/>
          <w:color w:val="auto"/>
        </w:rPr>
      </w:pPr>
      <w:r>
        <w:rPr>
          <w:rFonts w:ascii="Arial" w:cs="Arial" w:eastAsia="Arial" w:hAnsi="Arial"/>
          <w:sz w:val="15"/>
          <w:szCs w:val="15"/>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4" w:lineRule="exact"/>
        <w:rPr>
          <w:rFonts w:ascii="Arial" w:cs="Arial" w:eastAsia="Arial" w:hAnsi="Arial"/>
          <w:sz w:val="15"/>
          <w:szCs w:val="15"/>
          <w:color w:val="auto"/>
        </w:rPr>
      </w:pPr>
    </w:p>
    <w:p>
      <w:pPr>
        <w:jc w:val="center"/>
        <w:ind w:left="113" w:right="160" w:firstLine="229"/>
        <w:spacing w:after="0" w:line="366" w:lineRule="auto"/>
        <w:tabs>
          <w:tab w:leader="none" w:pos="574" w:val="left"/>
        </w:tabs>
        <w:numPr>
          <w:ilvl w:val="1"/>
          <w:numId w:val="69"/>
        </w:numPr>
        <w:rPr>
          <w:rFonts w:ascii="Arial" w:cs="Arial" w:eastAsia="Arial" w:hAnsi="Arial"/>
          <w:sz w:val="15"/>
          <w:szCs w:val="15"/>
          <w:color w:val="auto"/>
        </w:rPr>
      </w:pPr>
      <w:r>
        <w:rPr>
          <w:rFonts w:ascii="Arial" w:cs="Arial" w:eastAsia="Arial" w:hAnsi="Arial"/>
          <w:sz w:val="15"/>
          <w:szCs w:val="15"/>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328295</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73"/>
          </w:cols>
          <w:pgMar w:left="467" w:top="923" w:right="259" w:bottom="1440" w:gutter="0" w:footer="0" w:header="0"/>
        </w:sectPr>
      </w:pPr>
    </w:p>
    <w:bookmarkStart w:id="97" w:name="page98"/>
    <w:bookmarkEnd w:id="97"/>
    <w:p>
      <w:pPr>
        <w:ind w:left="113"/>
        <w:spacing w:after="0" w:line="309" w:lineRule="auto"/>
        <w:rPr>
          <w:sz w:val="20"/>
          <w:szCs w:val="20"/>
          <w:color w:val="auto"/>
        </w:rPr>
      </w:pPr>
      <w:r>
        <w:rPr>
          <w:rFonts w:ascii="Arial" w:cs="Arial" w:eastAsia="Arial" w:hAnsi="Arial"/>
          <w:sz w:val="15"/>
          <w:szCs w:val="15"/>
          <w:color w:val="auto"/>
        </w:rPr>
        <w:t>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w:t>
      </w:r>
    </w:p>
    <w:p>
      <w:pPr>
        <w:spacing w:after="0" w:line="46" w:lineRule="exact"/>
        <w:rPr>
          <w:sz w:val="20"/>
          <w:szCs w:val="20"/>
          <w:color w:val="auto"/>
        </w:rPr>
      </w:pPr>
    </w:p>
    <w:p>
      <w:pPr>
        <w:ind w:left="113" w:right="20" w:firstLine="229"/>
        <w:spacing w:after="0" w:line="307" w:lineRule="auto"/>
        <w:tabs>
          <w:tab w:leader="none" w:pos="555" w:val="left"/>
        </w:tabs>
        <w:numPr>
          <w:ilvl w:val="1"/>
          <w:numId w:val="70"/>
        </w:numPr>
        <w:rPr>
          <w:rFonts w:ascii="Arial" w:cs="Arial" w:eastAsia="Arial" w:hAnsi="Arial"/>
          <w:sz w:val="15"/>
          <w:szCs w:val="15"/>
          <w:color w:val="auto"/>
        </w:rPr>
      </w:pPr>
      <w:r>
        <w:rPr>
          <w:rFonts w:ascii="Arial" w:cs="Arial" w:eastAsia="Arial" w:hAnsi="Arial"/>
          <w:sz w:val="15"/>
          <w:szCs w:val="15"/>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46" w:lineRule="exact"/>
        <w:rPr>
          <w:rFonts w:ascii="Arial" w:cs="Arial" w:eastAsia="Arial" w:hAnsi="Arial"/>
          <w:sz w:val="15"/>
          <w:szCs w:val="15"/>
          <w:color w:val="auto"/>
        </w:rPr>
      </w:pPr>
    </w:p>
    <w:p>
      <w:pPr>
        <w:ind w:left="113" w:right="60" w:firstLine="229"/>
        <w:spacing w:after="0" w:line="265" w:lineRule="auto"/>
        <w:tabs>
          <w:tab w:leader="none" w:pos="5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73" w:lineRule="exact"/>
        <w:rPr>
          <w:rFonts w:ascii="Arial" w:cs="Arial" w:eastAsia="Arial" w:hAnsi="Arial"/>
          <w:sz w:val="18"/>
          <w:szCs w:val="18"/>
          <w:color w:val="auto"/>
        </w:rPr>
      </w:pPr>
    </w:p>
    <w:p>
      <w:pPr>
        <w:ind w:left="113" w:right="260" w:firstLine="229"/>
        <w:spacing w:after="0" w:line="252" w:lineRule="auto"/>
        <w:tabs>
          <w:tab w:leader="none" w:pos="5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85" w:lineRule="exact"/>
        <w:rPr>
          <w:rFonts w:ascii="Arial" w:cs="Arial" w:eastAsia="Arial" w:hAnsi="Arial"/>
          <w:sz w:val="18"/>
          <w:szCs w:val="18"/>
          <w:color w:val="auto"/>
        </w:rPr>
      </w:pPr>
    </w:p>
    <w:p>
      <w:pPr>
        <w:ind w:left="173" w:hanging="173"/>
        <w:spacing w:after="0"/>
        <w:tabs>
          <w:tab w:leader="none" w:pos="173" w:val="left"/>
        </w:tabs>
        <w:numPr>
          <w:ilvl w:val="0"/>
          <w:numId w:val="71"/>
        </w:numPr>
        <w:rPr>
          <w:rFonts w:ascii="Arial" w:cs="Arial" w:eastAsia="Arial" w:hAnsi="Arial"/>
          <w:sz w:val="15"/>
          <w:szCs w:val="15"/>
          <w:color w:val="auto"/>
        </w:rPr>
      </w:pPr>
      <w:r>
        <w:rPr>
          <w:rFonts w:ascii="Arial" w:cs="Arial" w:eastAsia="Arial" w:hAnsi="Arial"/>
          <w:sz w:val="15"/>
          <w:szCs w:val="15"/>
          <w:color w:val="auto"/>
        </w:rPr>
        <w:t>Covenants of the Underwriters. In further consideration of the agreements of the Issuers herein contained, each Underwriter severally covenants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418465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73"/>
          </w:cols>
          <w:pgMar w:left="467" w:top="923" w:right="259" w:bottom="1440" w:gutter="0" w:footer="0" w:header="0"/>
        </w:sectPr>
      </w:pPr>
    </w:p>
    <w:bookmarkStart w:id="98" w:name="page99"/>
    <w:bookmarkEnd w:id="98"/>
    <w:p>
      <w:pPr>
        <w:ind w:left="113" w:right="420" w:firstLine="229"/>
        <w:spacing w:after="0" w:line="255" w:lineRule="auto"/>
        <w:tabs>
          <w:tab w:leader="none" w:pos="574"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82" w:lineRule="exact"/>
        <w:rPr>
          <w:rFonts w:ascii="Arial" w:cs="Arial" w:eastAsia="Arial" w:hAnsi="Arial"/>
          <w:sz w:val="18"/>
          <w:szCs w:val="18"/>
          <w:color w:val="auto"/>
        </w:rPr>
      </w:pPr>
    </w:p>
    <w:p>
      <w:pPr>
        <w:ind w:left="593" w:hanging="251"/>
        <w:spacing w:after="0"/>
        <w:tabs>
          <w:tab w:leader="none" w:pos="5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111" w:lineRule="exact"/>
        <w:rPr>
          <w:rFonts w:ascii="Arial" w:cs="Arial" w:eastAsia="Arial" w:hAnsi="Arial"/>
          <w:sz w:val="18"/>
          <w:szCs w:val="18"/>
          <w:color w:val="auto"/>
        </w:rPr>
      </w:pPr>
    </w:p>
    <w:p>
      <w:pPr>
        <w:ind w:left="473" w:firstLine="212"/>
        <w:spacing w:after="0" w:line="255" w:lineRule="auto"/>
        <w:tabs>
          <w:tab w:leader="none" w:pos="905" w:val="left"/>
        </w:tabs>
        <w:numPr>
          <w:ilvl w:val="2"/>
          <w:numId w:val="72"/>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the Underwriting Agreement or otherwise permitted under Rule 134 of the Securities Act;</w:t>
      </w:r>
    </w:p>
    <w:p>
      <w:pPr>
        <w:spacing w:after="0" w:line="82" w:lineRule="exact"/>
        <w:rPr>
          <w:rFonts w:ascii="Arial" w:cs="Arial" w:eastAsia="Arial" w:hAnsi="Arial"/>
          <w:sz w:val="18"/>
          <w:szCs w:val="18"/>
          <w:color w:val="auto"/>
        </w:rPr>
      </w:pPr>
    </w:p>
    <w:p>
      <w:pPr>
        <w:ind w:left="473" w:right="380" w:firstLine="212"/>
        <w:spacing w:after="0" w:line="366" w:lineRule="auto"/>
        <w:tabs>
          <w:tab w:leader="none" w:pos="954" w:val="left"/>
        </w:tabs>
        <w:numPr>
          <w:ilvl w:val="2"/>
          <w:numId w:val="72"/>
        </w:numPr>
        <w:rPr>
          <w:rFonts w:ascii="Arial" w:cs="Arial" w:eastAsia="Arial" w:hAnsi="Arial"/>
          <w:sz w:val="15"/>
          <w:szCs w:val="15"/>
          <w:color w:val="auto"/>
        </w:rPr>
      </w:pPr>
      <w:r>
        <w:rPr>
          <w:rFonts w:ascii="Arial" w:cs="Arial" w:eastAsia="Arial" w:hAnsi="Arial"/>
          <w:sz w:val="15"/>
          <w:szCs w:val="15"/>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4" w:lineRule="exact"/>
        <w:rPr>
          <w:rFonts w:ascii="Arial" w:cs="Arial" w:eastAsia="Arial" w:hAnsi="Arial"/>
          <w:sz w:val="15"/>
          <w:szCs w:val="15"/>
          <w:color w:val="auto"/>
        </w:rPr>
      </w:pPr>
    </w:p>
    <w:p>
      <w:pPr>
        <w:ind w:left="993" w:hanging="308"/>
        <w:spacing w:after="0"/>
        <w:tabs>
          <w:tab w:leader="none" w:pos="993" w:val="left"/>
        </w:tabs>
        <w:numPr>
          <w:ilvl w:val="2"/>
          <w:numId w:val="72"/>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the Underwriting Agreement as forming part of the Time of Sale Prospectus.</w:t>
      </w:r>
    </w:p>
    <w:p>
      <w:pPr>
        <w:spacing w:after="0" w:line="111" w:lineRule="exact"/>
        <w:rPr>
          <w:rFonts w:ascii="Arial" w:cs="Arial" w:eastAsia="Arial" w:hAnsi="Arial"/>
          <w:sz w:val="18"/>
          <w:szCs w:val="18"/>
          <w:color w:val="auto"/>
        </w:rPr>
      </w:pPr>
    </w:p>
    <w:p>
      <w:pPr>
        <w:ind w:left="-227" w:right="100" w:firstLine="227"/>
        <w:spacing w:after="0" w:line="303" w:lineRule="auto"/>
        <w:tabs>
          <w:tab w:leader="none" w:pos="171"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Indemnification and Contribution. The Issuers, jointly and severally, agree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Time of Sale Prospectus (as amended or supplemented), any issuer free writing prospectus that the Issuers have filed or are required to file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the Time of Sale Prospectus or the Prospectus shall not inure to the benefit of any Underwriter from whom the person asserting any such losses, claims, damages or liabilities purchased Offered Securities, or any person controlling any such Underwriter, if a copy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357505</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93"/>
          </w:cols>
          <w:pgMar w:left="467" w:top="923" w:right="239" w:bottom="1440" w:gutter="0" w:footer="0" w:header="0"/>
        </w:sectPr>
      </w:pPr>
    </w:p>
    <w:bookmarkStart w:id="99" w:name="page100"/>
    <w:bookmarkEnd w:id="99"/>
    <w:p>
      <w:pPr>
        <w:spacing w:after="0" w:line="269" w:lineRule="auto"/>
        <w:rPr>
          <w:sz w:val="20"/>
          <w:szCs w:val="20"/>
          <w:color w:val="auto"/>
        </w:rPr>
      </w:pPr>
      <w:r>
        <w:rPr>
          <w:rFonts w:ascii="Arial" w:cs="Arial" w:eastAsia="Arial" w:hAnsi="Arial"/>
          <w:sz w:val="17"/>
          <w:szCs w:val="17"/>
          <w:color w:val="auto"/>
        </w:rPr>
        <w:t>preliminary prospectus, any issuer free writing prospectus, the Time of Sale Prospectus or the Prospectus (as then amended or supplemented if the Company shall have furnished any amendments or supplements thereto) was not sent or given by or on behalf of such Underwriter to such person, if required by law so to have been delivered, at or prior to the entry into the contract of sale of Offered Securities with such person, and if the preliminary prospectus, any issuer free writing prospectus, the Time of Sale Prospectus or the Prospectus (as so amended or supplemented but without reference to documents incorporated by reference therein) would have cured the defect giving rise to such loss, claim, damage or liability.</w:t>
      </w:r>
    </w:p>
    <w:p>
      <w:pPr>
        <w:spacing w:after="0" w:line="71" w:lineRule="exact"/>
        <w:rPr>
          <w:sz w:val="20"/>
          <w:szCs w:val="20"/>
          <w:color w:val="auto"/>
        </w:rPr>
      </w:pPr>
    </w:p>
    <w:p>
      <w:pPr>
        <w:ind w:right="80" w:firstLine="221"/>
        <w:spacing w:after="0" w:line="269" w:lineRule="auto"/>
        <w:rPr>
          <w:sz w:val="20"/>
          <w:szCs w:val="20"/>
          <w:color w:val="auto"/>
        </w:rPr>
      </w:pPr>
      <w:r>
        <w:rPr>
          <w:rFonts w:ascii="Arial" w:cs="Arial" w:eastAsia="Arial" w:hAnsi="Arial"/>
          <w:sz w:val="17"/>
          <w:szCs w:val="17"/>
          <w:color w:val="auto"/>
        </w:rPr>
        <w:t>Each Underwriter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Time of Sale Prospectus, any issuer free writing prospectus, the Prospectus or any amendment or supplement thereto.</w:t>
      </w:r>
    </w:p>
    <w:p>
      <w:pPr>
        <w:spacing w:after="0" w:line="71" w:lineRule="exact"/>
        <w:rPr>
          <w:sz w:val="20"/>
          <w:szCs w:val="20"/>
          <w:color w:val="auto"/>
        </w:rPr>
      </w:pPr>
    </w:p>
    <w:p>
      <w:pPr>
        <w:ind w:right="20" w:firstLine="221"/>
        <w:spacing w:after="0" w:line="263"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00" w:name="page101"/>
    <w:bookmarkEnd w:id="100"/>
    <w:p>
      <w:pPr>
        <w:ind w:right="80"/>
        <w:spacing w:after="0" w:line="249" w:lineRule="auto"/>
        <w:rPr>
          <w:sz w:val="20"/>
          <w:szCs w:val="20"/>
          <w:color w:val="auto"/>
        </w:rPr>
      </w:pPr>
      <w:r>
        <w:rPr>
          <w:rFonts w:ascii="Arial" w:cs="Arial" w:eastAsia="Arial" w:hAnsi="Arial"/>
          <w:sz w:val="18"/>
          <w:szCs w:val="18"/>
          <w:color w:val="auto"/>
        </w:rPr>
        <w:t>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90" w:lineRule="exact"/>
        <w:rPr>
          <w:sz w:val="20"/>
          <w:szCs w:val="20"/>
          <w:color w:val="auto"/>
        </w:rPr>
      </w:pPr>
    </w:p>
    <w:p>
      <w:pPr>
        <w:ind w:right="40" w:firstLine="221"/>
        <w:spacing w:after="0" w:line="298" w:lineRule="auto"/>
        <w:rPr>
          <w:sz w:val="20"/>
          <w:szCs w:val="20"/>
          <w:color w:val="auto"/>
        </w:rPr>
      </w:pPr>
      <w:r>
        <w:rPr>
          <w:rFonts w:ascii="Arial" w:cs="Arial" w:eastAsia="Arial" w:hAnsi="Arial"/>
          <w:sz w:val="15"/>
          <w:szCs w:val="15"/>
          <w:color w:val="auto"/>
        </w:rPr>
        <w:t>If the indemnification provided for in the second or third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w:t>
      </w:r>
    </w:p>
    <w:p>
      <w:pPr>
        <w:spacing w:after="0" w:line="1" w:lineRule="exact"/>
        <w:rPr>
          <w:sz w:val="20"/>
          <w:szCs w:val="20"/>
          <w:color w:val="auto"/>
        </w:rPr>
      </w:pPr>
    </w:p>
    <w:p>
      <w:pPr>
        <w:ind w:right="60" w:firstLine="6"/>
        <w:spacing w:after="0" w:line="263" w:lineRule="auto"/>
        <w:tabs>
          <w:tab w:leader="none" w:pos="2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80"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01" w:name="page102"/>
    <w:bookmarkEnd w:id="101"/>
    <w:p>
      <w:pPr>
        <w:ind w:right="20"/>
        <w:spacing w:after="0" w:line="252" w:lineRule="auto"/>
        <w:rPr>
          <w:sz w:val="20"/>
          <w:szCs w:val="20"/>
          <w:color w:val="auto"/>
        </w:rPr>
      </w:pPr>
      <w:r>
        <w:rPr>
          <w:rFonts w:ascii="Arial" w:cs="Arial" w:eastAsia="Arial" w:hAnsi="Arial"/>
          <w:sz w:val="18"/>
          <w:szCs w:val="18"/>
          <w:color w:val="auto"/>
        </w:rPr>
        <w:t>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85" w:lineRule="exact"/>
        <w:rPr>
          <w:sz w:val="20"/>
          <w:szCs w:val="20"/>
          <w:color w:val="auto"/>
        </w:rPr>
      </w:pPr>
    </w:p>
    <w:p>
      <w:pPr>
        <w:ind w:right="60" w:firstLine="218"/>
        <w:spacing w:after="0" w:line="252" w:lineRule="auto"/>
        <w:rPr>
          <w:sz w:val="20"/>
          <w:szCs w:val="20"/>
          <w:color w:val="auto"/>
        </w:rPr>
      </w:pPr>
      <w:r>
        <w:rPr>
          <w:rFonts w:ascii="Arial" w:cs="Arial" w:eastAsia="Arial" w:hAnsi="Arial"/>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85" w:lineRule="exact"/>
        <w:rPr>
          <w:sz w:val="20"/>
          <w:szCs w:val="20"/>
          <w:color w:val="auto"/>
        </w:rPr>
      </w:pPr>
    </w:p>
    <w:p>
      <w:pPr>
        <w:ind w:left="400" w:hanging="173"/>
        <w:spacing w:after="0"/>
        <w:tabs>
          <w:tab w:leader="none" w:pos="4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Termination. This Agreement shall be subject to termination in the absolute discretion of the Managers by notice given by the Managers to the Issuers, if</w:t>
      </w:r>
    </w:p>
    <w:p>
      <w:pPr>
        <w:spacing w:after="0" w:line="50" w:lineRule="exact"/>
        <w:rPr>
          <w:rFonts w:ascii="Arial" w:cs="Arial" w:eastAsia="Arial" w:hAnsi="Arial"/>
          <w:sz w:val="15"/>
          <w:szCs w:val="15"/>
          <w:color w:val="auto"/>
        </w:rPr>
      </w:pPr>
    </w:p>
    <w:p>
      <w:pPr>
        <w:ind w:firstLine="6"/>
        <w:spacing w:after="0" w:line="263" w:lineRule="auto"/>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after the Applicable Time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Time of Sale Prospectus.</w:t>
      </w:r>
    </w:p>
    <w:p>
      <w:pPr>
        <w:spacing w:after="0" w:line="80" w:lineRule="exact"/>
        <w:rPr>
          <w:sz w:val="20"/>
          <w:szCs w:val="20"/>
          <w:color w:val="auto"/>
        </w:rPr>
      </w:pPr>
    </w:p>
    <w:p>
      <w:pPr>
        <w:ind w:firstLine="218"/>
        <w:spacing w:after="0" w:line="298" w:lineRule="auto"/>
        <w:rPr>
          <w:sz w:val="20"/>
          <w:szCs w:val="20"/>
          <w:color w:val="auto"/>
        </w:rPr>
      </w:pPr>
      <w:r>
        <w:rPr>
          <w:rFonts w:ascii="Arial" w:cs="Arial" w:eastAsia="Arial" w:hAnsi="Arial"/>
          <w:sz w:val="15"/>
          <w:szCs w:val="15"/>
          <w:color w:val="auto"/>
        </w:rPr>
        <w:t>The Issuers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the Time of Sale Prospectus, any free writing prospectus and the Prospectus and any amendments or supplements thereto, and the cost of furnishing copies thereto to the Underwriters, (b) the preparation, printing and distribution of this Agreement, the Senior Indenture, the Subordinated Indenture, the Warrant Agreement, the Unit Agreement and the Additional Guarantee, if any, and Blue Sky Memorandum, (c) the delivery of the Offered Securities to the Underwriters,</w:t>
      </w:r>
    </w:p>
    <w:p>
      <w:pPr>
        <w:spacing w:after="0" w:line="1" w:lineRule="exact"/>
        <w:rPr>
          <w:sz w:val="20"/>
          <w:szCs w:val="20"/>
          <w:color w:val="auto"/>
        </w:rPr>
      </w:pPr>
    </w:p>
    <w:p>
      <w:pPr>
        <w:ind w:right="520" w:firstLine="6"/>
        <w:spacing w:after="0" w:line="350" w:lineRule="auto"/>
        <w:tabs>
          <w:tab w:leader="none" w:pos="25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reasonable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02" w:name="page103"/>
    <w:bookmarkEnd w:id="102"/>
    <w:p>
      <w:pPr>
        <w:ind w:right="100"/>
        <w:spacing w:after="0" w:line="303" w:lineRule="auto"/>
        <w:rPr>
          <w:sz w:val="20"/>
          <w:szCs w:val="20"/>
          <w:color w:val="auto"/>
        </w:rPr>
      </w:pPr>
      <w:r>
        <w:rPr>
          <w:rFonts w:ascii="Arial" w:cs="Arial" w:eastAsia="Arial" w:hAnsi="Arial"/>
          <w:sz w:val="15"/>
          <w:szCs w:val="15"/>
          <w:color w:val="auto"/>
        </w:rPr>
        <w:t>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w:t>
      </w:r>
    </w:p>
    <w:p>
      <w:pPr>
        <w:ind w:right="560" w:firstLine="6"/>
        <w:spacing w:after="0" w:line="270" w:lineRule="auto"/>
        <w:tabs>
          <w:tab w:leader="none" w:pos="25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71" w:lineRule="exact"/>
        <w:rPr>
          <w:sz w:val="20"/>
          <w:szCs w:val="20"/>
          <w:color w:val="auto"/>
        </w:rPr>
      </w:pPr>
    </w:p>
    <w:p>
      <w:pPr>
        <w:ind w:right="20" w:firstLine="221"/>
        <w:spacing w:after="0" w:line="318" w:lineRule="auto"/>
        <w:rPr>
          <w:sz w:val="20"/>
          <w:szCs w:val="20"/>
          <w:color w:val="auto"/>
        </w:rPr>
      </w:pPr>
      <w:r>
        <w:rPr>
          <w:rFonts w:ascii="Arial" w:cs="Arial" w:eastAsia="Arial" w:hAnsi="Arial"/>
          <w:sz w:val="15"/>
          <w:szCs w:val="15"/>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40" w:lineRule="exact"/>
        <w:rPr>
          <w:sz w:val="20"/>
          <w:szCs w:val="20"/>
          <w:color w:val="auto"/>
        </w:rPr>
      </w:pPr>
    </w:p>
    <w:p>
      <w:pPr>
        <w:ind w:firstLine="227"/>
        <w:spacing w:after="0" w:line="301" w:lineRule="auto"/>
        <w:tabs>
          <w:tab w:leader="none" w:pos="398" w:val="left"/>
        </w:tabs>
        <w:numPr>
          <w:ilvl w:val="0"/>
          <w:numId w:val="79"/>
        </w:numPr>
        <w:rPr>
          <w:rFonts w:ascii="Arial" w:cs="Arial" w:eastAsia="Arial" w:hAnsi="Arial"/>
          <w:sz w:val="15"/>
          <w:szCs w:val="15"/>
          <w:color w:val="auto"/>
        </w:rPr>
      </w:pPr>
      <w:r>
        <w:rPr>
          <w:rFonts w:ascii="Arial" w:cs="Arial" w:eastAsia="Arial" w:hAnsi="Arial"/>
          <w:sz w:val="15"/>
          <w:szCs w:val="15"/>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493395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paragraph shall not relieve any defaulting Underwriter from liability in respect of any default of such Underwriter under this Agreement.</w:t>
      </w:r>
    </w:p>
    <w:p>
      <w:pPr>
        <w:spacing w:after="0" w:line="111" w:lineRule="exact"/>
        <w:rPr>
          <w:sz w:val="20"/>
          <w:szCs w:val="20"/>
          <w:color w:val="auto"/>
        </w:rPr>
      </w:pPr>
    </w:p>
    <w:p>
      <w:pPr>
        <w:ind w:firstLine="227"/>
        <w:spacing w:after="0" w:line="265" w:lineRule="auto"/>
        <w:tabs>
          <w:tab w:leader="none" w:pos="4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73" w:lineRule="exact"/>
        <w:rPr>
          <w:rFonts w:ascii="Arial" w:cs="Arial" w:eastAsia="Arial" w:hAnsi="Arial"/>
          <w:sz w:val="18"/>
          <w:szCs w:val="18"/>
          <w:color w:val="auto"/>
        </w:rPr>
      </w:pPr>
    </w:p>
    <w:p>
      <w:pPr>
        <w:ind w:left="480" w:hanging="253"/>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Applicable Law. This Agreement shall be governed by and construed in accordance with the internal laws of the State of New York.</w:t>
      </w:r>
    </w:p>
    <w:p>
      <w:pPr>
        <w:spacing w:after="0" w:line="111" w:lineRule="exact"/>
        <w:rPr>
          <w:rFonts w:ascii="Arial" w:cs="Arial" w:eastAsia="Arial" w:hAnsi="Arial"/>
          <w:sz w:val="18"/>
          <w:szCs w:val="18"/>
          <w:color w:val="auto"/>
        </w:rPr>
      </w:pPr>
    </w:p>
    <w:p>
      <w:pPr>
        <w:ind w:right="360" w:firstLine="227"/>
        <w:spacing w:after="0" w:line="265" w:lineRule="auto"/>
        <w:tabs>
          <w:tab w:leader="none" w:pos="4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Headings. The headings of the sections of this Agreement have been inserted for convenience of reference only and shall not be deemed a part of this Agreement.</w:t>
      </w:r>
    </w:p>
    <w:p>
      <w:pPr>
        <w:sectPr>
          <w:pgSz w:w="11900" w:h="16838" w:orient="portrait"/>
          <w:cols w:equalWidth="0" w:num="1">
            <w:col w:w="11420"/>
          </w:cols>
          <w:pgMar w:left="240" w:top="92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Depositary Shares, Common Stock)</w:t>
      </w:r>
    </w:p>
    <w:p>
      <w:pPr>
        <w:spacing w:after="0" w:line="200" w:lineRule="exact"/>
        <w:rPr>
          <w:sz w:val="20"/>
          <w:szCs w:val="20"/>
          <w:color w:val="auto"/>
        </w:rPr>
      </w:pPr>
    </w:p>
    <w:p>
      <w:pPr>
        <w:jc w:val="both"/>
        <w:ind w:left="10420"/>
        <w:spacing w:after="0"/>
        <w:tabs>
          <w:tab w:leader="none" w:pos="113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05" w:lineRule="exact"/>
        <w:rPr>
          <w:sz w:val="20"/>
          <w:szCs w:val="20"/>
          <w:color w:val="auto"/>
        </w:rPr>
      </w:pPr>
    </w:p>
    <w:p>
      <w:pPr>
        <w:ind w:right="80" w:firstLine="218"/>
        <w:spacing w:after="0" w:line="311" w:lineRule="auto"/>
        <w:rPr>
          <w:sz w:val="20"/>
          <w:szCs w:val="20"/>
          <w:color w:val="auto"/>
        </w:rPr>
      </w:pPr>
      <w:r>
        <w:rPr>
          <w:rFonts w:ascii="Arial" w:cs="Arial" w:eastAsia="Arial" w:hAnsi="Arial"/>
          <w:sz w:val="15"/>
          <w:szCs w:val="15"/>
          <w:color w:val="auto"/>
        </w:rPr>
        <w:t>We (the “</w:t>
      </w:r>
      <w:r>
        <w:rPr>
          <w:rFonts w:ascii="Arial" w:cs="Arial" w:eastAsia="Arial" w:hAnsi="Arial"/>
          <w:sz w:val="15"/>
          <w:szCs w:val="15"/>
          <w:b w:val="1"/>
          <w:bCs w:val="1"/>
          <w:color w:val="auto"/>
        </w:rPr>
        <w:t>Manager</w:t>
      </w:r>
      <w:r>
        <w:rPr>
          <w:rFonts w:ascii="Arial" w:cs="Arial" w:eastAsia="Arial" w:hAnsi="Arial"/>
          <w:sz w:val="15"/>
          <w:szCs w:val="15"/>
          <w:color w:val="auto"/>
        </w:rPr>
        <w:t>”) are acting on behalf of the underwriter or underwriters (including ourselves) named below (such underwriter or underwriters being herein called the “</w:t>
      </w:r>
      <w:r>
        <w:rPr>
          <w:rFonts w:ascii="Arial" w:cs="Arial" w:eastAsia="Arial" w:hAnsi="Arial"/>
          <w:sz w:val="15"/>
          <w:szCs w:val="15"/>
          <w:b w:val="1"/>
          <w:bCs w:val="1"/>
          <w:color w:val="auto"/>
        </w:rPr>
        <w:t>Underwriters</w:t>
      </w:r>
      <w:r>
        <w:rPr>
          <w:rFonts w:ascii="Arial" w:cs="Arial" w:eastAsia="Arial" w:hAnsi="Arial"/>
          <w:sz w:val="15"/>
          <w:szCs w:val="15"/>
          <w:color w:val="auto"/>
        </w:rPr>
        <w:t>”), and we understand that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 the number of shares of its securities identified as Firm Securities herein (the "</w:t>
      </w:r>
      <w:r>
        <w:rPr>
          <w:rFonts w:ascii="Arial" w:cs="Arial" w:eastAsia="Arial" w:hAnsi="Arial"/>
          <w:sz w:val="15"/>
          <w:szCs w:val="15"/>
          <w:b w:val="1"/>
          <w:bCs w:val="1"/>
          <w:color w:val="auto"/>
        </w:rPr>
        <w:t>Firm Securities</w:t>
      </w:r>
      <w:r>
        <w:rPr>
          <w:rFonts w:ascii="Arial" w:cs="Arial" w:eastAsia="Arial" w:hAnsi="Arial"/>
          <w:sz w:val="15"/>
          <w:szCs w:val="15"/>
          <w:color w:val="auto"/>
        </w:rPr>
        <w:t>”). The Company also proposes to issue and sell not more than the number of shares of its securities, if any, identified as Additional Securities herein (the “</w:t>
      </w:r>
      <w:r>
        <w:rPr>
          <w:rFonts w:ascii="Arial" w:cs="Arial" w:eastAsia="Arial" w:hAnsi="Arial"/>
          <w:sz w:val="15"/>
          <w:szCs w:val="15"/>
          <w:b w:val="1"/>
          <w:bCs w:val="1"/>
          <w:color w:val="auto"/>
        </w:rPr>
        <w:t>Additional Securities</w:t>
      </w:r>
      <w:r>
        <w:rPr>
          <w:rFonts w:ascii="Arial" w:cs="Arial" w:eastAsia="Arial" w:hAnsi="Arial"/>
          <w:sz w:val="15"/>
          <w:szCs w:val="15"/>
          <w:color w:val="auto"/>
        </w:rPr>
        <w:t>”), if and to the extent that we, as Manager of this offering, shall have determined to exercise, on behalf of the Underwriters, the right to purchase such Additional Securities granted to the Underwriters herein. The Firm Securities and the Additional Securities are hereinafter collectively referred to as the “</w:t>
      </w:r>
      <w:r>
        <w:rPr>
          <w:rFonts w:ascii="Arial" w:cs="Arial" w:eastAsia="Arial" w:hAnsi="Arial"/>
          <w:sz w:val="15"/>
          <w:szCs w:val="15"/>
          <w:b w:val="1"/>
          <w:bCs w:val="1"/>
          <w:color w:val="auto"/>
        </w:rPr>
        <w:t>Offered Securities</w:t>
      </w:r>
      <w:r>
        <w:rPr>
          <w:rFonts w:ascii="Arial" w:cs="Arial" w:eastAsia="Arial" w:hAnsi="Arial"/>
          <w:sz w:val="15"/>
          <w:szCs w:val="15"/>
          <w:color w:val="auto"/>
        </w:rPr>
        <w:t>.”</w:t>
      </w:r>
    </w:p>
    <w:p>
      <w:pPr>
        <w:spacing w:after="0" w:line="44"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Subject to the terms and conditions set forth or incorporated by reference herein, the Company hereby agrees to sell and the Underwriters agree to purchase, severally and not jointly, the aggregate principal amount of the Firm Securities set forth below opposite their names at a purchase price of $[ ], per Firm Security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Number of</w:t>
            </w:r>
          </w:p>
        </w:tc>
      </w:tr>
      <w:tr>
        <w:trPr>
          <w:trHeight w:val="146"/>
        </w:trPr>
        <w:tc>
          <w:tcPr>
            <w:tcW w:w="9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94"/>
              </w:rPr>
              <w:t>Firm Securities</w:t>
            </w:r>
          </w:p>
        </w:tc>
      </w:tr>
      <w:tr>
        <w:trPr>
          <w:trHeight w:val="164"/>
        </w:trPr>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w:t>
            </w:r>
          </w:p>
        </w:tc>
        <w:tc>
          <w:tcPr>
            <w:tcW w:w="5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To Be Purchased</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[Insert syndicate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6579235</wp:posOffset>
            </wp:positionH>
            <wp:positionV relativeFrom="paragraph">
              <wp:posOffset>146050</wp:posOffset>
            </wp:positionV>
            <wp:extent cx="6064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642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6579235</wp:posOffset>
            </wp:positionH>
            <wp:positionV relativeFrom="paragraph">
              <wp:posOffset>11430</wp:posOffset>
            </wp:positionV>
            <wp:extent cx="6064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6425" cy="8255"/>
                    </a:xfrm>
                    <a:prstGeom prst="rect">
                      <a:avLst/>
                    </a:prstGeom>
                    <a:noFill/>
                  </pic:spPr>
                </pic:pic>
              </a:graphicData>
            </a:graphic>
          </wp:anchor>
        </w:drawing>
        <w:drawing>
          <wp:anchor simplePos="0" relativeHeight="251657728" behindDoc="1" locked="0" layoutInCell="0" allowOverlap="1">
            <wp:simplePos x="0" y="0"/>
            <wp:positionH relativeFrom="column">
              <wp:posOffset>6579235</wp:posOffset>
            </wp:positionH>
            <wp:positionV relativeFrom="paragraph">
              <wp:posOffset>27940</wp:posOffset>
            </wp:positionV>
            <wp:extent cx="6064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6425" cy="8255"/>
                    </a:xfrm>
                    <a:prstGeom prst="rect">
                      <a:avLst/>
                    </a:prstGeom>
                    <a:noFill/>
                  </pic:spPr>
                </pic:pic>
              </a:graphicData>
            </a:graphic>
          </wp:anchor>
        </w:drawing>
      </w:r>
    </w:p>
    <w:p>
      <w:pPr>
        <w:spacing w:after="0" w:line="144" w:lineRule="exact"/>
        <w:rPr>
          <w:sz w:val="20"/>
          <w:szCs w:val="20"/>
          <w:color w:val="auto"/>
        </w:rPr>
      </w:pPr>
    </w:p>
    <w:p>
      <w:pPr>
        <w:ind w:firstLine="221"/>
        <w:spacing w:after="0" w:line="303" w:lineRule="auto"/>
        <w:rPr>
          <w:sz w:val="20"/>
          <w:szCs w:val="20"/>
          <w:color w:val="auto"/>
        </w:rPr>
      </w:pPr>
      <w:r>
        <w:rPr>
          <w:rFonts w:ascii="Arial" w:cs="Arial" w:eastAsia="Arial" w:hAnsi="Arial"/>
          <w:sz w:val="15"/>
          <w:szCs w:val="15"/>
          <w:color w:val="auto"/>
        </w:rPr>
        <w:t>Subject to the terms and conditions set forth or incorporated by reference herein, the Company hereby agrees to sell to the Underwriters the Additional Securities, and the Underwriters shall have a one-time right to purchase, severally and not jointly, up to the number of Additional Securities set forth below at the</w:t>
      </w:r>
    </w:p>
    <w:p>
      <w:pPr>
        <w:ind w:right="320"/>
        <w:spacing w:after="0" w:line="350" w:lineRule="auto"/>
        <w:rPr>
          <w:sz w:val="20"/>
          <w:szCs w:val="20"/>
          <w:color w:val="auto"/>
        </w:rPr>
      </w:pPr>
      <w:r>
        <w:rPr>
          <w:rFonts w:ascii="Arial" w:cs="Arial" w:eastAsia="Arial" w:hAnsi="Arial"/>
          <w:sz w:val="15"/>
          <w:szCs w:val="15"/>
          <w:color w:val="auto"/>
        </w:rPr>
        <w:t>Purchase Price [plus accrued dividends, if any, from [ ] to the date of payment and delivery]. Additional Securities may be purchased as provided herein solely for the purpose of covering over-allotments made in connection with the offering of the Firm Securities. If any Additional Securities are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05" w:name="page106"/>
    <w:bookmarkEnd w:id="105"/>
    <w:p>
      <w:pPr>
        <w:ind w:right="80"/>
        <w:spacing w:after="0" w:line="277" w:lineRule="auto"/>
        <w:rPr>
          <w:sz w:val="20"/>
          <w:szCs w:val="20"/>
          <w:color w:val="auto"/>
        </w:rPr>
      </w:pPr>
      <w:r>
        <w:rPr>
          <w:rFonts w:ascii="Arial" w:cs="Arial" w:eastAsia="Arial" w:hAnsi="Arial"/>
          <w:sz w:val="17"/>
          <w:szCs w:val="17"/>
          <w:color w:val="auto"/>
        </w:rPr>
        <w:t>purchased, each Underwriter agrees, severally and not jointly, to purchase the number of Additional Securities (subject to such adjustments to eliminate fractional Offered Securities as you may determine) that bears the same proportion to the total number of Additional Securities to be purchased as the amount of Firm Securities set forth opposite the name of such Underwriter above bears to the total amount of Firm Securities.</w:t>
      </w:r>
    </w:p>
    <w:p>
      <w:pPr>
        <w:spacing w:after="0" w:line="66" w:lineRule="exact"/>
        <w:rPr>
          <w:sz w:val="20"/>
          <w:szCs w:val="20"/>
          <w:color w:val="auto"/>
        </w:rPr>
      </w:pPr>
    </w:p>
    <w:p>
      <w:pPr>
        <w:ind w:left="220"/>
        <w:spacing w:after="0"/>
        <w:tabs>
          <w:tab w:leader="none" w:pos="5720" w:val="left"/>
        </w:tabs>
        <w:rPr>
          <w:sz w:val="20"/>
          <w:szCs w:val="20"/>
          <w:color w:val="auto"/>
        </w:rPr>
      </w:pPr>
      <w:r>
        <w:rPr>
          <w:rFonts w:ascii="Arial" w:cs="Arial" w:eastAsia="Arial" w:hAnsi="Arial"/>
          <w:sz w:val="18"/>
          <w:szCs w:val="18"/>
          <w:color w:val="auto"/>
        </w:rPr>
        <w:t>For purposes of the Underwriting Agreement, Applicable Time means [</w:t>
      </w:r>
      <w:r>
        <w:rPr>
          <w:sz w:val="20"/>
          <w:szCs w:val="20"/>
          <w:color w:val="auto"/>
        </w:rPr>
        <w:tab/>
      </w:r>
      <w:r>
        <w:rPr>
          <w:rFonts w:ascii="Arial" w:cs="Arial" w:eastAsia="Arial" w:hAnsi="Arial"/>
          <w:sz w:val="15"/>
          <w:szCs w:val="15"/>
          <w:color w:val="auto"/>
        </w:rPr>
        <w:t>] (New York time) on the date hereof.</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Underwriters will pay for the Firm Securities upon delivery thereof at the offices of Davis Polk &amp; Wardwell, 1600 El Camino Real, Menlo Park,</w:t>
      </w:r>
    </w:p>
    <w:p>
      <w:pPr>
        <w:spacing w:after="0" w:line="28"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California at 10:00 a.m. (New York time) on [ ], or at such other time, not later than 5:00 p.m. (New York time) on [ ], as shall be designated in writing by the Underwriters and the Company. The time and date of such payment and delivery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63"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color w:val="auto"/>
        </w:rPr>
        <w:t>Payment for any Additional Securities shall be made at the offices referred to above at 10:00 a.m. (New York time), on such date (which may be the same as the Closing Date but shall in no event be earlier than the Closing Date nor later than ten business days after the giving of the notice hereinafter referred to) as shall be designated in a written notice from us to the Company of our determination, on behalf of the Underwriters, to purchase an amount, specified in said notice, of Additional Securities, as shall be designated in writing by us. The time and date of such payment are hereinafter referred to as the “</w:t>
      </w:r>
      <w:r>
        <w:rPr>
          <w:rFonts w:ascii="Arial" w:cs="Arial" w:eastAsia="Arial" w:hAnsi="Arial"/>
          <w:sz w:val="17"/>
          <w:szCs w:val="17"/>
          <w:b w:val="1"/>
          <w:bCs w:val="1"/>
          <w:color w:val="auto"/>
        </w:rPr>
        <w:t>Option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notice of the determination to exercise the option to purchase Additional Securities and of the Option Closing Date may be given at any time within</w:t>
      </w:r>
      <w:r>
        <w:rPr>
          <w:rFonts w:ascii="Arial" w:cs="Arial" w:eastAsia="Arial" w:hAnsi="Arial"/>
          <w:sz w:val="17"/>
          <w:szCs w:val="17"/>
          <w:b w:val="1"/>
          <w:bCs w:val="1"/>
          <w:color w:val="auto"/>
        </w:rPr>
        <w:t xml:space="preserve"> </w:t>
      </w:r>
      <w:r>
        <w:rPr>
          <w:rFonts w:ascii="Arial" w:cs="Arial" w:eastAsia="Arial" w:hAnsi="Arial"/>
          <w:sz w:val="17"/>
          <w:szCs w:val="17"/>
          <w:color w:val="auto"/>
        </w:rPr>
        <w:t>30 days after the date of the Underwriting Agreement.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Pr>
          <w:p>
            <w:pPr>
              <w:ind w:left="220"/>
              <w:spacing w:after="0"/>
              <w:rPr>
                <w:sz w:val="20"/>
                <w:szCs w:val="20"/>
                <w:color w:val="auto"/>
              </w:rPr>
            </w:pPr>
            <w:r>
              <w:rPr>
                <w:rFonts w:ascii="Arial" w:cs="Arial" w:eastAsia="Arial" w:hAnsi="Arial"/>
                <w:sz w:val="18"/>
                <w:szCs w:val="18"/>
                <w:color w:val="auto"/>
                <w:w w:val="95"/>
              </w:rPr>
              <w:t>The Offered Securities shall have the terms set forth in the Prospectus dated [</w:t>
            </w:r>
          </w:p>
        </w:tc>
        <w:tc>
          <w:tcPr>
            <w:tcW w:w="4200" w:type="dxa"/>
            <w:vAlign w:val="bottom"/>
          </w:tcPr>
          <w:p>
            <w:pPr>
              <w:ind w:left="440"/>
              <w:spacing w:after="0"/>
              <w:rPr>
                <w:sz w:val="20"/>
                <w:szCs w:val="20"/>
                <w:color w:val="auto"/>
              </w:rPr>
            </w:pPr>
            <w:r>
              <w:rPr>
                <w:rFonts w:ascii="Arial" w:cs="Arial" w:eastAsia="Arial" w:hAnsi="Arial"/>
                <w:sz w:val="18"/>
                <w:szCs w:val="18"/>
                <w:color w:val="auto"/>
                <w:w w:val="98"/>
              </w:rPr>
              <w:t>], 2006, and the Prospectus Supplement dated [</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including the following:</w:t>
            </w:r>
          </w:p>
        </w:tc>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18"/>
        </w:trPr>
        <w:tc>
          <w:tcPr>
            <w:tcW w:w="6140" w:type="dxa"/>
            <w:vAlign w:val="bottom"/>
          </w:tcPr>
          <w:p>
            <w:pPr>
              <w:spacing w:after="0"/>
              <w:rPr>
                <w:sz w:val="20"/>
                <w:szCs w:val="20"/>
                <w:color w:val="auto"/>
              </w:rPr>
            </w:pPr>
            <w:r>
              <w:rPr>
                <w:rFonts w:ascii="Arial" w:cs="Arial" w:eastAsia="Arial" w:hAnsi="Arial"/>
                <w:sz w:val="18"/>
                <w:szCs w:val="18"/>
                <w:color w:val="auto"/>
              </w:rPr>
              <w:t>Terms of Offered Securities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Aggregate Number of Firm Securities: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Aggregate Number of Additional Securities: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Redemption Provisions: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Conversion Provisions: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Exchange Provisions: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Lock-Up Securities: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Lock-Up Period:</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6140" w:type="dxa"/>
            <w:vAlign w:val="bottom"/>
          </w:tcPr>
          <w:p>
            <w:pPr>
              <w:ind w:left="220"/>
              <w:spacing w:after="0"/>
              <w:rPr>
                <w:sz w:val="20"/>
                <w:szCs w:val="20"/>
                <w:color w:val="auto"/>
              </w:rPr>
            </w:pPr>
            <w:r>
              <w:rPr>
                <w:rFonts w:ascii="Arial" w:cs="Arial" w:eastAsia="Arial" w:hAnsi="Arial"/>
                <w:sz w:val="18"/>
                <w:szCs w:val="18"/>
                <w:color w:val="auto"/>
              </w:rPr>
              <w:t>Additional Provisions:</w:t>
            </w: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21"/>
        </w:trPr>
        <w:tc>
          <w:tcPr>
            <w:tcW w:w="614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06" w:name="page107"/>
    <w:bookmarkEnd w:id="106"/>
    <w:p>
      <w:pPr>
        <w:ind w:left="220" w:right="540" w:firstLine="10"/>
        <w:spacing w:after="0" w:line="398" w:lineRule="auto"/>
        <w:rPr>
          <w:sz w:val="20"/>
          <w:szCs w:val="20"/>
          <w:color w:val="auto"/>
        </w:rPr>
      </w:pPr>
      <w:r>
        <w:rPr>
          <w:rFonts w:ascii="Arial" w:cs="Arial" w:eastAsia="Arial" w:hAnsi="Arial"/>
          <w:sz w:val="15"/>
          <w:szCs w:val="15"/>
          <w:color w:val="auto"/>
        </w:rPr>
        <w:t>[If depositary shares are offered, list beneficial ownership of preferred stock that each depositary share represents and list Deposit Agreement.] Capitalized terms used above and not defined herein shall have the meanings set forth in the Prospectus and Prospectus Supplement referred to above. All communications hereunder shall be in writing and effective only upon receipt and (a) if to the Underwriters, shall be delivered, mailed or sent via</w:t>
      </w:r>
    </w:p>
    <w:p>
      <w:pPr>
        <w:spacing w:after="0" w:line="2" w:lineRule="exact"/>
        <w:rPr>
          <w:sz w:val="20"/>
          <w:szCs w:val="20"/>
          <w:color w:val="auto"/>
        </w:rPr>
      </w:pPr>
    </w:p>
    <w:p>
      <w:pPr>
        <w:spacing w:after="0"/>
        <w:tabs>
          <w:tab w:leader="none" w:pos="1900" w:val="left"/>
          <w:tab w:leader="none" w:pos="3820" w:val="left"/>
          <w:tab w:leader="none" w:pos="5220" w:val="left"/>
        </w:tabs>
        <w:rPr>
          <w:sz w:val="20"/>
          <w:szCs w:val="20"/>
          <w:color w:val="auto"/>
        </w:rPr>
      </w:pPr>
      <w:r>
        <w:rPr>
          <w:rFonts w:ascii="Arial" w:cs="Arial" w:eastAsia="Arial" w:hAnsi="Arial"/>
          <w:sz w:val="18"/>
          <w:szCs w:val="18"/>
          <w:color w:val="auto"/>
        </w:rPr>
        <w:t>facsimile in care of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5"/>
          <w:szCs w:val="15"/>
          <w:color w:val="auto"/>
        </w:rPr>
        <w:t>], or (b) if to the Company, shall be delivered, mailed or sent via facsimile to 1500</w:t>
      </w:r>
    </w:p>
    <w:p>
      <w:pPr>
        <w:spacing w:after="0" w:line="5" w:lineRule="exact"/>
        <w:rPr>
          <w:sz w:val="20"/>
          <w:szCs w:val="20"/>
          <w:color w:val="auto"/>
        </w:rPr>
      </w:pPr>
    </w:p>
    <w:p>
      <w:pPr>
        <w:spacing w:after="0"/>
        <w:tabs>
          <w:tab w:leader="none" w:pos="5300" w:val="left"/>
          <w:tab w:leader="none" w:pos="6720" w:val="left"/>
        </w:tabs>
        <w:rPr>
          <w:sz w:val="20"/>
          <w:szCs w:val="20"/>
          <w:color w:val="auto"/>
        </w:rPr>
      </w:pPr>
      <w:r>
        <w:rPr>
          <w:rFonts w:ascii="Arial" w:cs="Arial" w:eastAsia="Arial" w:hAnsi="Arial"/>
          <w:sz w:val="18"/>
          <w:szCs w:val="18"/>
          <w:color w:val="auto"/>
        </w:rPr>
        <w:t>Market Street, Philadelphia, Pennsylvania 19102,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100" w:lineRule="exact"/>
        <w:rPr>
          <w:sz w:val="20"/>
          <w:szCs w:val="20"/>
          <w:color w:val="auto"/>
        </w:rPr>
      </w:pPr>
    </w:p>
    <w:p>
      <w:pPr>
        <w:ind w:right="20" w:firstLine="218"/>
        <w:spacing w:after="0" w:line="265"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Except as set forth below, all provisions contained in the document entitled Comcast Corporation Underwriting Agreement Standard Provisions (Preferred</w:t>
      </w:r>
    </w:p>
    <w:p>
      <w:pPr>
        <w:spacing w:after="0" w:line="5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Stock, Depositary Shares, Common Stock) dated [ ], (the “</w:t>
      </w:r>
      <w:r>
        <w:rPr>
          <w:rFonts w:ascii="Arial" w:cs="Arial" w:eastAsia="Arial" w:hAnsi="Arial"/>
          <w:sz w:val="15"/>
          <w:szCs w:val="15"/>
          <w:b w:val="1"/>
          <w:bCs w:val="1"/>
          <w:color w:val="auto"/>
        </w:rPr>
        <w:t>Standard Provisions</w:t>
      </w:r>
      <w:r>
        <w:rPr>
          <w:rFonts w:ascii="Arial" w:cs="Arial" w:eastAsia="Arial" w:hAnsi="Arial"/>
          <w:sz w:val="15"/>
          <w:szCs w:val="15"/>
          <w:color w:val="auto"/>
        </w:rPr>
        <w:t>”),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confirm your agreement by having an authorized officer sign a copy of this Agreement in the space set forth below.</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Lead Managers]</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On behalf of themselves and the other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Underwriters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1062355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07" w:name="page108"/>
    <w:bookmarkEnd w:id="107"/>
    <w:p>
      <w:pPr>
        <w:jc w:val="both"/>
        <w:ind w:left="5620"/>
        <w:spacing w:after="0"/>
        <w:tabs>
          <w:tab w:leader="none" w:pos="6020" w:val="left"/>
          <w:tab w:leader="none" w:pos="11300" w:val="left"/>
        </w:tabs>
        <w:rPr>
          <w:sz w:val="20"/>
          <w:szCs w:val="20"/>
          <w:color w:val="auto"/>
        </w:rPr>
      </w:pPr>
      <w:r>
        <w:rPr>
          <w:rFonts w:ascii="Arial" w:cs="Arial" w:eastAsia="Arial" w:hAnsi="Arial"/>
          <w:sz w:val="18"/>
          <w:szCs w:val="18"/>
          <w:color w:val="auto"/>
        </w:rPr>
        <w:t>By</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11430</wp:posOffset>
            </wp:positionV>
            <wp:extent cx="31826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11430</wp:posOffset>
            </wp:positionV>
            <wp:extent cx="3182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11430</wp:posOffset>
            </wp:positionV>
            <wp:extent cx="31318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318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135" w:right="2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SCHEDULE I</w:t>
      </w: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TIME OF SALE PROSPECTUS</w:t>
      </w:r>
    </w:p>
    <w:p>
      <w:pPr>
        <w:spacing w:after="0" w:line="111" w:lineRule="exact"/>
        <w:rPr>
          <w:sz w:val="20"/>
          <w:szCs w:val="20"/>
          <w:color w:val="auto"/>
        </w:rPr>
      </w:pPr>
    </w:p>
    <w:p>
      <w:pPr>
        <w:spacing w:after="0"/>
        <w:tabs>
          <w:tab w:leader="none" w:pos="2280" w:val="left"/>
          <w:tab w:leader="none" w:pos="8980" w:val="left"/>
        </w:tabs>
        <w:rPr>
          <w:sz w:val="20"/>
          <w:szCs w:val="20"/>
          <w:color w:val="auto"/>
        </w:rPr>
      </w:pPr>
      <w:r>
        <w:rPr>
          <w:rFonts w:ascii="Arial" w:cs="Arial" w:eastAsia="Arial" w:hAnsi="Arial"/>
          <w:sz w:val="18"/>
          <w:szCs w:val="18"/>
          <w:color w:val="auto"/>
        </w:rPr>
        <w:t>1. Base Prospectus dated [</w:t>
      </w:r>
      <w:r>
        <w:rPr>
          <w:sz w:val="20"/>
          <w:szCs w:val="20"/>
          <w:color w:val="auto"/>
        </w:rPr>
        <w:tab/>
      </w:r>
      <w:r>
        <w:rPr>
          <w:rFonts w:ascii="Arial" w:cs="Arial" w:eastAsia="Arial" w:hAnsi="Arial"/>
          <w:sz w:val="17"/>
          <w:szCs w:val="17"/>
          <w:color w:val="auto"/>
        </w:rPr>
        <w:t>] relating to the Offered Securities and included in the Registration Statement (File No. [</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 Final term sheet containing the final terms of the Offered Securities as set forth in Schedule II hereto and filed with the Commission under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418465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460" w:top="92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SCHEDULE II</w:t>
      </w:r>
    </w:p>
    <w:p>
      <w:pPr>
        <w:spacing w:after="0" w:line="32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FINAL PRICING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396240</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 AGREEMENT</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STANDARD PROVISIONS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DEPOSITARY SHARES, COMMON STOCK)</w:t>
      </w:r>
    </w:p>
    <w:p>
      <w:pPr>
        <w:spacing w:after="0" w:line="323" w:lineRule="exact"/>
        <w:rPr>
          <w:sz w:val="20"/>
          <w:szCs w:val="20"/>
          <w:color w:val="auto"/>
        </w:rPr>
      </w:pPr>
    </w:p>
    <w:p>
      <w:pPr>
        <w:ind w:left="4820"/>
        <w:spacing w:after="0"/>
        <w:tabs>
          <w:tab w:leader="none" w:pos="6000" w:val="left"/>
          <w:tab w:leader="none" w:pos="65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-9525</wp:posOffset>
            </wp:positionV>
            <wp:extent cx="1065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91" w:lineRule="exact"/>
        <w:rPr>
          <w:sz w:val="20"/>
          <w:szCs w:val="20"/>
          <w:color w:val="auto"/>
        </w:rPr>
      </w:pPr>
    </w:p>
    <w:p>
      <w:pPr>
        <w:ind w:firstLine="221"/>
        <w:spacing w:after="0" w:line="274" w:lineRule="auto"/>
        <w:rPr>
          <w:sz w:val="20"/>
          <w:szCs w:val="20"/>
          <w:color w:val="auto"/>
        </w:rPr>
      </w:pPr>
      <w:r>
        <w:rPr>
          <w:rFonts w:ascii="Arial" w:cs="Arial" w:eastAsia="Arial" w:hAnsi="Arial"/>
          <w:sz w:val="17"/>
          <w:szCs w:val="17"/>
          <w:color w:val="auto"/>
        </w:rPr>
        <w:t>From time to time,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7"/>
          <w:szCs w:val="17"/>
          <w:b w:val="1"/>
          <w:bCs w:val="1"/>
          <w:color w:val="auto"/>
        </w:rPr>
        <w:t>Underwriting Agreement</w:t>
      </w:r>
      <w:r>
        <w:rPr>
          <w:rFonts w:ascii="Arial" w:cs="Arial" w:eastAsia="Arial" w:hAnsi="Arial"/>
          <w:sz w:val="17"/>
          <w:szCs w:val="17"/>
          <w:color w:val="auto"/>
        </w:rPr>
        <w:t>”). The Underwriting Agreement, including the provisions incorporated therein by reference, is herein referred to as this Agreement. Terms defined in the Underwriting Agreement are used herein as therein defined.</w:t>
      </w:r>
    </w:p>
    <w:p>
      <w:pPr>
        <w:spacing w:after="0" w:line="62" w:lineRule="exact"/>
        <w:rPr>
          <w:sz w:val="20"/>
          <w:szCs w:val="20"/>
          <w:color w:val="auto"/>
        </w:rPr>
      </w:pPr>
    </w:p>
    <w:p>
      <w:pPr>
        <w:ind w:right="60" w:firstLine="218"/>
        <w:spacing w:after="0" w:line="334" w:lineRule="auto"/>
        <w:rPr>
          <w:sz w:val="20"/>
          <w:szCs w:val="20"/>
          <w:color w:val="auto"/>
        </w:rPr>
      </w:pPr>
      <w:r>
        <w:rPr>
          <w:rFonts w:ascii="Arial" w:cs="Arial" w:eastAsia="Arial" w:hAnsi="Arial"/>
          <w:sz w:val="15"/>
          <w:szCs w:val="15"/>
          <w:color w:val="auto"/>
        </w:rPr>
        <w:t>The Company proposes to issue from time to time (a) its preferred stock, without par value (the “</w:t>
      </w:r>
      <w:r>
        <w:rPr>
          <w:rFonts w:ascii="Arial" w:cs="Arial" w:eastAsia="Arial" w:hAnsi="Arial"/>
          <w:sz w:val="15"/>
          <w:szCs w:val="15"/>
          <w:b w:val="1"/>
          <w:bCs w:val="1"/>
          <w:color w:val="auto"/>
        </w:rPr>
        <w:t>Preferred Stock</w:t>
      </w:r>
      <w:r>
        <w:rPr>
          <w:rFonts w:ascii="Arial" w:cs="Arial" w:eastAsia="Arial" w:hAnsi="Arial"/>
          <w:sz w:val="15"/>
          <w:szCs w:val="15"/>
          <w:color w:val="auto"/>
        </w:rPr>
        <w:t>”), (b) depositary shares representing its Preferred Stock (the “</w:t>
      </w:r>
      <w:r>
        <w:rPr>
          <w:rFonts w:ascii="Arial" w:cs="Arial" w:eastAsia="Arial" w:hAnsi="Arial"/>
          <w:sz w:val="15"/>
          <w:szCs w:val="15"/>
          <w:b w:val="1"/>
          <w:bCs w:val="1"/>
          <w:color w:val="auto"/>
        </w:rPr>
        <w:t>Depositary Shares</w:t>
      </w:r>
      <w:r>
        <w:rPr>
          <w:rFonts w:ascii="Arial" w:cs="Arial" w:eastAsia="Arial" w:hAnsi="Arial"/>
          <w:sz w:val="15"/>
          <w:szCs w:val="15"/>
          <w:color w:val="auto"/>
        </w:rPr>
        <w:t>”) and (c) its Class A common stock, $0.01 par value (the “</w:t>
      </w:r>
      <w:r>
        <w:rPr>
          <w:rFonts w:ascii="Arial" w:cs="Arial" w:eastAsia="Arial" w:hAnsi="Arial"/>
          <w:sz w:val="15"/>
          <w:szCs w:val="15"/>
          <w:b w:val="1"/>
          <w:bCs w:val="1"/>
          <w:color w:val="auto"/>
        </w:rPr>
        <w:t>Class A Common Stock</w:t>
      </w:r>
      <w:r>
        <w:rPr>
          <w:rFonts w:ascii="Arial" w:cs="Arial" w:eastAsia="Arial" w:hAnsi="Arial"/>
          <w:sz w:val="15"/>
          <w:szCs w:val="15"/>
          <w:color w:val="auto"/>
        </w:rPr>
        <w:t>”) and its Class A Special common stock, $0.01 par value (the “</w:t>
      </w:r>
      <w:r>
        <w:rPr>
          <w:rFonts w:ascii="Arial" w:cs="Arial" w:eastAsia="Arial" w:hAnsi="Arial"/>
          <w:sz w:val="15"/>
          <w:szCs w:val="15"/>
          <w:b w:val="1"/>
          <w:bCs w:val="1"/>
          <w:color w:val="auto"/>
        </w:rPr>
        <w:t>Class A Special Common Stock</w:t>
      </w:r>
      <w:r>
        <w:rPr>
          <w:rFonts w:ascii="Arial" w:cs="Arial" w:eastAsia="Arial" w:hAnsi="Arial"/>
          <w:sz w:val="15"/>
          <w:szCs w:val="15"/>
          <w:color w:val="auto"/>
        </w:rPr>
        <w:t>”, and together with the Class A Common Stock, the “</w:t>
      </w:r>
      <w:r>
        <w:rPr>
          <w:rFonts w:ascii="Arial" w:cs="Arial" w:eastAsia="Arial" w:hAnsi="Arial"/>
          <w:sz w:val="15"/>
          <w:szCs w:val="15"/>
          <w:b w:val="1"/>
          <w:bCs w:val="1"/>
          <w:color w:val="auto"/>
        </w:rPr>
        <w:t>Common Stock</w:t>
      </w:r>
      <w:r>
        <w:rPr>
          <w:rFonts w:ascii="Arial" w:cs="Arial" w:eastAsia="Arial" w:hAnsi="Arial"/>
          <w:sz w:val="15"/>
          <w:szCs w:val="15"/>
          <w:color w:val="auto"/>
        </w:rPr>
        <w:t>”).</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has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 a registration statement including a prospectus relating to the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Depositary Shares and Common Stock (collectively, the “</w:t>
      </w:r>
      <w:r>
        <w:rPr>
          <w:rFonts w:ascii="Arial" w:cs="Arial" w:eastAsia="Arial" w:hAnsi="Arial"/>
          <w:sz w:val="15"/>
          <w:szCs w:val="15"/>
          <w:b w:val="1"/>
          <w:bCs w:val="1"/>
          <w:color w:val="auto"/>
        </w:rPr>
        <w:t>Securities</w:t>
      </w:r>
      <w:r>
        <w:rPr>
          <w:rFonts w:ascii="Arial" w:cs="Arial" w:eastAsia="Arial" w:hAnsi="Arial"/>
          <w:sz w:val="15"/>
          <w:szCs w:val="15"/>
          <w:color w:val="auto"/>
        </w:rPr>
        <w:t>”) and has filed with, or transmitted for filing to, or shall promptly after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date of the Underwriting Agreement file with or transmit for filing to, the Commission a prospectus supplement (the “</w:t>
      </w:r>
      <w:r>
        <w:rPr>
          <w:rFonts w:ascii="Arial" w:cs="Arial" w:eastAsia="Arial" w:hAnsi="Arial"/>
          <w:sz w:val="15"/>
          <w:szCs w:val="15"/>
          <w:b w:val="1"/>
          <w:bCs w:val="1"/>
          <w:color w:val="auto"/>
        </w:rPr>
        <w:t>Prospectus Supplement</w:t>
      </w:r>
      <w:r>
        <w:rPr>
          <w:rFonts w:ascii="Arial" w:cs="Arial" w:eastAsia="Arial" w:hAnsi="Arial"/>
          <w:sz w:val="15"/>
          <w:szCs w:val="15"/>
          <w:color w:val="auto"/>
        </w:rPr>
        <w:t>”)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Rule 424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specifically relating to the Securities offered pursuant to this Agreement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Offered Securities</w:t>
      </w:r>
      <w:r>
        <w:rPr>
          <w:rFonts w:ascii="Arial" w:cs="Arial" w:eastAsia="Arial" w:hAnsi="Arial"/>
          <w:sz w:val="15"/>
          <w:szCs w:val="15"/>
          <w:color w:val="auto"/>
        </w:rPr>
        <w:t>”). The term Registration Statement means the registration statement as amended to the date of the Underwriting Agreement including any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additional registration statement filed by the Company pursuant to Rule 462(b). The term Base Prospectus means the prospectus included in the Registration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Statement. The term Prospectus means the Base Prospectus together with the Prospectus Supplement. The term preliminary prospectus means a preliminary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prospectus supplement specifically relating to the Offered Securities, together with the Base Prospectus. The term issuer free writing prospectus has the meaning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set forth in Rule 433 under the Securities Act. The term Time of Sale Prospectus means the Base Prospectus and preliminary prospectus, if any, together with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any additional documents or other information identified in Schedule I to the Underwriting Agreement. As used herein, the terms “Base Prospectus”,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“Prospectus”, “preliminary prospectus” and “Time of Sale Prospectus” shall include in each case the documents, if any, incorporated by reference therein. As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used herein, the term “Applicable Time” means the time and date set forth in the Underwriting Agreement or such other time as agreed in writing by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Managers. The terms “supplement”, “amendment” and “amend” as used herein shall include all documents deemed to be incorporated 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reference in the Prospectus that are filed subsequent to the date of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3"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Prospectus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117" w:lineRule="exact"/>
        <w:rPr>
          <w:sz w:val="20"/>
          <w:szCs w:val="20"/>
          <w:color w:val="auto"/>
        </w:rPr>
      </w:pPr>
    </w:p>
    <w:p>
      <w:pPr>
        <w:ind w:right="240" w:firstLine="218"/>
        <w:spacing w:after="0" w:line="250" w:lineRule="auto"/>
        <w:rPr>
          <w:sz w:val="20"/>
          <w:szCs w:val="20"/>
          <w:color w:val="auto"/>
        </w:rPr>
      </w:pPr>
      <w:r>
        <w:rPr>
          <w:rFonts w:ascii="Arial" w:cs="Arial" w:eastAsia="Arial" w:hAnsi="Arial"/>
          <w:sz w:val="18"/>
          <w:szCs w:val="18"/>
          <w:color w:val="auto"/>
        </w:rPr>
        <w:t>The Company hereby agrees that, without the prior written consent of the Manager, it will not offer, sell, contract to sell or grant any option to purchase or otherwise dispose of any shares of the Lock-Up Securities, or any securities convertible into or exchangeable for Lock-Up Securities, for the Lock-Up Period, other than (i) the Offered Securities to be sold hereunder, (ii) any Lock-Up Securities sold upon the exercise of an option or warrant or the conversion of a security outstanding on the date hereof or (iii) any Lock-Up Securities issued pursuant to any stock option or similar employee compensation plan in effect on the date hereof.</w:t>
      </w:r>
    </w:p>
    <w:p>
      <w:pPr>
        <w:spacing w:after="0" w:line="89" w:lineRule="exact"/>
        <w:rPr>
          <w:sz w:val="20"/>
          <w:szCs w:val="20"/>
          <w:color w:val="auto"/>
        </w:rPr>
      </w:pPr>
    </w:p>
    <w:p>
      <w:pPr>
        <w:ind w:left="400" w:hanging="173"/>
        <w:spacing w:after="0"/>
        <w:tabs>
          <w:tab w:leader="none" w:pos="4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Representations and Warranties. The Company represents and warrants to each of the Underwriters as of the date of the Underwriting Agreement that:</w:t>
      </w:r>
    </w:p>
    <w:p>
      <w:pPr>
        <w:spacing w:after="0" w:line="145" w:lineRule="exact"/>
        <w:rPr>
          <w:rFonts w:ascii="Arial" w:cs="Arial" w:eastAsia="Arial" w:hAnsi="Arial"/>
          <w:sz w:val="15"/>
          <w:szCs w:val="15"/>
          <w:color w:val="auto"/>
        </w:rPr>
      </w:pPr>
    </w:p>
    <w:p>
      <w:pPr>
        <w:ind w:left="460" w:right="500" w:firstLine="224"/>
        <w:spacing w:after="0" w:line="265"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73" w:lineRule="exact"/>
        <w:rPr>
          <w:rFonts w:ascii="Arial" w:cs="Arial" w:eastAsia="Arial" w:hAnsi="Arial"/>
          <w:sz w:val="18"/>
          <w:szCs w:val="18"/>
          <w:color w:val="auto"/>
        </w:rPr>
      </w:pPr>
    </w:p>
    <w:p>
      <w:pPr>
        <w:ind w:left="460" w:right="300" w:firstLine="224"/>
        <w:spacing w:after="0" w:line="366" w:lineRule="auto"/>
        <w:tabs>
          <w:tab w:leader="none" w:pos="941" w:val="left"/>
        </w:tabs>
        <w:numPr>
          <w:ilvl w:val="1"/>
          <w:numId w:val="81"/>
        </w:numPr>
        <w:rPr>
          <w:rFonts w:ascii="Arial" w:cs="Arial" w:eastAsia="Arial" w:hAnsi="Arial"/>
          <w:sz w:val="15"/>
          <w:szCs w:val="15"/>
          <w:color w:val="auto"/>
        </w:rPr>
      </w:pPr>
      <w:r>
        <w:rPr>
          <w:rFonts w:ascii="Arial" w:cs="Arial" w:eastAsia="Arial" w:hAnsi="Arial"/>
          <w:sz w:val="15"/>
          <w:szCs w:val="15"/>
          <w:color w:val="auto"/>
        </w:rPr>
        <w:t>Each document filed or to be filed pursuant to the Exchange Act and incorporated by reference in the Time of Sale Prospectus or the Prospectus complied or will comply when so filed in all material respects with the Exchange Act and the rules and regulations of the Commission thereunder.</w:t>
      </w:r>
    </w:p>
    <w:p>
      <w:pPr>
        <w:spacing w:after="0" w:line="4" w:lineRule="exact"/>
        <w:rPr>
          <w:rFonts w:ascii="Arial" w:cs="Arial" w:eastAsia="Arial" w:hAnsi="Arial"/>
          <w:sz w:val="15"/>
          <w:szCs w:val="15"/>
          <w:color w:val="auto"/>
        </w:rPr>
      </w:pPr>
    </w:p>
    <w:p>
      <w:pPr>
        <w:ind w:left="460" w:right="60" w:firstLine="224"/>
        <w:spacing w:after="0" w:line="312" w:lineRule="auto"/>
        <w:tabs>
          <w:tab w:leader="none" w:pos="990" w:val="left"/>
        </w:tabs>
        <w:numPr>
          <w:ilvl w:val="1"/>
          <w:numId w:val="81"/>
        </w:numPr>
        <w:rPr>
          <w:rFonts w:ascii="Arial" w:cs="Arial" w:eastAsia="Arial" w:hAnsi="Arial"/>
          <w:sz w:val="15"/>
          <w:szCs w:val="15"/>
          <w:color w:val="auto"/>
        </w:rPr>
      </w:pPr>
      <w:r>
        <w:rPr>
          <w:rFonts w:ascii="Arial" w:cs="Arial" w:eastAsia="Arial" w:hAnsi="Arial"/>
          <w:sz w:val="15"/>
          <w:szCs w:val="15"/>
          <w:color w:val="auto"/>
        </w:rPr>
        <w:t>The Registration Statement, the Time of Sale Prospectus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statements or omissions in the Registration Statement, the Time of Sale Prospectus or the Prospectus or any amendment or supplement thereto based upon information furnished to the Issuers in writing by any Underwriter through the Manager expressly for use therein.</w:t>
      </w:r>
    </w:p>
    <w:p>
      <w:pPr>
        <w:spacing w:after="0" w:line="45" w:lineRule="exact"/>
        <w:rPr>
          <w:rFonts w:ascii="Arial" w:cs="Arial" w:eastAsia="Arial" w:hAnsi="Arial"/>
          <w:sz w:val="15"/>
          <w:szCs w:val="15"/>
          <w:color w:val="auto"/>
        </w:rPr>
      </w:pPr>
    </w:p>
    <w:p>
      <w:pPr>
        <w:ind w:left="980" w:hanging="296"/>
        <w:spacing w:after="0"/>
        <w:tabs>
          <w:tab w:leader="none" w:pos="9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The</w:t>
      </w:r>
    </w:p>
    <w:p>
      <w:pPr>
        <w:spacing w:after="0" w:line="28" w:lineRule="exact"/>
        <w:rPr>
          <w:rFonts w:ascii="Arial" w:cs="Arial" w:eastAsia="Arial" w:hAnsi="Arial"/>
          <w:sz w:val="17"/>
          <w:szCs w:val="17"/>
          <w:color w:val="auto"/>
        </w:rPr>
      </w:pPr>
    </w:p>
    <w:p>
      <w:pPr>
        <w:ind w:left="460"/>
        <w:spacing w:after="0" w:line="265" w:lineRule="auto"/>
        <w:rPr>
          <w:rFonts w:ascii="Arial" w:cs="Arial" w:eastAsia="Arial" w:hAnsi="Arial"/>
          <w:sz w:val="17"/>
          <w:szCs w:val="17"/>
          <w:color w:val="auto"/>
        </w:rPr>
      </w:pPr>
      <w:r>
        <w:rPr>
          <w:rFonts w:ascii="Arial" w:cs="Arial" w:eastAsia="Arial" w:hAnsi="Arial"/>
          <w:sz w:val="17"/>
          <w:szCs w:val="17"/>
          <w:color w:val="auto"/>
        </w:rPr>
        <w:t>Company has not made, used, prepared, authorized, approved or referred to any offer relating to the Offered Securities that would constitute a free writing prospectus other than (a) any written communications furnished in advance to the Managers; (b) an electronic road show, if any, furnished to the Managers before first use; or (c) free writing prospectuses identified on Schedule I to the Underwriting Agreement, including the term sheet as set forth in Schedule II to the Underwriting Agreement. Any such free writing prospectus as of its issue date complied in all material respects with the requirements of the Securities Act and the rules and regulations thereunder and was filed with the Commission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accordance with the Securities Act (to the extent required pursuant to Rule 433(d) thereunder).</w:t>
      </w:r>
    </w:p>
    <w:p>
      <w:pPr>
        <w:spacing w:after="0" w:line="111" w:lineRule="exact"/>
        <w:rPr>
          <w:sz w:val="20"/>
          <w:szCs w:val="20"/>
          <w:color w:val="auto"/>
        </w:rPr>
      </w:pPr>
    </w:p>
    <w:p>
      <w:pPr>
        <w:ind w:firstLine="224"/>
        <w:spacing w:after="0" w:line="264" w:lineRule="auto"/>
        <w:tabs>
          <w:tab w:leader="none" w:pos="471"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execution and delivery by the Company of, and the performance by the Company of its obligations under this Agreement will not contravene any provision of applicable law or the articles of incorporation or by-laws of the Company or any agreement 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Offered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80" w:lineRule="exact"/>
        <w:rPr>
          <w:rFonts w:ascii="Arial" w:cs="Arial" w:eastAsia="Arial" w:hAnsi="Arial"/>
          <w:sz w:val="17"/>
          <w:szCs w:val="17"/>
          <w:color w:val="auto"/>
        </w:rPr>
      </w:pPr>
    </w:p>
    <w:p>
      <w:pPr>
        <w:ind w:right="120" w:firstLine="224"/>
        <w:spacing w:after="0" w:line="255"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in violation of its articles of incorporation or by-laws (or similar organizational documents) or (b) in default in the performance or observance of any obligation, covenant or condition contained in any contract, except to the extent such default would not have a material adverse effect.</w:t>
      </w:r>
    </w:p>
    <w:p>
      <w:pPr>
        <w:spacing w:after="0" w:line="82" w:lineRule="exact"/>
        <w:rPr>
          <w:rFonts w:ascii="Arial" w:cs="Arial" w:eastAsia="Arial" w:hAnsi="Arial"/>
          <w:sz w:val="18"/>
          <w:szCs w:val="18"/>
          <w:color w:val="auto"/>
        </w:rPr>
      </w:pPr>
    </w:p>
    <w:p>
      <w:pPr>
        <w:ind w:right="160" w:firstLine="224"/>
        <w:spacing w:after="0" w:line="277" w:lineRule="auto"/>
        <w:tabs>
          <w:tab w:leader="none" w:pos="56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(exclusive of any amendments or supplements thereto effected subsequent to the date of the Agreement).</w:t>
      </w:r>
    </w:p>
    <w:p>
      <w:pPr>
        <w:spacing w:after="0" w:line="65" w:lineRule="exact"/>
        <w:rPr>
          <w:rFonts w:ascii="Arial" w:cs="Arial" w:eastAsia="Arial" w:hAnsi="Arial"/>
          <w:sz w:val="17"/>
          <w:szCs w:val="17"/>
          <w:color w:val="auto"/>
        </w:rPr>
      </w:pPr>
    </w:p>
    <w:p>
      <w:pPr>
        <w:ind w:right="20" w:firstLine="224"/>
        <w:spacing w:after="0" w:line="250" w:lineRule="auto"/>
        <w:tabs>
          <w:tab w:leader="none" w:pos="6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Time of Sale Prospectus and are not so described or any statutes, regulations, contracts or other documents that are required to be described in the Registration Statement or the Time of Sale Prospectus or to be filed or incorporated by reference as exhibits to the Registration Statement that are not described, filed or incorporated as required.</w:t>
      </w:r>
    </w:p>
    <w:p>
      <w:pPr>
        <w:spacing w:after="0" w:line="88" w:lineRule="exact"/>
        <w:rPr>
          <w:rFonts w:ascii="Arial" w:cs="Arial" w:eastAsia="Arial" w:hAnsi="Arial"/>
          <w:sz w:val="18"/>
          <w:szCs w:val="18"/>
          <w:color w:val="auto"/>
        </w:rPr>
      </w:pPr>
    </w:p>
    <w:p>
      <w:pPr>
        <w:ind w:right="20" w:firstLine="224"/>
        <w:spacing w:after="0" w:line="366" w:lineRule="auto"/>
        <w:tabs>
          <w:tab w:leader="none" w:pos="5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328295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20"/>
          </w:cols>
          <w:pgMar w:left="700" w:top="923" w:right="279" w:bottom="1440" w:gutter="0" w:footer="0" w:header="0"/>
        </w:sectPr>
      </w:pPr>
    </w:p>
    <w:bookmarkStart w:id="113" w:name="page114"/>
    <w:bookmarkEnd w:id="113"/>
    <w:p>
      <w:pPr>
        <w:ind w:left="233"/>
        <w:spacing w:after="0" w:line="255" w:lineRule="auto"/>
        <w:rPr>
          <w:sz w:val="20"/>
          <w:szCs w:val="20"/>
          <w:color w:val="auto"/>
        </w:rPr>
      </w:pPr>
      <w:r>
        <w:rPr>
          <w:rFonts w:ascii="Arial" w:cs="Arial" w:eastAsia="Arial" w:hAnsi="Arial"/>
          <w:sz w:val="18"/>
          <w:szCs w:val="18"/>
          <w:color w:val="auto"/>
        </w:rPr>
        <w:t>courts and other tribunals, to own, lease, license and use its properties and assets and to conduct its business in the manner described in the Time of Sale Prospectus, except to the extent that the failure to obtain or file would not have a material adverse effect on the Company and its consolidated subsidiaries, taken as a whole.</w:t>
      </w:r>
    </w:p>
    <w:p>
      <w:pPr>
        <w:spacing w:after="0" w:line="83" w:lineRule="exact"/>
        <w:rPr>
          <w:sz w:val="20"/>
          <w:szCs w:val="20"/>
          <w:color w:val="auto"/>
        </w:rPr>
      </w:pPr>
    </w:p>
    <w:p>
      <w:pPr>
        <w:ind w:left="-227" w:right="100" w:firstLine="227"/>
        <w:spacing w:after="0" w:line="255" w:lineRule="auto"/>
        <w:tabs>
          <w:tab w:leader="none" w:pos="1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Time of Sale Prospectus and the Prospectus.</w:t>
      </w:r>
    </w:p>
    <w:p>
      <w:pPr>
        <w:spacing w:after="0" w:line="82" w:lineRule="exact"/>
        <w:rPr>
          <w:rFonts w:ascii="Arial" w:cs="Arial" w:eastAsia="Arial" w:hAnsi="Arial"/>
          <w:sz w:val="18"/>
          <w:szCs w:val="18"/>
          <w:color w:val="auto"/>
        </w:rPr>
      </w:pPr>
    </w:p>
    <w:p>
      <w:pPr>
        <w:ind w:left="-227" w:right="100" w:firstLine="227"/>
        <w:spacing w:after="0" w:line="269" w:lineRule="auto"/>
        <w:tabs>
          <w:tab w:leader="none" w:pos="171" w:val="left"/>
        </w:tabs>
        <w:numPr>
          <w:ilvl w:val="0"/>
          <w:numId w:val="83"/>
        </w:numPr>
        <w:rPr>
          <w:rFonts w:ascii="Arial" w:cs="Arial" w:eastAsia="Arial" w:hAnsi="Arial"/>
          <w:sz w:val="17"/>
          <w:szCs w:val="17"/>
          <w:color w:val="auto"/>
        </w:rPr>
      </w:pPr>
      <w:r>
        <w:rPr>
          <w:rFonts w:ascii="Arial" w:cs="Arial" w:eastAsia="Arial" w:hAnsi="Arial"/>
          <w:sz w:val="17"/>
          <w:szCs w:val="17"/>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Certificates representing the Offered Securities shall be in definitive form and registered in such names and in such denominations as the Manager shall request in writing not less than one full business day prior to the date of delivery, with any transfer taxes payable in connection with the transfer of the Offered Securities to the Underwriters duly paid.</w:t>
      </w:r>
    </w:p>
    <w:p>
      <w:pPr>
        <w:spacing w:after="0" w:line="71" w:lineRule="exact"/>
        <w:rPr>
          <w:rFonts w:ascii="Arial" w:cs="Arial" w:eastAsia="Arial" w:hAnsi="Arial"/>
          <w:sz w:val="17"/>
          <w:szCs w:val="17"/>
          <w:color w:val="auto"/>
        </w:rPr>
      </w:pPr>
    </w:p>
    <w:p>
      <w:pPr>
        <w:ind w:left="173" w:hanging="173"/>
        <w:spacing w:after="0"/>
        <w:tabs>
          <w:tab w:leader="none" w:pos="1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Conditions to Closing. The several obligations of the Underwriters hereunder are subject to the following conditions:</w:t>
      </w:r>
    </w:p>
    <w:p>
      <w:pPr>
        <w:spacing w:after="0" w:line="111" w:lineRule="exact"/>
        <w:rPr>
          <w:rFonts w:ascii="Arial" w:cs="Arial" w:eastAsia="Arial" w:hAnsi="Arial"/>
          <w:sz w:val="18"/>
          <w:szCs w:val="18"/>
          <w:color w:val="auto"/>
        </w:rPr>
      </w:pPr>
    </w:p>
    <w:p>
      <w:pPr>
        <w:ind w:left="13" w:right="40" w:firstLine="215"/>
        <w:spacing w:after="0" w:line="252" w:lineRule="auto"/>
        <w:tabs>
          <w:tab w:leader="none" w:pos="474"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the Company or any of the securities of the Company by any “nationally recognized statistical rating organization,” as such term is defined for purposes of Rule 436(g)(2) under the Securities Act.</w:t>
      </w:r>
    </w:p>
    <w:p>
      <w:pPr>
        <w:spacing w:after="0" w:line="85" w:lineRule="exact"/>
        <w:rPr>
          <w:rFonts w:ascii="Arial" w:cs="Arial" w:eastAsia="Arial" w:hAnsi="Arial"/>
          <w:sz w:val="18"/>
          <w:szCs w:val="18"/>
          <w:color w:val="auto"/>
        </w:rPr>
      </w:pPr>
    </w:p>
    <w:p>
      <w:pPr>
        <w:ind w:left="13" w:right="60" w:firstLine="215"/>
        <w:spacing w:after="0" w:line="265" w:lineRule="auto"/>
        <w:tabs>
          <w:tab w:leader="none" w:pos="484"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Time of Sale Prospectus, that, in the judgment of the Managers, is material and adverse and that makes it, in the judgment of the Managers, impracticable to market the Offered Securities on the terms and in the manner contemplated in the Time of Sale Prospectus; and the Managers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374015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73"/>
          </w:cols>
          <w:pgMar w:left="467" w:top="923" w:right="259" w:bottom="1440" w:gutter="0" w:footer="0" w:header="0"/>
        </w:sectPr>
      </w:pPr>
    </w:p>
    <w:bookmarkStart w:id="114" w:name="page115"/>
    <w:bookmarkEnd w:id="114"/>
    <w:p>
      <w:pPr>
        <w:ind w:left="-215" w:right="20" w:firstLine="215"/>
        <w:spacing w:after="0" w:line="366" w:lineRule="auto"/>
        <w:tabs>
          <w:tab w:leader="none" w:pos="246"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Manager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4" w:lineRule="exact"/>
        <w:rPr>
          <w:rFonts w:ascii="Arial" w:cs="Arial" w:eastAsia="Arial" w:hAnsi="Arial"/>
          <w:sz w:val="15"/>
          <w:szCs w:val="15"/>
          <w:color w:val="auto"/>
        </w:rPr>
      </w:pPr>
    </w:p>
    <w:p>
      <w:pPr>
        <w:ind w:left="5" w:firstLine="224"/>
        <w:spacing w:after="0" w:line="252" w:lineRule="auto"/>
        <w:tabs>
          <w:tab w:leader="none" w:pos="4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85" w:lineRule="exact"/>
        <w:rPr>
          <w:rFonts w:ascii="Arial" w:cs="Arial" w:eastAsia="Arial" w:hAnsi="Arial"/>
          <w:sz w:val="18"/>
          <w:szCs w:val="18"/>
          <w:color w:val="auto"/>
        </w:rPr>
      </w:pPr>
    </w:p>
    <w:p>
      <w:pPr>
        <w:ind w:left="5" w:right="640" w:firstLine="224"/>
        <w:spacing w:after="0" w:line="265" w:lineRule="auto"/>
        <w:tabs>
          <w:tab w:leader="none" w:pos="48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all of the issued shares of capital stock of the Company have been duly and validly authorized and issued and are fully paid and non-assessable;</w:t>
      </w:r>
    </w:p>
    <w:p>
      <w:pPr>
        <w:spacing w:after="0" w:line="73" w:lineRule="exact"/>
        <w:rPr>
          <w:rFonts w:ascii="Arial" w:cs="Arial" w:eastAsia="Arial" w:hAnsi="Arial"/>
          <w:sz w:val="18"/>
          <w:szCs w:val="18"/>
          <w:color w:val="auto"/>
        </w:rPr>
      </w:pPr>
    </w:p>
    <w:p>
      <w:pPr>
        <w:ind w:left="5" w:right="340" w:firstLine="224"/>
        <w:spacing w:after="0" w:line="265" w:lineRule="auto"/>
        <w:tabs>
          <w:tab w:leader="none" w:pos="5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Offered Securities have been duly authorized, and when executed and delivered to and paid for by the Underwriters in accordance with the terms of this Agreement, will be validly issued, fully paid and non-assessable,</w:t>
      </w:r>
    </w:p>
    <w:p>
      <w:pPr>
        <w:spacing w:after="0" w:line="73" w:lineRule="exact"/>
        <w:rPr>
          <w:rFonts w:ascii="Arial" w:cs="Arial" w:eastAsia="Arial" w:hAnsi="Arial"/>
          <w:sz w:val="18"/>
          <w:szCs w:val="18"/>
          <w:color w:val="auto"/>
        </w:rPr>
      </w:pPr>
    </w:p>
    <w:p>
      <w:pPr>
        <w:ind w:left="525" w:hanging="296"/>
        <w:spacing w:after="0"/>
        <w:tabs>
          <w:tab w:leader="none" w:pos="5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1" w:lineRule="exact"/>
        <w:rPr>
          <w:rFonts w:ascii="Arial" w:cs="Arial" w:eastAsia="Arial" w:hAnsi="Arial"/>
          <w:sz w:val="18"/>
          <w:szCs w:val="18"/>
          <w:color w:val="auto"/>
        </w:rPr>
      </w:pPr>
    </w:p>
    <w:p>
      <w:pPr>
        <w:ind w:left="5" w:firstLine="224"/>
        <w:spacing w:after="0" w:line="263" w:lineRule="auto"/>
        <w:tabs>
          <w:tab w:leader="none" w:pos="476" w:val="left"/>
        </w:tabs>
        <w:numPr>
          <w:ilvl w:val="1"/>
          <w:numId w:val="84"/>
        </w:numPr>
        <w:rPr>
          <w:rFonts w:ascii="Arial" w:cs="Arial" w:eastAsia="Arial" w:hAnsi="Arial"/>
          <w:sz w:val="17"/>
          <w:szCs w:val="17"/>
          <w:color w:val="auto"/>
        </w:rPr>
      </w:pPr>
      <w:r>
        <w:rPr>
          <w:rFonts w:ascii="Arial" w:cs="Arial" w:eastAsia="Arial" w:hAnsi="Arial"/>
          <w:sz w:val="17"/>
          <w:szCs w:val="17"/>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the articles of incorporation or by-laws (or similar organizational document) of the Company or, to the best knowledge of such counsel, any material agreement or other material instrument binding upon the Company, and, except for the orders of the Commission making the Registration Statement effective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of this Agreement by the Company, or the issuance and sale of the Offered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377190</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5"/>
          </w:cols>
          <w:pgMar w:left="695" w:top="923" w:right="259" w:bottom="1440" w:gutter="0" w:footer="0" w:header="0"/>
        </w:sectPr>
      </w:pPr>
    </w:p>
    <w:bookmarkStart w:id="115" w:name="page116"/>
    <w:bookmarkEnd w:id="115"/>
    <w:p>
      <w:pPr>
        <w:ind w:left="460" w:right="100" w:firstLine="224"/>
        <w:spacing w:after="0" w:line="266" w:lineRule="auto"/>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subject to such qualification as may be set forth in the Time of Sale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Time of Sale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Time of Sale Prospectus, which restrictions would have a material adverse effect on the business or financial condition of the Company and its subsidiaries, as a whole,</w:t>
      </w:r>
    </w:p>
    <w:p>
      <w:pPr>
        <w:spacing w:after="0" w:line="74" w:lineRule="exact"/>
        <w:rPr>
          <w:rFonts w:ascii="Arial" w:cs="Arial" w:eastAsia="Arial" w:hAnsi="Arial"/>
          <w:sz w:val="17"/>
          <w:szCs w:val="17"/>
          <w:color w:val="auto"/>
        </w:rPr>
      </w:pPr>
    </w:p>
    <w:p>
      <w:pPr>
        <w:ind w:left="460" w:right="220" w:firstLine="224"/>
        <w:spacing w:after="0" w:line="250" w:lineRule="auto"/>
        <w:tabs>
          <w:tab w:leader="none" w:pos="102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statements (A) in Item 3 of the Company’s most recent Annual Report on Form 10-K incorporated by reference in the Time of Sale Prospectus, (B) in Part II, Item 1 under the caption “Legal Proceedings” of the Company’s most recent Quarterly Report on Form 10-Q incorporated by reference in the Time of Sale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88" w:lineRule="exact"/>
        <w:rPr>
          <w:rFonts w:ascii="Arial" w:cs="Arial" w:eastAsia="Arial" w:hAnsi="Arial"/>
          <w:sz w:val="18"/>
          <w:szCs w:val="18"/>
          <w:color w:val="auto"/>
        </w:rPr>
      </w:pPr>
    </w:p>
    <w:p>
      <w:pPr>
        <w:jc w:val="both"/>
        <w:ind w:left="460" w:firstLine="224"/>
        <w:spacing w:after="0" w:line="318" w:lineRule="auto"/>
        <w:tabs>
          <w:tab w:leader="none" w:pos="1078" w:val="left"/>
        </w:tabs>
        <w:numPr>
          <w:ilvl w:val="0"/>
          <w:numId w:val="85"/>
        </w:numPr>
        <w:rPr>
          <w:rFonts w:ascii="Arial" w:cs="Arial" w:eastAsia="Arial" w:hAnsi="Arial"/>
          <w:sz w:val="15"/>
          <w:szCs w:val="15"/>
          <w:color w:val="auto"/>
        </w:rPr>
      </w:pPr>
      <w:r>
        <w:rPr>
          <w:rFonts w:ascii="Arial" w:cs="Arial" w:eastAsia="Arial" w:hAnsi="Arial"/>
          <w:sz w:val="15"/>
          <w:szCs w:val="15"/>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Time of Sale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40" w:lineRule="exact"/>
        <w:rPr>
          <w:rFonts w:ascii="Arial" w:cs="Arial" w:eastAsia="Arial" w:hAnsi="Arial"/>
          <w:sz w:val="15"/>
          <w:szCs w:val="15"/>
          <w:color w:val="auto"/>
        </w:rPr>
      </w:pPr>
    </w:p>
    <w:p>
      <w:pPr>
        <w:ind w:left="980" w:hanging="296"/>
        <w:spacing w:after="0"/>
        <w:tabs>
          <w:tab w:leader="none" w:pos="9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securities into which the Offered Securities are convertible, initially reserved for issuance upon conversion of the Offered Securities (the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100" w:lineRule="exact"/>
        <w:rPr>
          <w:sz w:val="20"/>
          <w:szCs w:val="20"/>
          <w:color w:val="auto"/>
        </w:rPr>
      </w:pPr>
    </w:p>
    <w:p>
      <w:pPr>
        <w:ind w:left="460" w:right="220" w:firstLine="224"/>
        <w:spacing w:after="0" w:line="255" w:lineRule="auto"/>
        <w:tabs>
          <w:tab w:leader="none" w:pos="9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83" w:lineRule="exact"/>
        <w:rPr>
          <w:sz w:val="20"/>
          <w:szCs w:val="20"/>
          <w:color w:val="auto"/>
        </w:rPr>
      </w:pPr>
    </w:p>
    <w:p>
      <w:pPr>
        <w:jc w:val="both"/>
        <w:ind w:right="200" w:firstLine="221"/>
        <w:spacing w:after="0" w:line="255" w:lineRule="auto"/>
        <w:rPr>
          <w:sz w:val="20"/>
          <w:szCs w:val="20"/>
          <w:color w:val="auto"/>
        </w:rPr>
      </w:pPr>
      <w:r>
        <w:rPr>
          <w:rFonts w:ascii="Arial" w:cs="Arial" w:eastAsia="Arial" w:hAnsi="Arial"/>
          <w:sz w:val="18"/>
          <w:szCs w:val="18"/>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as to which such counsel is not called upon to express any belief),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16" w:name="page117"/>
    <w:bookmarkEnd w:id="116"/>
    <w:p>
      <w:pPr>
        <w:ind w:right="20"/>
        <w:spacing w:after="0" w:line="301" w:lineRule="auto"/>
        <w:rPr>
          <w:sz w:val="20"/>
          <w:szCs w:val="20"/>
          <w:color w:val="auto"/>
        </w:rPr>
      </w:pPr>
      <w:r>
        <w:rPr>
          <w:rFonts w:ascii="Arial" w:cs="Arial" w:eastAsia="Arial" w:hAnsi="Arial"/>
          <w:sz w:val="15"/>
          <w:szCs w:val="15"/>
          <w:color w:val="auto"/>
        </w:rPr>
        <w:t>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 or (4)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68" w:lineRule="exact"/>
        <w:rPr>
          <w:sz w:val="20"/>
          <w:szCs w:val="20"/>
          <w:color w:val="auto"/>
        </w:rPr>
      </w:pPr>
    </w:p>
    <w:p>
      <w:pPr>
        <w:ind w:right="40" w:firstLine="218"/>
        <w:spacing w:after="0" w:line="277" w:lineRule="auto"/>
        <w:rPr>
          <w:sz w:val="20"/>
          <w:szCs w:val="20"/>
          <w:color w:val="auto"/>
        </w:rPr>
      </w:pPr>
      <w:r>
        <w:rPr>
          <w:rFonts w:ascii="Arial" w:cs="Arial" w:eastAsia="Arial" w:hAnsi="Arial"/>
          <w:sz w:val="17"/>
          <w:szCs w:val="17"/>
          <w:color w:val="auto"/>
        </w:rPr>
        <w:t>With respect to the preceding paragraph, such counsel may state that his opinion and belief is based upon his participation in the preparation of the Registration Statement, Time of Sale Prospectus, Prospectus (as amended or supplemented) and the documents incorporated therein by reference and review and discussion of the contents thereof, but is without independent check or verification except as specified.</w:t>
      </w:r>
    </w:p>
    <w:p>
      <w:pPr>
        <w:spacing w:after="0" w:line="6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83" w:lineRule="exact"/>
        <w:rPr>
          <w:sz w:val="20"/>
          <w:szCs w:val="20"/>
          <w:color w:val="auto"/>
        </w:rPr>
      </w:pPr>
    </w:p>
    <w:p>
      <w:pPr>
        <w:ind w:left="240" w:right="60" w:firstLine="215"/>
        <w:spacing w:after="0" w:line="265"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special counsel for the Company, dated the Closing Date, to the effect that:</w:t>
      </w:r>
    </w:p>
    <w:p>
      <w:pPr>
        <w:spacing w:after="0" w:line="73" w:lineRule="exact"/>
        <w:rPr>
          <w:rFonts w:ascii="Arial" w:cs="Arial" w:eastAsia="Arial" w:hAnsi="Arial"/>
          <w:sz w:val="18"/>
          <w:szCs w:val="18"/>
          <w:color w:val="auto"/>
        </w:rPr>
      </w:pPr>
    </w:p>
    <w:p>
      <w:pPr>
        <w:ind w:left="460" w:right="160" w:firstLine="224"/>
        <w:spacing w:after="0" w:line="318" w:lineRule="auto"/>
        <w:tabs>
          <w:tab w:leader="none" w:pos="892" w:val="left"/>
        </w:tabs>
        <w:numPr>
          <w:ilvl w:val="1"/>
          <w:numId w:val="87"/>
        </w:numPr>
        <w:rPr>
          <w:rFonts w:ascii="Arial" w:cs="Arial" w:eastAsia="Arial" w:hAnsi="Arial"/>
          <w:sz w:val="15"/>
          <w:szCs w:val="15"/>
          <w:color w:val="auto"/>
        </w:rPr>
      </w:pPr>
      <w:r>
        <w:rPr>
          <w:rFonts w:ascii="Arial" w:cs="Arial" w:eastAsia="Arial" w:hAnsi="Arial"/>
          <w:sz w:val="15"/>
          <w:szCs w:val="15"/>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(which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351155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17" w:name="page118"/>
    <w:bookmarkEnd w:id="117"/>
    <w:p>
      <w:pPr>
        <w:ind w:left="460" w:right="20"/>
        <w:spacing w:after="0" w:line="250" w:lineRule="auto"/>
        <w:rPr>
          <w:sz w:val="20"/>
          <w:szCs w:val="20"/>
          <w:color w:val="auto"/>
        </w:rPr>
      </w:pPr>
      <w:r>
        <w:rPr>
          <w:rFonts w:ascii="Arial" w:cs="Arial" w:eastAsia="Arial" w:hAnsi="Arial"/>
          <w:sz w:val="18"/>
          <w:szCs w:val="18"/>
          <w:color w:val="auto"/>
        </w:rPr>
        <w:t>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of this Agreement by the Company, or the issuance and sale of the Offered Securities by the Company, and</w:t>
      </w:r>
    </w:p>
    <w:p>
      <w:pPr>
        <w:spacing w:after="0" w:line="89" w:lineRule="exact"/>
        <w:rPr>
          <w:sz w:val="20"/>
          <w:szCs w:val="20"/>
          <w:color w:val="auto"/>
        </w:rPr>
      </w:pPr>
    </w:p>
    <w:p>
      <w:pPr>
        <w:ind w:left="460" w:right="120" w:firstLine="224"/>
        <w:spacing w:after="0" w:line="330" w:lineRule="auto"/>
        <w:tabs>
          <w:tab w:leader="none" w:pos="941"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statements in the Prospectus Supplement under “Description of [the Offered Securities]”, “Certain U.S. Tax Considerations” and “Underwriting” and in the Base Prospectus under “Description of Capital Stock” and “Plan of Distribution”, insofar as such statements constitute a summary of the legal matters or documents referred to therein, fairly present the information called for with respect to such legal matters and documents.</w:t>
      </w:r>
    </w:p>
    <w:p>
      <w:pPr>
        <w:spacing w:after="0" w:line="31"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(3)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or (4) that the Prospectus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270" w:lineRule="exact"/>
        <w:rPr>
          <w:sz w:val="20"/>
          <w:szCs w:val="20"/>
          <w:color w:val="auto"/>
        </w:rPr>
      </w:pPr>
    </w:p>
    <w:p>
      <w:pPr>
        <w:ind w:right="60" w:firstLine="218"/>
        <w:spacing w:after="0" w:line="255" w:lineRule="auto"/>
        <w:rPr>
          <w:sz w:val="20"/>
          <w:szCs w:val="20"/>
          <w:color w:val="auto"/>
        </w:rPr>
      </w:pPr>
      <w:r>
        <w:rPr>
          <w:rFonts w:ascii="Arial" w:cs="Arial" w:eastAsia="Arial" w:hAnsi="Arial"/>
          <w:sz w:val="18"/>
          <w:szCs w:val="18"/>
          <w:color w:val="auto"/>
        </w:rPr>
        <w:t>With respect to the preceding paragraph, Davis Polk &amp; Wardwell may state that their opinion and belief is based upon their participation in the preparation of the Registration Statement, Time of Sale Prospectus and Prospectus and any amendments or supplements thereto (but not including documents incorporated therein by reference) and review and discussion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color w:val="auto"/>
        </w:rPr>
        <w:t>contents thereof (including documents incorporated therein by reference), but is without independent check or verification except as specified.</w:t>
      </w:r>
    </w:p>
    <w:p>
      <w:pPr>
        <w:sectPr>
          <w:pgSz w:w="11900" w:h="16838" w:orient="portrait"/>
          <w:cols w:equalWidth="0" w:num="1">
            <w:col w:w="11420"/>
          </w:cols>
          <w:pgMar w:left="240" w:top="923" w:right="239" w:bottom="1440" w:gutter="0" w:footer="0" w:header="0"/>
        </w:sectPr>
      </w:pPr>
    </w:p>
    <w:p>
      <w:pPr>
        <w:spacing w:after="0" w:line="146" w:lineRule="exact"/>
        <w:rPr>
          <w:sz w:val="20"/>
          <w:szCs w:val="20"/>
          <w:color w:val="auto"/>
        </w:rPr>
      </w:pPr>
    </w:p>
    <w:p>
      <w:pPr>
        <w:ind w:left="240" w:firstLine="221"/>
        <w:spacing w:after="0" w:line="265" w:lineRule="auto"/>
        <w:rPr>
          <w:sz w:val="20"/>
          <w:szCs w:val="20"/>
          <w:color w:val="auto"/>
        </w:rPr>
      </w:pPr>
      <w:r>
        <w:rPr>
          <w:rFonts w:ascii="Arial" w:cs="Arial" w:eastAsia="Arial" w:hAnsi="Arial"/>
          <w:sz w:val="18"/>
          <w:szCs w:val="18"/>
          <w:color w:val="auto"/>
        </w:rPr>
        <w:t>(e) The Manager shall have received on the Closing Date an opinion of [ that: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 regulatory counsel for the Company, dated the Closing Date, to the effect</w:t>
      </w:r>
    </w:p>
    <w:p>
      <w:pPr>
        <w:spacing w:after="0" w:line="351" w:lineRule="exact"/>
        <w:rPr>
          <w:sz w:val="20"/>
          <w:szCs w:val="20"/>
          <w:color w:val="auto"/>
        </w:rPr>
      </w:pPr>
    </w:p>
    <w:p>
      <w:pPr>
        <w:sectPr>
          <w:pgSz w:w="11900" w:h="16838" w:orient="portrait"/>
          <w:cols w:equalWidth="0" w:num="2">
            <w:col w:w="5580" w:space="440"/>
            <w:col w:w="5400"/>
          </w:cols>
          <w:pgMar w:left="240" w:top="923" w:right="239" w:bottom="1440" w:gutter="0" w:footer="0" w:header="0"/>
          <w:type w:val="continuous"/>
        </w:sectPr>
      </w:pPr>
    </w:p>
    <w:p>
      <w:pPr>
        <w:ind w:left="900" w:hanging="216"/>
        <w:spacing w:after="0"/>
        <w:tabs>
          <w:tab w:leader="none" w:pos="9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no approval of the Federal Communications Commission (the “</w:t>
      </w:r>
      <w:r>
        <w:rPr>
          <w:rFonts w:ascii="Arial" w:cs="Arial" w:eastAsia="Arial" w:hAnsi="Arial"/>
          <w:sz w:val="15"/>
          <w:szCs w:val="15"/>
          <w:b w:val="1"/>
          <w:bCs w:val="1"/>
          <w:color w:val="auto"/>
        </w:rPr>
        <w:t>FCC</w:t>
      </w:r>
      <w:r>
        <w:rPr>
          <w:rFonts w:ascii="Arial" w:cs="Arial" w:eastAsia="Arial" w:hAnsi="Arial"/>
          <w:sz w:val="15"/>
          <w:szCs w:val="15"/>
          <w:color w:val="auto"/>
        </w:rPr>
        <w:t>”) is required in connection with the issuance and sale of the Offered Securities,</w:t>
      </w:r>
    </w:p>
    <w:p>
      <w:pPr>
        <w:spacing w:after="0" w:line="151" w:lineRule="exact"/>
        <w:rPr>
          <w:rFonts w:ascii="Arial" w:cs="Arial" w:eastAsia="Arial" w:hAnsi="Arial"/>
          <w:sz w:val="15"/>
          <w:szCs w:val="15"/>
          <w:color w:val="auto"/>
        </w:rPr>
      </w:pPr>
    </w:p>
    <w:p>
      <w:pPr>
        <w:ind w:left="460" w:firstLine="224"/>
        <w:spacing w:after="0" w:line="249" w:lineRule="auto"/>
        <w:tabs>
          <w:tab w:leader="none" w:pos="941"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Company, the fulfillment of the terms set forth herein by the Company and the consummation of the transactions contemplated hereby by the Company do not violate any statute, regulation or other law of the United States relating specifically to the cable communications industry (except as otherwise explicitly set forth in the Time of Sale Prospectus) or, to the knowledge of such counsel, any order, 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90" w:lineRule="exact"/>
        <w:rPr>
          <w:rFonts w:ascii="Arial" w:cs="Arial" w:eastAsia="Arial" w:hAnsi="Arial"/>
          <w:sz w:val="18"/>
          <w:szCs w:val="18"/>
          <w:color w:val="auto"/>
        </w:rPr>
      </w:pPr>
    </w:p>
    <w:p>
      <w:pPr>
        <w:ind w:left="460" w:right="80" w:firstLine="224"/>
        <w:spacing w:after="0" w:line="269" w:lineRule="auto"/>
        <w:tabs>
          <w:tab w:leader="none" w:pos="99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statements in the Company’s most recent Annual Report on Form 10-K incorporated by reference in the Registration Statement, the Time of Sale Prospectus and the Prospectus relating to cable regulatory matters, as updated by the Company’s most recent Quarterly Reports on Form 10-Q incorporated in the Registration Statement, the Time of Sale Prospectus and the Prospectus and as updated by the Time of Sale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1" w:lineRule="exact"/>
        <w:rPr>
          <w:rFonts w:ascii="Arial" w:cs="Arial" w:eastAsia="Arial" w:hAnsi="Arial"/>
          <w:sz w:val="17"/>
          <w:szCs w:val="17"/>
          <w:color w:val="auto"/>
        </w:rPr>
      </w:pPr>
    </w:p>
    <w:p>
      <w:pPr>
        <w:ind w:left="460" w:right="100" w:firstLine="224"/>
        <w:spacing w:after="0" w:line="252"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Time of Sale Prospectus pursuant to Regulation S-K promulgated under the Securities Act, which is not described as required.</w:t>
      </w:r>
    </w:p>
    <w:p>
      <w:pPr>
        <w:spacing w:after="0" w:line="85" w:lineRule="exact"/>
        <w:rPr>
          <w:rFonts w:ascii="Arial" w:cs="Arial" w:eastAsia="Arial" w:hAnsi="Arial"/>
          <w:sz w:val="18"/>
          <w:szCs w:val="18"/>
          <w:color w:val="auto"/>
        </w:rPr>
      </w:pPr>
    </w:p>
    <w:p>
      <w:pPr>
        <w:ind w:left="240" w:right="340" w:firstLine="215"/>
        <w:spacing w:after="0" w:line="265" w:lineRule="auto"/>
        <w:tabs>
          <w:tab w:leader="none" w:pos="6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Cahill Gordon &amp; Reindel LLP, counsel for the Underwriters, dated the Closing Date, covering the matters requested by and in form and substance reasonably satisfactory to the Manager.</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Manager shall have received on the date of the Underwriting Agreement a letter dated such date and on the Closing Date a letter dated such date,</w:t>
      </w:r>
    </w:p>
    <w:p>
      <w:pPr>
        <w:spacing w:after="0" w:line="50"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type w:val="continuous"/>
        </w:sectPr>
      </w:pPr>
    </w:p>
    <w:bookmarkStart w:id="119" w:name="page120"/>
    <w:bookmarkEnd w:id="119"/>
    <w:p>
      <w:pPr>
        <w:ind w:left="240" w:right="40"/>
        <w:spacing w:after="0" w:line="267" w:lineRule="auto"/>
        <w:rPr>
          <w:sz w:val="20"/>
          <w:szCs w:val="20"/>
          <w:color w:val="auto"/>
        </w:rPr>
      </w:pPr>
      <w:r>
        <w:rPr>
          <w:rFonts w:ascii="Arial" w:cs="Arial" w:eastAsia="Arial" w:hAnsi="Arial"/>
          <w:sz w:val="17"/>
          <w:szCs w:val="17"/>
          <w:color w:val="auto"/>
        </w:rPr>
        <w:t>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Time of Sale Prospectus and the Prospectus and each other firm of independent accountants, if any, who audited or reviewed financial statements contained in or incorporated by reference in the Registration Statement, the Time of Sale Prospectus and the Prospectus, containing statements and information of the type ordinarily included in accountants’ “comfort letters” to underwriters with respect to such financial statements and financial information.</w:t>
      </w:r>
    </w:p>
    <w:p>
      <w:pPr>
        <w:spacing w:after="0" w:line="74" w:lineRule="exact"/>
        <w:rPr>
          <w:sz w:val="20"/>
          <w:szCs w:val="20"/>
          <w:color w:val="auto"/>
        </w:rPr>
      </w:pPr>
    </w:p>
    <w:p>
      <w:pPr>
        <w:ind w:left="240" w:right="560" w:firstLine="215"/>
        <w:spacing w:after="0" w:line="265"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73"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The several obligations of the Underwriters to purchase Additional Securities hereunder are subject to the delivery to the Manager on the Option Closing Date of such opinions, certificates and documents as are contemplated for the Closing of the Firm Securities in this Section 4.</w:t>
      </w:r>
    </w:p>
    <w:p>
      <w:pPr>
        <w:spacing w:after="0" w:line="73" w:lineRule="exact"/>
        <w:rPr>
          <w:sz w:val="20"/>
          <w:szCs w:val="20"/>
          <w:color w:val="auto"/>
        </w:rPr>
      </w:pPr>
    </w:p>
    <w:p>
      <w:pPr>
        <w:ind w:left="400" w:hanging="173"/>
        <w:spacing w:after="0"/>
        <w:tabs>
          <w:tab w:leader="none" w:pos="4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Covenants of the Company. In further consideration of the agreements of the Underwriters herein contained, the Company covenants as follows:</w:t>
      </w:r>
    </w:p>
    <w:p>
      <w:pPr>
        <w:spacing w:after="0" w:line="122" w:lineRule="exact"/>
        <w:rPr>
          <w:rFonts w:ascii="Arial" w:cs="Arial" w:eastAsia="Arial" w:hAnsi="Arial"/>
          <w:sz w:val="17"/>
          <w:szCs w:val="17"/>
          <w:color w:val="auto"/>
        </w:rPr>
      </w:pPr>
    </w:p>
    <w:p>
      <w:pPr>
        <w:ind w:left="240" w:right="20" w:firstLine="215"/>
        <w:spacing w:after="0" w:line="252" w:lineRule="auto"/>
        <w:tabs>
          <w:tab w:leader="none" w:pos="701"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Time of Sale Prospectus, the Prospectus, any documents incorporated therein by reference and any supplements and amendments thereto as the Manager may reasonably request.</w:t>
      </w:r>
    </w:p>
    <w:p>
      <w:pPr>
        <w:spacing w:after="0" w:line="85" w:lineRule="exact"/>
        <w:rPr>
          <w:rFonts w:ascii="Arial" w:cs="Arial" w:eastAsia="Arial" w:hAnsi="Arial"/>
          <w:sz w:val="18"/>
          <w:szCs w:val="18"/>
          <w:color w:val="auto"/>
        </w:rPr>
      </w:pPr>
    </w:p>
    <w:p>
      <w:pPr>
        <w:ind w:left="240" w:right="200" w:firstLine="215"/>
        <w:spacing w:after="0" w:line="265" w:lineRule="auto"/>
        <w:tabs>
          <w:tab w:leader="none" w:pos="711" w:val="left"/>
        </w:tabs>
        <w:numPr>
          <w:ilvl w:val="1"/>
          <w:numId w:val="92"/>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the Manager a copy of each such proposed amendment or supplement.</w:t>
      </w:r>
    </w:p>
    <w:p>
      <w:pPr>
        <w:spacing w:after="0" w:line="73" w:lineRule="exact"/>
        <w:rPr>
          <w:rFonts w:ascii="Arial" w:cs="Arial" w:eastAsia="Arial" w:hAnsi="Arial"/>
          <w:sz w:val="18"/>
          <w:szCs w:val="18"/>
          <w:color w:val="auto"/>
        </w:rPr>
      </w:pPr>
    </w:p>
    <w:p>
      <w:pPr>
        <w:ind w:left="240" w:right="460" w:firstLine="215"/>
        <w:spacing w:after="0" w:line="265" w:lineRule="auto"/>
        <w:tabs>
          <w:tab w:leader="none" w:pos="701" w:val="left"/>
        </w:tabs>
        <w:numPr>
          <w:ilvl w:val="1"/>
          <w:numId w:val="92"/>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73" w:lineRule="exact"/>
        <w:rPr>
          <w:rFonts w:ascii="Arial" w:cs="Arial" w:eastAsia="Arial" w:hAnsi="Arial"/>
          <w:sz w:val="18"/>
          <w:szCs w:val="18"/>
          <w:color w:val="auto"/>
        </w:rPr>
      </w:pPr>
    </w:p>
    <w:p>
      <w:pPr>
        <w:ind w:left="240" w:right="60" w:firstLine="215"/>
        <w:spacing w:after="0" w:line="366" w:lineRule="auto"/>
        <w:tabs>
          <w:tab w:leader="none" w:pos="711" w:val="left"/>
        </w:tabs>
        <w:numPr>
          <w:ilvl w:val="1"/>
          <w:numId w:val="92"/>
        </w:numPr>
        <w:rPr>
          <w:rFonts w:ascii="Arial" w:cs="Arial" w:eastAsia="Arial" w:hAnsi="Arial"/>
          <w:sz w:val="15"/>
          <w:szCs w:val="15"/>
          <w:color w:val="auto"/>
        </w:rPr>
      </w:pPr>
      <w:r>
        <w:rPr>
          <w:rFonts w:ascii="Arial" w:cs="Arial" w:eastAsia="Arial" w:hAnsi="Arial"/>
          <w:sz w:val="15"/>
          <w:szCs w:val="15"/>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4" w:lineRule="exact"/>
        <w:rPr>
          <w:rFonts w:ascii="Arial" w:cs="Arial" w:eastAsia="Arial" w:hAnsi="Arial"/>
          <w:sz w:val="15"/>
          <w:szCs w:val="15"/>
          <w:color w:val="auto"/>
        </w:rPr>
      </w:pPr>
    </w:p>
    <w:p>
      <w:pPr>
        <w:ind w:left="240" w:right="720" w:firstLine="215"/>
        <w:spacing w:after="0" w:line="265" w:lineRule="auto"/>
        <w:tabs>
          <w:tab w:leader="none" w:pos="701"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0" w:name="page121"/>
    <w:bookmarkEnd w:id="120"/>
    <w:p>
      <w:pPr>
        <w:ind w:left="13" w:right="20"/>
        <w:spacing w:after="0" w:line="249" w:lineRule="auto"/>
        <w:rPr>
          <w:sz w:val="20"/>
          <w:szCs w:val="20"/>
          <w:color w:val="auto"/>
        </w:rPr>
      </w:pPr>
      <w:r>
        <w:rPr>
          <w:rFonts w:ascii="Arial" w:cs="Arial" w:eastAsia="Arial" w:hAnsi="Arial"/>
          <w:sz w:val="18"/>
          <w:szCs w:val="18"/>
          <w:color w:val="auto"/>
        </w:rPr>
        <w:t>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w:t>
      </w:r>
    </w:p>
    <w:p>
      <w:pPr>
        <w:spacing w:after="0" w:line="88" w:lineRule="exact"/>
        <w:rPr>
          <w:sz w:val="20"/>
          <w:szCs w:val="20"/>
          <w:color w:val="auto"/>
        </w:rPr>
      </w:pPr>
    </w:p>
    <w:p>
      <w:pPr>
        <w:ind w:left="13" w:right="80" w:firstLine="215"/>
        <w:spacing w:after="0" w:line="307" w:lineRule="auto"/>
        <w:tabs>
          <w:tab w:leader="none" w:pos="455" w:val="left"/>
        </w:tabs>
        <w:numPr>
          <w:ilvl w:val="1"/>
          <w:numId w:val="93"/>
        </w:numPr>
        <w:rPr>
          <w:rFonts w:ascii="Arial" w:cs="Arial" w:eastAsia="Arial" w:hAnsi="Arial"/>
          <w:sz w:val="15"/>
          <w:szCs w:val="15"/>
          <w:color w:val="auto"/>
        </w:rPr>
      </w:pPr>
      <w:r>
        <w:rPr>
          <w:rFonts w:ascii="Arial" w:cs="Arial" w:eastAsia="Arial" w:hAnsi="Arial"/>
          <w:sz w:val="15"/>
          <w:szCs w:val="15"/>
          <w:color w:val="auto"/>
        </w:rPr>
        <w:t>If, during such period after the first date of the public offering of the Offered Securities during which in the opinion of counsel to the Manager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46" w:lineRule="exact"/>
        <w:rPr>
          <w:rFonts w:ascii="Arial" w:cs="Arial" w:eastAsia="Arial" w:hAnsi="Arial"/>
          <w:sz w:val="15"/>
          <w:szCs w:val="15"/>
          <w:color w:val="auto"/>
        </w:rPr>
      </w:pPr>
    </w:p>
    <w:p>
      <w:pPr>
        <w:ind w:left="13" w:right="240" w:firstLine="215"/>
        <w:spacing w:after="0" w:line="265" w:lineRule="auto"/>
        <w:tabs>
          <w:tab w:leader="none" w:pos="4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 shall reasonably request.</w:t>
      </w:r>
    </w:p>
    <w:p>
      <w:pPr>
        <w:spacing w:after="0" w:line="73" w:lineRule="exact"/>
        <w:rPr>
          <w:rFonts w:ascii="Arial" w:cs="Arial" w:eastAsia="Arial" w:hAnsi="Arial"/>
          <w:sz w:val="18"/>
          <w:szCs w:val="18"/>
          <w:color w:val="auto"/>
        </w:rPr>
      </w:pPr>
    </w:p>
    <w:p>
      <w:pPr>
        <w:ind w:left="13" w:right="60" w:firstLine="215"/>
        <w:spacing w:after="0" w:line="252" w:lineRule="auto"/>
        <w:tabs>
          <w:tab w:leader="none" w:pos="4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85" w:lineRule="exact"/>
        <w:rPr>
          <w:rFonts w:ascii="Arial" w:cs="Arial" w:eastAsia="Arial" w:hAnsi="Arial"/>
          <w:sz w:val="18"/>
          <w:szCs w:val="18"/>
          <w:color w:val="auto"/>
        </w:rPr>
      </w:pPr>
    </w:p>
    <w:p>
      <w:pPr>
        <w:ind w:left="173" w:hanging="173"/>
        <w:spacing w:after="0"/>
        <w:tabs>
          <w:tab w:leader="none" w:pos="173"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Covenants of the Underwriters. In further consideration of the agreements of the Issuers herein contained, each Underwriter severally covenants as follows:</w:t>
      </w:r>
    </w:p>
    <w:p>
      <w:pPr>
        <w:spacing w:after="0" w:line="145" w:lineRule="exact"/>
        <w:rPr>
          <w:rFonts w:ascii="Arial" w:cs="Arial" w:eastAsia="Arial" w:hAnsi="Arial"/>
          <w:sz w:val="15"/>
          <w:szCs w:val="15"/>
          <w:color w:val="auto"/>
        </w:rPr>
      </w:pPr>
    </w:p>
    <w:p>
      <w:pPr>
        <w:ind w:left="13" w:right="520" w:firstLine="215"/>
        <w:spacing w:after="0" w:line="255" w:lineRule="auto"/>
        <w:tabs>
          <w:tab w:leader="none" w:pos="474"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82" w:lineRule="exact"/>
        <w:rPr>
          <w:rFonts w:ascii="Arial" w:cs="Arial" w:eastAsia="Arial" w:hAnsi="Arial"/>
          <w:sz w:val="18"/>
          <w:szCs w:val="18"/>
          <w:color w:val="auto"/>
        </w:rPr>
      </w:pPr>
    </w:p>
    <w:p>
      <w:pPr>
        <w:ind w:left="473" w:hanging="245"/>
        <w:spacing w:after="0"/>
        <w:tabs>
          <w:tab w:leader="none" w:pos="473"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396240</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73"/>
          </w:cols>
          <w:pgMar w:left="467" w:top="923" w:right="259" w:bottom="1440" w:gutter="0" w:footer="0" w:header="0"/>
        </w:sectPr>
      </w:pPr>
    </w:p>
    <w:bookmarkStart w:id="121" w:name="page122"/>
    <w:bookmarkEnd w:id="121"/>
    <w:p>
      <w:pPr>
        <w:ind w:left="460" w:right="240" w:firstLine="224"/>
        <w:spacing w:after="0" w:line="255" w:lineRule="auto"/>
        <w:tabs>
          <w:tab w:leader="none" w:pos="8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the Underwriting Agreement or otherwise permitted under Rule 134 of the Securities Act;</w:t>
      </w:r>
    </w:p>
    <w:p>
      <w:pPr>
        <w:spacing w:after="0" w:line="82" w:lineRule="exact"/>
        <w:rPr>
          <w:rFonts w:ascii="Arial" w:cs="Arial" w:eastAsia="Arial" w:hAnsi="Arial"/>
          <w:sz w:val="18"/>
          <w:szCs w:val="18"/>
          <w:color w:val="auto"/>
        </w:rPr>
      </w:pPr>
    </w:p>
    <w:p>
      <w:pPr>
        <w:ind w:left="460" w:right="40" w:firstLine="224"/>
        <w:spacing w:after="0" w:line="294" w:lineRule="auto"/>
        <w:tabs>
          <w:tab w:leader="none" w:pos="941"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51" w:lineRule="exact"/>
        <w:rPr>
          <w:rFonts w:ascii="Arial" w:cs="Arial" w:eastAsia="Arial" w:hAnsi="Arial"/>
          <w:sz w:val="17"/>
          <w:szCs w:val="17"/>
          <w:color w:val="auto"/>
        </w:rPr>
      </w:pPr>
    </w:p>
    <w:p>
      <w:pPr>
        <w:ind w:left="1000" w:hanging="316"/>
        <w:spacing w:after="0"/>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the Underwriting Agreement as forming part of the Time of Sale Prospectus.</w:t>
      </w:r>
    </w:p>
    <w:p>
      <w:pPr>
        <w:spacing w:after="0" w:line="111" w:lineRule="exact"/>
        <w:rPr>
          <w:rFonts w:ascii="Arial" w:cs="Arial" w:eastAsia="Arial" w:hAnsi="Arial"/>
          <w:sz w:val="18"/>
          <w:szCs w:val="18"/>
          <w:color w:val="auto"/>
        </w:rPr>
      </w:pPr>
    </w:p>
    <w:p>
      <w:pPr>
        <w:ind w:firstLine="227"/>
        <w:spacing w:after="0" w:line="300" w:lineRule="auto"/>
        <w:tabs>
          <w:tab w:leader="none" w:pos="39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Time of Sale Prospectus (as amended or supplemented), any issuer free writing prospectus that the Issuers have filed or are required to file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 provided, however, that the foregoing indemnity with respect to any preliminary prospectus, any issuer free writing prospectus, the Time of Sale Prospectus or the Prospectus shall not inure to the benefit of any Underwriter from whom the person asserting any such losses, claims, damages or liabilities purchased Offered Securities, or any person controlling any such Underwriter, if a copy of the preliminary prospectus, any issuer free writing prospectus, the Time of Sale Prospectus or the Prospectus (as then amended or supplemented if the Company shall have furnished any amendments or supplements thereto) was not sent or given by or on behalf of such Underwriter to such person, if required by law so to have been delivered, at or prior to the entry into the contract of sale of the Offered Securities with such person, and if the preliminary prospectus, any issuer free writing prospectus, the Time of Sale Prospectus or the Prospectus (as so amended or supplemented but without reference to documents incorporated by reference therein) would have cured the defect giving rise to such loss, claim, damage or liability.</w:t>
      </w:r>
    </w:p>
    <w:p>
      <w:pPr>
        <w:spacing w:after="0" w:line="270" w:lineRule="exact"/>
        <w:rPr>
          <w:sz w:val="20"/>
          <w:szCs w:val="20"/>
          <w:color w:val="auto"/>
        </w:rPr>
      </w:pPr>
    </w:p>
    <w:p>
      <w:pPr>
        <w:jc w:val="both"/>
        <w:ind w:right="100" w:firstLine="221"/>
        <w:spacing w:after="0" w:line="269" w:lineRule="auto"/>
        <w:rPr>
          <w:sz w:val="20"/>
          <w:szCs w:val="20"/>
          <w:color w:val="auto"/>
        </w:rPr>
      </w:pPr>
      <w:r>
        <w:rPr>
          <w:rFonts w:ascii="Arial" w:cs="Arial" w:eastAsia="Arial" w:hAnsi="Arial"/>
          <w:sz w:val="17"/>
          <w:szCs w:val="17"/>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any preliminary prospectus, the Time of Sale Prospectus, any issuer free writing prospectus, the Prospectus or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2" w:name="page123"/>
    <w:bookmarkEnd w:id="122"/>
    <w:p>
      <w:pPr>
        <w:ind w:firstLine="221"/>
        <w:spacing w:after="0" w:line="299" w:lineRule="auto"/>
        <w:rPr>
          <w:sz w:val="20"/>
          <w:szCs w:val="20"/>
          <w:color w:val="auto"/>
        </w:rPr>
      </w:pPr>
      <w:r>
        <w:rPr>
          <w:rFonts w:ascii="Arial" w:cs="Arial" w:eastAsia="Arial" w:hAnsi="Arial"/>
          <w:sz w:val="15"/>
          <w:szCs w:val="15"/>
          <w:color w:val="auto"/>
        </w:rPr>
        <w:t>In case any proceeding (including any governmental investigation) shall be instituted involving any person in respect of which indemnity may be sought pursuant to either of the two preceding paragraphs, such person (hereinafter called the “</w:t>
      </w:r>
      <w:r>
        <w:rPr>
          <w:rFonts w:ascii="Arial" w:cs="Arial" w:eastAsia="Arial" w:hAnsi="Arial"/>
          <w:sz w:val="15"/>
          <w:szCs w:val="15"/>
          <w:b w:val="1"/>
          <w:bCs w:val="1"/>
          <w:color w:val="auto"/>
        </w:rPr>
        <w:t>indemnified party</w:t>
      </w:r>
      <w:r>
        <w:rPr>
          <w:rFonts w:ascii="Arial" w:cs="Arial" w:eastAsia="Arial" w:hAnsi="Arial"/>
          <w:sz w:val="15"/>
          <w:szCs w:val="15"/>
          <w:color w:val="auto"/>
        </w:rPr>
        <w:t>”) shall promptly notify the person against whom such indemnity may be sought (hereinafter called the “</w:t>
      </w:r>
      <w:r>
        <w:rPr>
          <w:rFonts w:ascii="Arial" w:cs="Arial" w:eastAsia="Arial" w:hAnsi="Arial"/>
          <w:sz w:val="15"/>
          <w:szCs w:val="15"/>
          <w:b w:val="1"/>
          <w:bCs w:val="1"/>
          <w:color w:val="auto"/>
        </w:rPr>
        <w:t>indemnifying party</w:t>
      </w:r>
      <w:r>
        <w:rPr>
          <w:rFonts w:ascii="Arial" w:cs="Arial" w:eastAsia="Arial" w:hAnsi="Arial"/>
          <w:sz w:val="15"/>
          <w:szCs w:val="15"/>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69" w:lineRule="exact"/>
        <w:rPr>
          <w:sz w:val="20"/>
          <w:szCs w:val="20"/>
          <w:color w:val="auto"/>
        </w:rPr>
      </w:pPr>
    </w:p>
    <w:p>
      <w:pPr>
        <w:ind w:right="60" w:firstLine="221"/>
        <w:spacing w:after="0" w:line="299" w:lineRule="auto"/>
        <w:rPr>
          <w:sz w:val="20"/>
          <w:szCs w:val="20"/>
          <w:color w:val="auto"/>
        </w:rPr>
      </w:pPr>
      <w:r>
        <w:rPr>
          <w:rFonts w:ascii="Arial" w:cs="Arial" w:eastAsia="Arial" w:hAnsi="Arial"/>
          <w:sz w:val="15"/>
          <w:szCs w:val="15"/>
          <w:color w:val="auto"/>
        </w:rPr>
        <w:t>If the indemnification provided for in the second or third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 (ii) if the allocation provided by clause</w:t>
      </w:r>
    </w:p>
    <w:p>
      <w:pPr>
        <w:ind w:right="40" w:firstLine="6"/>
        <w:spacing w:after="0" w:line="308" w:lineRule="auto"/>
        <w:tabs>
          <w:tab w:leader="none" w:pos="211" w:val="left"/>
        </w:tabs>
        <w:numPr>
          <w:ilvl w:val="0"/>
          <w:numId w:val="97"/>
        </w:numPr>
        <w:rPr>
          <w:rFonts w:ascii="Arial" w:cs="Arial" w:eastAsia="Arial" w:hAnsi="Arial"/>
          <w:sz w:val="15"/>
          <w:szCs w:val="15"/>
          <w:color w:val="auto"/>
        </w:rPr>
      </w:pPr>
      <w:r>
        <w:rPr>
          <w:rFonts w:ascii="Arial" w:cs="Arial" w:eastAsia="Arial" w:hAnsi="Arial"/>
          <w:sz w:val="15"/>
          <w:szCs w:val="15"/>
          <w:color w:val="auto"/>
        </w:rPr>
        <w:t>above is not permitted by 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3" w:name="page124"/>
    <w:bookmarkEnd w:id="123"/>
    <w:p>
      <w:pPr>
        <w:jc w:val="both"/>
        <w:ind w:right="320"/>
        <w:spacing w:after="0" w:line="255" w:lineRule="auto"/>
        <w:rPr>
          <w:sz w:val="20"/>
          <w:szCs w:val="20"/>
          <w:color w:val="auto"/>
        </w:rPr>
      </w:pPr>
      <w:r>
        <w:rPr>
          <w:rFonts w:ascii="Arial" w:cs="Arial" w:eastAsia="Arial" w:hAnsi="Arial"/>
          <w:sz w:val="18"/>
          <w:szCs w:val="18"/>
          <w:color w:val="auto"/>
        </w:rPr>
        <w:t>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83"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77" w:lineRule="exact"/>
        <w:rPr>
          <w:sz w:val="20"/>
          <w:szCs w:val="20"/>
          <w:color w:val="auto"/>
        </w:rPr>
      </w:pPr>
    </w:p>
    <w:p>
      <w:pPr>
        <w:ind w:firstLine="218"/>
        <w:spacing w:after="0" w:line="252" w:lineRule="auto"/>
        <w:rPr>
          <w:sz w:val="20"/>
          <w:szCs w:val="20"/>
          <w:color w:val="auto"/>
        </w:rPr>
      </w:pPr>
      <w:r>
        <w:rPr>
          <w:rFonts w:ascii="Arial" w:cs="Arial" w:eastAsia="Arial" w:hAnsi="Arial"/>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Company, its officers or directors or any other person controlling the Company and (iii) acceptance of and payment for any of the Offered Securities.</w:t>
      </w:r>
    </w:p>
    <w:p>
      <w:pPr>
        <w:spacing w:after="0" w:line="85" w:lineRule="exact"/>
        <w:rPr>
          <w:sz w:val="20"/>
          <w:szCs w:val="20"/>
          <w:color w:val="auto"/>
        </w:rPr>
      </w:pPr>
    </w:p>
    <w:p>
      <w:pPr>
        <w:ind w:left="400" w:hanging="173"/>
        <w:spacing w:after="0"/>
        <w:tabs>
          <w:tab w:leader="none" w:pos="400" w:val="left"/>
        </w:tabs>
        <w:numPr>
          <w:ilvl w:val="1"/>
          <w:numId w:val="98"/>
        </w:numPr>
        <w:rPr>
          <w:rFonts w:ascii="Arial" w:cs="Arial" w:eastAsia="Arial" w:hAnsi="Arial"/>
          <w:sz w:val="15"/>
          <w:szCs w:val="15"/>
          <w:color w:val="auto"/>
        </w:rPr>
      </w:pPr>
      <w:r>
        <w:rPr>
          <w:rFonts w:ascii="Arial" w:cs="Arial" w:eastAsia="Arial" w:hAnsi="Arial"/>
          <w:sz w:val="15"/>
          <w:szCs w:val="15"/>
          <w:color w:val="auto"/>
        </w:rPr>
        <w:t>Termination. This Agreement shall be subject to termination in the absolute discretion of the Manager by notice given by the Manager to the Company, if</w:t>
      </w:r>
    </w:p>
    <w:p>
      <w:pPr>
        <w:spacing w:after="0" w:line="50" w:lineRule="exact"/>
        <w:rPr>
          <w:rFonts w:ascii="Arial" w:cs="Arial" w:eastAsia="Arial" w:hAnsi="Arial"/>
          <w:sz w:val="15"/>
          <w:szCs w:val="15"/>
          <w:color w:val="auto"/>
        </w:rPr>
      </w:pPr>
    </w:p>
    <w:p>
      <w:pPr>
        <w:ind w:right="20" w:firstLine="6"/>
        <w:spacing w:after="0" w:line="304" w:lineRule="auto"/>
        <w:tabs>
          <w:tab w:leader="none" w:pos="2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after the Applicable Time and prior to the Closing Date [or the Option Closing Date, as the case may be,]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Time of Sale Prospectus.</w:t>
      </w:r>
    </w:p>
    <w:p>
      <w:pPr>
        <w:spacing w:after="0" w:line="50" w:lineRule="exact"/>
        <w:rPr>
          <w:sz w:val="20"/>
          <w:szCs w:val="20"/>
          <w:color w:val="auto"/>
        </w:rPr>
      </w:pPr>
    </w:p>
    <w:p>
      <w:pPr>
        <w:ind w:right="360" w:firstLine="218"/>
        <w:spacing w:after="0" w:line="265" w:lineRule="auto"/>
        <w:rPr>
          <w:sz w:val="20"/>
          <w:szCs w:val="20"/>
          <w:color w:val="auto"/>
        </w:rPr>
      </w:pPr>
      <w:r>
        <w:rPr>
          <w:rFonts w:ascii="Arial" w:cs="Arial" w:eastAsia="Arial" w:hAnsi="Arial"/>
          <w:sz w:val="18"/>
          <w:szCs w:val="18"/>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24" w:name="page125"/>
    <w:bookmarkEnd w:id="124"/>
    <w:p>
      <w:pPr>
        <w:ind w:right="40"/>
        <w:spacing w:after="0" w:line="305" w:lineRule="auto"/>
        <w:rPr>
          <w:sz w:val="20"/>
          <w:szCs w:val="20"/>
          <w:color w:val="auto"/>
        </w:rPr>
      </w:pPr>
      <w:r>
        <w:rPr>
          <w:rFonts w:ascii="Arial" w:cs="Arial" w:eastAsia="Arial" w:hAnsi="Arial"/>
          <w:sz w:val="15"/>
          <w:szCs w:val="15"/>
          <w:color w:val="auto"/>
        </w:rPr>
        <w:t>amended, the preliminary prospectuses, the Time of Sale Prospectus, any free writing prospectus and the Prospectus and any amendments or supplements thereto, and the cost of furnishing copies thereto to the Underwriters, (b) the preparation, printing and distribution of this Agreement and Blue Sky Memorandum, (c) the delivery of the Offered Securities to the Underwriters, (d) the reasonable fees and disbursements of the Company’s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and (g) any fees charged by rating agencies for the rating of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50" w:lineRule="exact"/>
        <w:rPr>
          <w:sz w:val="20"/>
          <w:szCs w:val="20"/>
          <w:color w:val="auto"/>
        </w:rPr>
      </w:pPr>
    </w:p>
    <w:p>
      <w:pPr>
        <w:ind w:right="180" w:firstLine="221"/>
        <w:spacing w:after="0" w:line="318" w:lineRule="auto"/>
        <w:rPr>
          <w:sz w:val="20"/>
          <w:szCs w:val="20"/>
          <w:color w:val="auto"/>
        </w:rPr>
      </w:pPr>
      <w:r>
        <w:rPr>
          <w:rFonts w:ascii="Arial" w:cs="Arial" w:eastAsia="Arial" w:hAnsi="Arial"/>
          <w:sz w:val="15"/>
          <w:szCs w:val="15"/>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40" w:lineRule="exact"/>
        <w:rPr>
          <w:sz w:val="20"/>
          <w:szCs w:val="20"/>
          <w:color w:val="auto"/>
        </w:rPr>
      </w:pPr>
    </w:p>
    <w:p>
      <w:pPr>
        <w:ind w:firstLine="227"/>
        <w:spacing w:after="0" w:line="300" w:lineRule="auto"/>
        <w:tabs>
          <w:tab w:leader="none" w:pos="39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Defaulting Underwriters. If on the Closing Date [or the Option Closing Date, as the case may be,]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[or the Option Closing Date, as the case may be,]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[or the Option Closing Date, as the case may be,] but in no event for longer than seven days, in order that the required changes, if any, in the Registration Statement and in the Prospectus or in any other documents or arrangements may be effected. Any action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497205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under this paragraph shall not relieve any defaulting Underwriter from liability in respect of any default of such Underwriter under this Agreement.</w:t>
      </w:r>
    </w:p>
    <w:p>
      <w:pPr>
        <w:spacing w:after="0" w:line="123" w:lineRule="exact"/>
        <w:rPr>
          <w:sz w:val="20"/>
          <w:szCs w:val="20"/>
          <w:color w:val="auto"/>
        </w:rPr>
      </w:pPr>
    </w:p>
    <w:p>
      <w:pPr>
        <w:ind w:firstLine="227"/>
        <w:spacing w:after="0" w:line="265" w:lineRule="auto"/>
        <w:tabs>
          <w:tab w:leader="none" w:pos="48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73" w:lineRule="exact"/>
        <w:rPr>
          <w:rFonts w:ascii="Arial" w:cs="Arial" w:eastAsia="Arial" w:hAnsi="Arial"/>
          <w:sz w:val="18"/>
          <w:szCs w:val="18"/>
          <w:color w:val="auto"/>
        </w:rPr>
      </w:pPr>
    </w:p>
    <w:p>
      <w:pPr>
        <w:ind w:left="480" w:hanging="253"/>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Applicable Law. This Agreement shall be governed by and construed in accordance with the internal laws of the State of New York.</w:t>
      </w:r>
    </w:p>
    <w:p>
      <w:pPr>
        <w:spacing w:after="0" w:line="111" w:lineRule="exact"/>
        <w:rPr>
          <w:rFonts w:ascii="Arial" w:cs="Arial" w:eastAsia="Arial" w:hAnsi="Arial"/>
          <w:sz w:val="18"/>
          <w:szCs w:val="18"/>
          <w:color w:val="auto"/>
        </w:rPr>
      </w:pPr>
    </w:p>
    <w:p>
      <w:pPr>
        <w:ind w:right="360" w:firstLine="227"/>
        <w:spacing w:after="0" w:line="265" w:lineRule="auto"/>
        <w:tabs>
          <w:tab w:leader="none" w:pos="48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Headings. The headings of the sections of this Agreement have been inserted for convenience of reference only and shall not be deemed a part of this Agreement.</w:t>
      </w:r>
    </w:p>
    <w:p>
      <w:pPr>
        <w:sectPr>
          <w:pgSz w:w="11900" w:h="16838" w:orient="portrait"/>
          <w:cols w:equalWidth="0" w:num="1">
            <w:col w:w="11420"/>
          </w:cols>
          <w:pgMar w:left="240" w:top="923"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154305</wp:posOffset>
            </wp:positionV>
            <wp:extent cx="7249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COMCAST CORPORATION</w:t>
      </w:r>
      <w:r>
        <w:rPr>
          <w:rFonts w:ascii="Arial" w:cs="Arial" w:eastAsia="Arial" w:hAnsi="Arial"/>
          <w:sz w:val="18"/>
          <w:szCs w:val="18"/>
          <w:color w:val="auto"/>
        </w:rPr>
        <w:t>, as Issuer</w:t>
      </w:r>
    </w:p>
    <w:p>
      <w:pPr>
        <w:spacing w:after="0" w:line="32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THE CABLE GUARANTORS PARTY HERETO</w:t>
      </w:r>
    </w:p>
    <w:p>
      <w:pPr>
        <w:spacing w:after="0" w:line="3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THE BANK OF NEW YORK</w:t>
      </w:r>
      <w:r>
        <w:rPr>
          <w:rFonts w:ascii="Arial" w:cs="Arial" w:eastAsia="Arial" w:hAnsi="Arial"/>
          <w:sz w:val="18"/>
          <w:szCs w:val="18"/>
          <w:color w:val="auto"/>
        </w:rPr>
        <w:t>, as Trustee</w:t>
      </w:r>
    </w:p>
    <w:p>
      <w:pPr>
        <w:spacing w:after="0" w:line="32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329" w:lineRule="exact"/>
        <w:rPr>
          <w:sz w:val="20"/>
          <w:szCs w:val="20"/>
          <w:color w:val="auto"/>
        </w:rPr>
      </w:pPr>
    </w:p>
    <w:p>
      <w:pPr>
        <w:ind w:left="3800"/>
        <w:spacing w:after="0"/>
        <w:tabs>
          <w:tab w:leader="none" w:pos="514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213360</wp:posOffset>
            </wp:positionV>
            <wp:extent cx="18776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225425</wp:posOffset>
            </wp:positionV>
            <wp:extent cx="7249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619125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058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7"/>
              </w:rPr>
              <w:t>TABLE OF CONTENTS</w:t>
            </w:r>
          </w:p>
        </w:tc>
        <w:tc>
          <w:tcPr>
            <w:tcW w:w="840" w:type="dxa"/>
            <w:vAlign w:val="bottom"/>
          </w:tcPr>
          <w:p>
            <w:pPr>
              <w:spacing w:after="0"/>
              <w:rPr>
                <w:sz w:val="17"/>
                <w:szCs w:val="17"/>
                <w:color w:val="auto"/>
              </w:rPr>
            </w:pPr>
          </w:p>
        </w:tc>
      </w:tr>
      <w:tr>
        <w:trPr>
          <w:trHeight w:val="378"/>
        </w:trPr>
        <w:tc>
          <w:tcPr>
            <w:tcW w:w="476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AGE</w:t>
            </w:r>
          </w:p>
        </w:tc>
      </w:tr>
      <w:tr>
        <w:trPr>
          <w:trHeight w:val="617"/>
        </w:trPr>
        <w:tc>
          <w:tcPr>
            <w:tcW w:w="4760" w:type="dxa"/>
            <w:vAlign w:val="bottom"/>
          </w:tcPr>
          <w:p>
            <w:pPr>
              <w:spacing w:after="0"/>
              <w:rPr>
                <w:sz w:val="24"/>
                <w:szCs w:val="24"/>
                <w:color w:val="auto"/>
              </w:rPr>
            </w:pPr>
          </w:p>
        </w:tc>
        <w:tc>
          <w:tcPr>
            <w:tcW w:w="5820" w:type="dxa"/>
            <w:vAlign w:val="bottom"/>
            <w:gridSpan w:val="2"/>
          </w:tcPr>
          <w:p>
            <w:pPr>
              <w:jc w:val="center"/>
              <w:ind w:right="3920"/>
              <w:spacing w:after="0"/>
              <w:rPr>
                <w:sz w:val="20"/>
                <w:szCs w:val="20"/>
                <w:color w:val="auto"/>
              </w:rPr>
            </w:pPr>
            <w:r>
              <w:rPr>
                <w:rFonts w:ascii="Arial" w:cs="Arial" w:eastAsia="Arial" w:hAnsi="Arial"/>
                <w:sz w:val="18"/>
                <w:szCs w:val="18"/>
                <w:color w:val="auto"/>
                <w:w w:val="94"/>
              </w:rPr>
              <w:t>ARTICLE 1</w:t>
            </w:r>
          </w:p>
        </w:tc>
        <w:tc>
          <w:tcPr>
            <w:tcW w:w="840" w:type="dxa"/>
            <w:vAlign w:val="bottom"/>
          </w:tcPr>
          <w:p>
            <w:pPr>
              <w:spacing w:after="0"/>
              <w:rPr>
                <w:sz w:val="24"/>
                <w:szCs w:val="24"/>
                <w:color w:val="auto"/>
              </w:rPr>
            </w:pPr>
          </w:p>
        </w:tc>
      </w:tr>
      <w:tr>
        <w:trPr>
          <w:trHeight w:val="223"/>
        </w:trPr>
        <w:tc>
          <w:tcPr>
            <w:tcW w:w="4760" w:type="dxa"/>
            <w:vAlign w:val="bottom"/>
          </w:tcPr>
          <w:p>
            <w:pPr>
              <w:spacing w:after="0"/>
              <w:rPr>
                <w:sz w:val="19"/>
                <w:szCs w:val="19"/>
                <w:color w:val="auto"/>
              </w:rPr>
            </w:pPr>
          </w:p>
        </w:tc>
        <w:tc>
          <w:tcPr>
            <w:tcW w:w="5820" w:type="dxa"/>
            <w:vAlign w:val="bottom"/>
            <w:gridSpan w:val="2"/>
          </w:tcPr>
          <w:p>
            <w:pPr>
              <w:jc w:val="center"/>
              <w:ind w:right="3920"/>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EFINITIONS</w:t>
            </w:r>
          </w:p>
        </w:tc>
        <w:tc>
          <w:tcPr>
            <w:tcW w:w="840" w:type="dxa"/>
            <w:vAlign w:val="bottom"/>
          </w:tcPr>
          <w:p>
            <w:pPr>
              <w:spacing w:after="0"/>
              <w:rPr>
                <w:sz w:val="19"/>
                <w:szCs w:val="19"/>
                <w:color w:val="auto"/>
              </w:rPr>
            </w:pPr>
          </w:p>
        </w:tc>
      </w:tr>
      <w:tr>
        <w:trPr>
          <w:trHeight w:val="424"/>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Certain Terms Defined</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w:t>
            </w:r>
          </w:p>
        </w:tc>
      </w:tr>
      <w:tr>
        <w:trPr>
          <w:trHeight w:val="625"/>
        </w:trPr>
        <w:tc>
          <w:tcPr>
            <w:tcW w:w="4760" w:type="dxa"/>
            <w:vAlign w:val="bottom"/>
          </w:tcPr>
          <w:p>
            <w:pPr>
              <w:spacing w:after="0"/>
              <w:rPr>
                <w:sz w:val="24"/>
                <w:szCs w:val="24"/>
                <w:color w:val="auto"/>
              </w:rPr>
            </w:pPr>
          </w:p>
        </w:tc>
        <w:tc>
          <w:tcPr>
            <w:tcW w:w="5820" w:type="dxa"/>
            <w:vAlign w:val="bottom"/>
            <w:gridSpan w:val="2"/>
          </w:tcPr>
          <w:p>
            <w:pPr>
              <w:jc w:val="center"/>
              <w:ind w:right="3920"/>
              <w:spacing w:after="0"/>
              <w:rPr>
                <w:sz w:val="20"/>
                <w:szCs w:val="20"/>
                <w:color w:val="auto"/>
              </w:rPr>
            </w:pPr>
            <w:r>
              <w:rPr>
                <w:rFonts w:ascii="Arial" w:cs="Arial" w:eastAsia="Arial" w:hAnsi="Arial"/>
                <w:sz w:val="18"/>
                <w:szCs w:val="18"/>
                <w:color w:val="auto"/>
                <w:w w:val="94"/>
              </w:rPr>
              <w:t>ARTICLE 2</w:t>
            </w:r>
          </w:p>
        </w:tc>
        <w:tc>
          <w:tcPr>
            <w:tcW w:w="840" w:type="dxa"/>
            <w:vAlign w:val="bottom"/>
          </w:tcPr>
          <w:p>
            <w:pPr>
              <w:spacing w:after="0"/>
              <w:rPr>
                <w:sz w:val="24"/>
                <w:szCs w:val="24"/>
                <w:color w:val="auto"/>
              </w:rPr>
            </w:pPr>
          </w:p>
        </w:tc>
      </w:tr>
      <w:tr>
        <w:trPr>
          <w:trHeight w:val="223"/>
        </w:trPr>
        <w:tc>
          <w:tcPr>
            <w:tcW w:w="4760" w:type="dxa"/>
            <w:vAlign w:val="bottom"/>
          </w:tcPr>
          <w:p>
            <w:pPr>
              <w:spacing w:after="0"/>
              <w:rPr>
                <w:sz w:val="19"/>
                <w:szCs w:val="19"/>
                <w:color w:val="auto"/>
              </w:rPr>
            </w:pPr>
          </w:p>
        </w:tc>
        <w:tc>
          <w:tcPr>
            <w:tcW w:w="5820" w:type="dxa"/>
            <w:vAlign w:val="bottom"/>
            <w:gridSpan w:val="2"/>
          </w:tcPr>
          <w:p>
            <w:pPr>
              <w:jc w:val="center"/>
              <w:ind w:right="3920"/>
              <w:spacing w:after="0"/>
              <w:rPr>
                <w:sz w:val="20"/>
                <w:szCs w:val="20"/>
                <w:color w:val="auto"/>
              </w:rPr>
            </w:pPr>
            <w:r>
              <w:rPr>
                <w:rFonts w:ascii="Arial" w:cs="Arial" w:eastAsia="Arial" w:hAnsi="Arial"/>
                <w:sz w:val="18"/>
                <w:szCs w:val="18"/>
                <w:color w:val="auto"/>
                <w:w w:val="98"/>
              </w:rPr>
              <w:t>S</w:t>
            </w:r>
            <w:r>
              <w:rPr>
                <w:rFonts w:ascii="Arial" w:cs="Arial" w:eastAsia="Arial" w:hAnsi="Arial"/>
                <w:sz w:val="11"/>
                <w:szCs w:val="11"/>
                <w:color w:val="auto"/>
                <w:w w:val="98"/>
              </w:rPr>
              <w:t>ECURITIES</w:t>
            </w:r>
          </w:p>
        </w:tc>
        <w:tc>
          <w:tcPr>
            <w:tcW w:w="840" w:type="dxa"/>
            <w:vAlign w:val="bottom"/>
          </w:tcPr>
          <w:p>
            <w:pPr>
              <w:spacing w:after="0"/>
              <w:rPr>
                <w:sz w:val="19"/>
                <w:szCs w:val="19"/>
                <w:color w:val="auto"/>
              </w:rPr>
            </w:pPr>
          </w:p>
        </w:tc>
      </w:tr>
      <w:tr>
        <w:trPr>
          <w:trHeight w:val="413"/>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Forms Generally</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12</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Certification of Authentication</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12</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13</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14</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17</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Mutilated, Defaced, Destroyed, Lost and Stolen Securities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20</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21</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22</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Computation of Interest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22</w:t>
            </w:r>
          </w:p>
        </w:tc>
      </w:tr>
      <w:tr>
        <w:trPr>
          <w:trHeight w:val="223"/>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Cusip Numbers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22</w:t>
            </w:r>
          </w:p>
        </w:tc>
      </w:tr>
      <w:tr>
        <w:trPr>
          <w:trHeight w:val="625"/>
        </w:trPr>
        <w:tc>
          <w:tcPr>
            <w:tcW w:w="4760" w:type="dxa"/>
            <w:vAlign w:val="bottom"/>
          </w:tcPr>
          <w:p>
            <w:pPr>
              <w:spacing w:after="0"/>
              <w:rPr>
                <w:sz w:val="24"/>
                <w:szCs w:val="24"/>
                <w:color w:val="auto"/>
              </w:rPr>
            </w:pPr>
          </w:p>
        </w:tc>
        <w:tc>
          <w:tcPr>
            <w:tcW w:w="5820" w:type="dxa"/>
            <w:vAlign w:val="bottom"/>
            <w:gridSpan w:val="2"/>
          </w:tcPr>
          <w:p>
            <w:pPr>
              <w:jc w:val="center"/>
              <w:ind w:right="3920"/>
              <w:spacing w:after="0"/>
              <w:rPr>
                <w:sz w:val="20"/>
                <w:szCs w:val="20"/>
                <w:color w:val="auto"/>
              </w:rPr>
            </w:pPr>
            <w:r>
              <w:rPr>
                <w:rFonts w:ascii="Arial" w:cs="Arial" w:eastAsia="Arial" w:hAnsi="Arial"/>
                <w:sz w:val="18"/>
                <w:szCs w:val="18"/>
                <w:color w:val="auto"/>
                <w:w w:val="94"/>
              </w:rPr>
              <w:t>ARTICLE 3</w:t>
            </w:r>
          </w:p>
        </w:tc>
        <w:tc>
          <w:tcPr>
            <w:tcW w:w="840" w:type="dxa"/>
            <w:vAlign w:val="bottom"/>
          </w:tcPr>
          <w:p>
            <w:pPr>
              <w:spacing w:after="0"/>
              <w:rPr>
                <w:sz w:val="24"/>
                <w:szCs w:val="24"/>
                <w:color w:val="auto"/>
              </w:rPr>
            </w:pPr>
          </w:p>
        </w:tc>
      </w:tr>
      <w:tr>
        <w:trPr>
          <w:trHeight w:val="223"/>
        </w:trPr>
        <w:tc>
          <w:tcPr>
            <w:tcW w:w="10580" w:type="dxa"/>
            <w:vAlign w:val="bottom"/>
            <w:gridSpan w:val="3"/>
          </w:tcPr>
          <w:p>
            <w:pPr>
              <w:jc w:val="center"/>
              <w:ind w:left="752"/>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OVENANTS OF THE</w:t>
            </w:r>
            <w:r>
              <w:rPr>
                <w:rFonts w:ascii="Arial" w:cs="Arial" w:eastAsia="Arial" w:hAnsi="Arial"/>
                <w:sz w:val="18"/>
                <w:szCs w:val="18"/>
                <w:color w:val="auto"/>
              </w:rPr>
              <w:t xml:space="preserve"> I</w:t>
            </w:r>
            <w:r>
              <w:rPr>
                <w:rFonts w:ascii="Arial" w:cs="Arial" w:eastAsia="Arial" w:hAnsi="Arial"/>
                <w:sz w:val="11"/>
                <w:szCs w:val="11"/>
                <w:color w:val="auto"/>
              </w:rPr>
              <w:t>SSUER</w:t>
            </w:r>
            <w:r>
              <w:rPr>
                <w:rFonts w:ascii="Arial" w:cs="Arial" w:eastAsia="Arial" w:hAnsi="Arial"/>
                <w:sz w:val="18"/>
                <w:szCs w:val="18"/>
                <w:color w:val="auto"/>
              </w:rPr>
              <w:t xml:space="preserve">, </w:t>
            </w:r>
            <w:r>
              <w:rPr>
                <w:rFonts w:ascii="Arial" w:cs="Arial" w:eastAsia="Arial" w:hAnsi="Arial"/>
                <w:sz w:val="11"/>
                <w:szCs w:val="11"/>
                <w:color w:val="auto"/>
              </w:rPr>
              <w:t>THE</w:t>
            </w:r>
            <w:r>
              <w:rPr>
                <w:rFonts w:ascii="Arial" w:cs="Arial" w:eastAsia="Arial" w:hAnsi="Arial"/>
                <w:sz w:val="18"/>
                <w:szCs w:val="18"/>
                <w:color w:val="auto"/>
              </w:rPr>
              <w:t xml:space="preserve"> C</w:t>
            </w:r>
            <w:r>
              <w:rPr>
                <w:rFonts w:ascii="Arial" w:cs="Arial" w:eastAsia="Arial" w:hAnsi="Arial"/>
                <w:sz w:val="11"/>
                <w:szCs w:val="11"/>
                <w:color w:val="auto"/>
              </w:rPr>
              <w:t>ABLE</w:t>
            </w:r>
            <w:r>
              <w:rPr>
                <w:rFonts w:ascii="Arial" w:cs="Arial" w:eastAsia="Arial" w:hAnsi="Arial"/>
                <w:sz w:val="18"/>
                <w:szCs w:val="18"/>
                <w:color w:val="auto"/>
              </w:rPr>
              <w:t xml:space="preserve"> G</w:t>
            </w:r>
            <w:r>
              <w:rPr>
                <w:rFonts w:ascii="Arial" w:cs="Arial" w:eastAsia="Arial" w:hAnsi="Arial"/>
                <w:sz w:val="11"/>
                <w:szCs w:val="11"/>
                <w:color w:val="auto"/>
              </w:rPr>
              <w:t>UARANTORS AND THE</w:t>
            </w:r>
            <w:r>
              <w:rPr>
                <w:rFonts w:ascii="Arial" w:cs="Arial" w:eastAsia="Arial" w:hAnsi="Arial"/>
                <w:sz w:val="18"/>
                <w:szCs w:val="18"/>
                <w:color w:val="auto"/>
              </w:rPr>
              <w:t xml:space="preserve"> T</w:t>
            </w:r>
            <w:r>
              <w:rPr>
                <w:rFonts w:ascii="Arial" w:cs="Arial" w:eastAsia="Arial" w:hAnsi="Arial"/>
                <w:sz w:val="11"/>
                <w:szCs w:val="11"/>
                <w:color w:val="auto"/>
              </w:rPr>
              <w:t>RUSTEE</w:t>
            </w:r>
          </w:p>
        </w:tc>
        <w:tc>
          <w:tcPr>
            <w:tcW w:w="840" w:type="dxa"/>
            <w:vAlign w:val="bottom"/>
          </w:tcPr>
          <w:p>
            <w:pPr>
              <w:spacing w:after="0"/>
              <w:rPr>
                <w:sz w:val="19"/>
                <w:szCs w:val="19"/>
                <w:color w:val="auto"/>
              </w:rPr>
            </w:pPr>
          </w:p>
        </w:tc>
      </w:tr>
      <w:tr>
        <w:trPr>
          <w:trHeight w:val="413"/>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Payment of Principal and Interest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22</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23</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Paying Agents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24</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Certificate of the Issuer</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25</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Securityholders Lists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25</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Reports by the Issuer</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Corporate Existence</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Restrictions on Mergers, Sales and Consolidations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26</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Further Assurances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27</w:t>
            </w:r>
          </w:p>
        </w:tc>
      </w:tr>
      <w:tr>
        <w:trPr>
          <w:trHeight w:val="212"/>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Limitation on Liens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27</w:t>
            </w:r>
          </w:p>
        </w:tc>
      </w:tr>
      <w:tr>
        <w:trPr>
          <w:trHeight w:val="223"/>
        </w:trPr>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Limitation on Sale and Leaseback Transactions</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27</w:t>
            </w:r>
          </w:p>
        </w:tc>
      </w:tr>
      <w:tr>
        <w:trPr>
          <w:trHeight w:val="621"/>
        </w:trPr>
        <w:tc>
          <w:tcPr>
            <w:tcW w:w="47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4"/>
        </w:trPr>
        <w:tc>
          <w:tcPr>
            <w:tcW w:w="10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P</w:t>
            </w:r>
            <w:r>
              <w:rPr>
                <w:rFonts w:ascii="Arial" w:cs="Arial" w:eastAsia="Arial" w:hAnsi="Arial"/>
                <w:sz w:val="9"/>
                <w:szCs w:val="9"/>
                <w:color w:val="auto"/>
                <w:w w:val="98"/>
              </w:rPr>
              <w:t>AGE</w:t>
            </w:r>
          </w:p>
        </w:tc>
      </w:tr>
      <w:tr>
        <w:trPr>
          <w:trHeight w:val="40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4</w:t>
            </w:r>
          </w:p>
        </w:tc>
        <w:tc>
          <w:tcPr>
            <w:tcW w:w="840" w:type="dxa"/>
            <w:vAlign w:val="bottom"/>
          </w:tcPr>
          <w:p>
            <w:pPr>
              <w:spacing w:after="0"/>
              <w:rPr>
                <w:sz w:val="24"/>
                <w:szCs w:val="24"/>
                <w:color w:val="auto"/>
              </w:rPr>
            </w:pPr>
          </w:p>
        </w:tc>
      </w:tr>
      <w:tr>
        <w:trPr>
          <w:trHeight w:val="223"/>
        </w:trPr>
        <w:tc>
          <w:tcPr>
            <w:tcW w:w="10580" w:type="dxa"/>
            <w:vAlign w:val="bottom"/>
          </w:tcPr>
          <w:p>
            <w:pPr>
              <w:jc w:val="center"/>
              <w:ind w:left="772"/>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EMEDIES OF THE</w:t>
            </w:r>
            <w:r>
              <w:rPr>
                <w:rFonts w:ascii="Arial" w:cs="Arial" w:eastAsia="Arial" w:hAnsi="Arial"/>
                <w:sz w:val="18"/>
                <w:szCs w:val="18"/>
                <w:color w:val="auto"/>
              </w:rPr>
              <w:t xml:space="preserve"> T</w:t>
            </w:r>
            <w:r>
              <w:rPr>
                <w:rFonts w:ascii="Arial" w:cs="Arial" w:eastAsia="Arial" w:hAnsi="Arial"/>
                <w:sz w:val="11"/>
                <w:szCs w:val="11"/>
                <w:color w:val="auto"/>
              </w:rPr>
              <w:t>RUSTEE AND</w:t>
            </w:r>
            <w:r>
              <w:rPr>
                <w:rFonts w:ascii="Arial" w:cs="Arial" w:eastAsia="Arial" w:hAnsi="Arial"/>
                <w:sz w:val="18"/>
                <w:szCs w:val="18"/>
                <w:color w:val="auto"/>
              </w:rPr>
              <w:t xml:space="preserve"> S</w:t>
            </w:r>
            <w:r>
              <w:rPr>
                <w:rFonts w:ascii="Arial" w:cs="Arial" w:eastAsia="Arial" w:hAnsi="Arial"/>
                <w:sz w:val="11"/>
                <w:szCs w:val="11"/>
                <w:color w:val="auto"/>
              </w:rPr>
              <w:t>ECURITYHOLDERS ON</w:t>
            </w:r>
            <w:r>
              <w:rPr>
                <w:rFonts w:ascii="Arial" w:cs="Arial" w:eastAsia="Arial" w:hAnsi="Arial"/>
                <w:sz w:val="18"/>
                <w:szCs w:val="18"/>
                <w:color w:val="auto"/>
              </w:rPr>
              <w:t xml:space="preserve"> E</w:t>
            </w:r>
            <w:r>
              <w:rPr>
                <w:rFonts w:ascii="Arial" w:cs="Arial" w:eastAsia="Arial" w:hAnsi="Arial"/>
                <w:sz w:val="11"/>
                <w:szCs w:val="11"/>
                <w:color w:val="auto"/>
              </w:rPr>
              <w:t>VENT OF</w:t>
            </w:r>
            <w:r>
              <w:rPr>
                <w:rFonts w:ascii="Arial" w:cs="Arial" w:eastAsia="Arial" w:hAnsi="Arial"/>
                <w:sz w:val="18"/>
                <w:szCs w:val="18"/>
                <w:color w:val="auto"/>
              </w:rPr>
              <w:t xml:space="preserve"> D</w:t>
            </w:r>
            <w:r>
              <w:rPr>
                <w:rFonts w:ascii="Arial" w:cs="Arial" w:eastAsia="Arial" w:hAnsi="Arial"/>
                <w:sz w:val="11"/>
                <w:szCs w:val="11"/>
                <w:color w:val="auto"/>
              </w:rPr>
              <w:t>EFAULT</w:t>
            </w:r>
          </w:p>
        </w:tc>
        <w:tc>
          <w:tcPr>
            <w:tcW w:w="840" w:type="dxa"/>
            <w:vAlign w:val="bottom"/>
          </w:tcPr>
          <w:p>
            <w:pPr>
              <w:spacing w:after="0"/>
              <w:rPr>
                <w:sz w:val="19"/>
                <w:szCs w:val="19"/>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Event of Default Defined; Acceleration of Maturity; Waiver of Default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Collection of Indebtedness by Trustee; Trustee May Prove Debt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Application of Proceeds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Suits for Enforcement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Restoration of Rights on Abandonment of Proceedings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Limitations on Suits by Securityholder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Unconditional Right of Securityholders to Institute Certain Suits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Powers and Remedies Cumulative; Delay or Omission Not Waiver of Default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Control by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Waiver of Past Defaults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Trustee to Give Notice of Default, But May Withhold in Certain Circumstances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Right of Court to Require Filing of Undertaking to Pay Costs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5</w:t>
            </w:r>
          </w:p>
        </w:tc>
        <w:tc>
          <w:tcPr>
            <w:tcW w:w="840" w:type="dxa"/>
            <w:vAlign w:val="bottom"/>
          </w:tcPr>
          <w:p>
            <w:pPr>
              <w:spacing w:after="0"/>
              <w:rPr>
                <w:sz w:val="24"/>
                <w:szCs w:val="24"/>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ONCERNING THE</w:t>
            </w:r>
            <w:r>
              <w:rPr>
                <w:rFonts w:ascii="Arial" w:cs="Arial" w:eastAsia="Arial" w:hAnsi="Arial"/>
                <w:sz w:val="18"/>
                <w:szCs w:val="18"/>
                <w:color w:val="auto"/>
              </w:rPr>
              <w:t xml:space="preserve"> T</w:t>
            </w:r>
            <w:r>
              <w:rPr>
                <w:rFonts w:ascii="Arial" w:cs="Arial" w:eastAsia="Arial" w:hAnsi="Arial"/>
                <w:sz w:val="11"/>
                <w:szCs w:val="11"/>
                <w:color w:val="auto"/>
              </w:rPr>
              <w:t>RUSTEE</w:t>
            </w:r>
          </w:p>
        </w:tc>
        <w:tc>
          <w:tcPr>
            <w:tcW w:w="840" w:type="dxa"/>
            <w:vAlign w:val="bottom"/>
          </w:tcPr>
          <w:p>
            <w:pPr>
              <w:spacing w:after="0"/>
              <w:rPr>
                <w:sz w:val="19"/>
                <w:szCs w:val="19"/>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Duties and Responsibilities of the Trustee; During Default; Prior to Default</w:t>
            </w:r>
            <w:r>
              <w:rPr>
                <w:rFonts w:ascii="Arial" w:cs="Arial" w:eastAsia="Arial" w:hAnsi="Arial"/>
                <w:sz w:val="18"/>
                <w:szCs w:val="18"/>
                <w:color w:val="auto"/>
              </w:rPr>
              <w:t>36</w:t>
            </w:r>
          </w:p>
        </w:tc>
        <w:tc>
          <w:tcPr>
            <w:tcW w:w="840" w:type="dxa"/>
            <w:vAlign w:val="bottom"/>
          </w:tcPr>
          <w:p>
            <w:pPr>
              <w:spacing w:after="0"/>
              <w:rPr>
                <w:sz w:val="24"/>
                <w:szCs w:val="24"/>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Certain Rights of the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Trustee Not Responsible for Recitals, Disposition of Securities or Application of Proceeds Thereof</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Trustee and Agents May Hold Securities; Collections, etc</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Moneys Held by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Compensation and Indemnification of Trustee and Its Prior Claim</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Right of Trustee to Rely on Officers’ Certificate, etc</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Persons Eligible for Appointment as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Resignation and Removal; Appointment of Successor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Acceptance of Appointment by Successor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Merger, Conversion, Consolidation or Succession to Business of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Reports to the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6</w:t>
            </w:r>
          </w:p>
        </w:tc>
        <w:tc>
          <w:tcPr>
            <w:tcW w:w="840" w:type="dxa"/>
            <w:vAlign w:val="bottom"/>
          </w:tcPr>
          <w:p>
            <w:pPr>
              <w:spacing w:after="0"/>
              <w:rPr>
                <w:sz w:val="24"/>
                <w:szCs w:val="24"/>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ONCERNING THE</w:t>
            </w:r>
            <w:r>
              <w:rPr>
                <w:rFonts w:ascii="Arial" w:cs="Arial" w:eastAsia="Arial" w:hAnsi="Arial"/>
                <w:sz w:val="18"/>
                <w:szCs w:val="18"/>
                <w:color w:val="auto"/>
              </w:rPr>
              <w:t xml:space="preserve"> S</w:t>
            </w:r>
            <w:r>
              <w:rPr>
                <w:rFonts w:ascii="Arial" w:cs="Arial" w:eastAsia="Arial" w:hAnsi="Arial"/>
                <w:sz w:val="11"/>
                <w:szCs w:val="11"/>
                <w:color w:val="auto"/>
              </w:rPr>
              <w:t>ECURITYHOLDERS</w:t>
            </w:r>
          </w:p>
        </w:tc>
        <w:tc>
          <w:tcPr>
            <w:tcW w:w="840" w:type="dxa"/>
            <w:vAlign w:val="bottom"/>
          </w:tcPr>
          <w:p>
            <w:pPr>
              <w:spacing w:after="0"/>
              <w:rPr>
                <w:sz w:val="19"/>
                <w:szCs w:val="19"/>
                <w:color w:val="auto"/>
              </w:rPr>
            </w:pPr>
          </w:p>
        </w:tc>
      </w:tr>
      <w:tr>
        <w:trPr>
          <w:trHeight w:val="424"/>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Evidence of Action Taken by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398"/>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ii</w:t>
            </w:r>
          </w:p>
        </w:tc>
        <w:tc>
          <w:tcPr>
            <w:tcW w:w="840" w:type="dxa"/>
            <w:vAlign w:val="bottom"/>
          </w:tcPr>
          <w:p>
            <w:pPr>
              <w:spacing w:after="0"/>
              <w:rPr>
                <w:sz w:val="24"/>
                <w:szCs w:val="24"/>
                <w:color w:val="auto"/>
              </w:rPr>
            </w:pPr>
          </w:p>
        </w:tc>
      </w:tr>
      <w:tr>
        <w:trPr>
          <w:trHeight w:val="223"/>
        </w:trPr>
        <w:tc>
          <w:tcPr>
            <w:tcW w:w="105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4"/>
        </w:trPr>
        <w:tc>
          <w:tcPr>
            <w:tcW w:w="10580" w:type="dxa"/>
            <w:vAlign w:val="bottom"/>
            <w:vMerge w:val="restart"/>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Proof of Execution of Instruments and of Holding of Securities; Record Date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P</w:t>
            </w:r>
            <w:r>
              <w:rPr>
                <w:rFonts w:ascii="Arial" w:cs="Arial" w:eastAsia="Arial" w:hAnsi="Arial"/>
                <w:sz w:val="9"/>
                <w:szCs w:val="9"/>
                <w:color w:val="auto"/>
                <w:w w:val="98"/>
              </w:rPr>
              <w:t>AGE</w:t>
            </w:r>
          </w:p>
        </w:tc>
        <w:tc>
          <w:tcPr>
            <w:tcW w:w="0" w:type="dxa"/>
            <w:vAlign w:val="bottom"/>
          </w:tcPr>
          <w:p>
            <w:pPr>
              <w:spacing w:after="0"/>
              <w:rPr>
                <w:sz w:val="1"/>
                <w:szCs w:val="1"/>
                <w:color w:val="auto"/>
              </w:rPr>
            </w:pPr>
          </w:p>
        </w:tc>
      </w:tr>
      <w:tr>
        <w:trPr>
          <w:trHeight w:val="193"/>
        </w:trPr>
        <w:tc>
          <w:tcPr>
            <w:tcW w:w="10580" w:type="dxa"/>
            <w:vAlign w:val="bottom"/>
            <w:vMerge w:val="continue"/>
          </w:tcPr>
          <w:p>
            <w:pPr>
              <w:spacing w:after="0"/>
              <w:rPr>
                <w:sz w:val="16"/>
                <w:szCs w:val="16"/>
                <w:color w:val="auto"/>
              </w:rPr>
            </w:pPr>
          </w:p>
        </w:tc>
        <w:tc>
          <w:tcPr>
            <w:tcW w:w="840" w:type="dxa"/>
            <w:vAlign w:val="bottom"/>
          </w:tcPr>
          <w:p>
            <w:pPr>
              <w:jc w:val="center"/>
              <w:spacing w:after="0" w:line="193"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Holders to Be Treated as Owners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Securities Owned by Issuer Deemed Not Outstanding</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Right of Revocation of Action Taken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72"/>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UPPLEMENTAL</w:t>
            </w:r>
            <w:r>
              <w:rPr>
                <w:rFonts w:ascii="Arial" w:cs="Arial" w:eastAsia="Arial" w:hAnsi="Arial"/>
                <w:sz w:val="18"/>
                <w:szCs w:val="18"/>
                <w:color w:val="auto"/>
              </w:rPr>
              <w:t xml:space="preserve"> I</w:t>
            </w:r>
            <w:r>
              <w:rPr>
                <w:rFonts w:ascii="Arial" w:cs="Arial" w:eastAsia="Arial" w:hAnsi="Arial"/>
                <w:sz w:val="11"/>
                <w:szCs w:val="11"/>
                <w:color w:val="auto"/>
              </w:rPr>
              <w:t>NDENTURES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Supplemental Indentures Without Consent of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Supplemental Indentures With Consent of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Effect of Supplemental Indenture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Documents to Be Given to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Notation on Securities in Respect of Supplemental Indentures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72"/>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ONSOLIDATION</w:t>
            </w:r>
            <w:r>
              <w:rPr>
                <w:rFonts w:ascii="Arial" w:cs="Arial" w:eastAsia="Arial" w:hAnsi="Arial"/>
                <w:sz w:val="18"/>
                <w:szCs w:val="18"/>
                <w:color w:val="auto"/>
              </w:rPr>
              <w:t>, M</w:t>
            </w:r>
            <w:r>
              <w:rPr>
                <w:rFonts w:ascii="Arial" w:cs="Arial" w:eastAsia="Arial" w:hAnsi="Arial"/>
                <w:sz w:val="11"/>
                <w:szCs w:val="11"/>
                <w:color w:val="auto"/>
              </w:rPr>
              <w:t>ERGER</w:t>
            </w:r>
            <w:r>
              <w:rPr>
                <w:rFonts w:ascii="Arial" w:cs="Arial" w:eastAsia="Arial" w:hAnsi="Arial"/>
                <w:sz w:val="18"/>
                <w:szCs w:val="18"/>
                <w:color w:val="auto"/>
              </w:rPr>
              <w:t>, S</w:t>
            </w:r>
            <w:r>
              <w:rPr>
                <w:rFonts w:ascii="Arial" w:cs="Arial" w:eastAsia="Arial" w:hAnsi="Arial"/>
                <w:sz w:val="11"/>
                <w:szCs w:val="11"/>
                <w:color w:val="auto"/>
              </w:rPr>
              <w:t>ALE OR</w:t>
            </w:r>
            <w:r>
              <w:rPr>
                <w:rFonts w:ascii="Arial" w:cs="Arial" w:eastAsia="Arial" w:hAnsi="Arial"/>
                <w:sz w:val="18"/>
                <w:szCs w:val="18"/>
                <w:color w:val="auto"/>
              </w:rPr>
              <w:t xml:space="preserve"> C</w:t>
            </w:r>
            <w:r>
              <w:rPr>
                <w:rFonts w:ascii="Arial" w:cs="Arial" w:eastAsia="Arial" w:hAnsi="Arial"/>
                <w:sz w:val="11"/>
                <w:szCs w:val="11"/>
                <w:color w:val="auto"/>
              </w:rPr>
              <w:t>ONVEYANCE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Issuer May Consolidate, etc., on Certain Terms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Successor Corporation Substituted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4"/>
              </w:rPr>
              <w:t>ARTICLE 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ISCHARGE OF</w:t>
            </w:r>
            <w:r>
              <w:rPr>
                <w:rFonts w:ascii="Arial" w:cs="Arial" w:eastAsia="Arial" w:hAnsi="Arial"/>
                <w:sz w:val="18"/>
                <w:szCs w:val="18"/>
                <w:color w:val="auto"/>
              </w:rPr>
              <w:t xml:space="preserve"> I</w:t>
            </w:r>
            <w:r>
              <w:rPr>
                <w:rFonts w:ascii="Arial" w:cs="Arial" w:eastAsia="Arial" w:hAnsi="Arial"/>
                <w:sz w:val="11"/>
                <w:szCs w:val="11"/>
                <w:color w:val="auto"/>
              </w:rPr>
              <w:t>NDENTURE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Defeasance Within One Year of Payment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Defeasance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Covenant Defeasance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Application of Trust Money</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Repayment to Issuer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72"/>
              <w:spacing w:after="0"/>
              <w:rPr>
                <w:sz w:val="20"/>
                <w:szCs w:val="20"/>
                <w:color w:val="auto"/>
              </w:rPr>
            </w:pPr>
            <w:r>
              <w:rPr>
                <w:rFonts w:ascii="Arial" w:cs="Arial" w:eastAsia="Arial" w:hAnsi="Arial"/>
                <w:sz w:val="18"/>
                <w:szCs w:val="18"/>
                <w:color w:val="auto"/>
                <w:w w:val="94"/>
              </w:rPr>
              <w:t>ARTICLE 10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ISCELLANEOUS</w:t>
            </w:r>
            <w:r>
              <w:rPr>
                <w:rFonts w:ascii="Arial" w:cs="Arial" w:eastAsia="Arial" w:hAnsi="Arial"/>
                <w:sz w:val="18"/>
                <w:szCs w:val="18"/>
                <w:color w:val="auto"/>
              </w:rPr>
              <w:t xml:space="preserve"> P</w:t>
            </w:r>
            <w:r>
              <w:rPr>
                <w:rFonts w:ascii="Arial" w:cs="Arial" w:eastAsia="Arial" w:hAnsi="Arial"/>
                <w:sz w:val="11"/>
                <w:szCs w:val="11"/>
                <w:color w:val="auto"/>
              </w:rPr>
              <w:t>ROVISIONS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Incorporators, Stockholders, Officers and Directors Exempt from Individual Liability</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Provisions of Indenture for the Sole Benefit of Parties and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Successors and Assigns of Issuer Bound by Indenture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Notices and Demands on Issuer, Trustee and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Officers’ Certificates and Opinions of Counsel; Statements to Be Contained Therein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Payments Due on Saturdays, Sundays and Holidays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Conflict of Any Provision of Indenture with Trust Indenture Act of 1939</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New York Law to Govern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4"/>
        </w:trPr>
        <w:tc>
          <w:tcPr>
            <w:tcW w:w="10580" w:type="dxa"/>
            <w:vAlign w:val="bottom"/>
            <w:vMerge w:val="restart"/>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Counterparts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P</w:t>
            </w:r>
            <w:r>
              <w:rPr>
                <w:rFonts w:ascii="Arial" w:cs="Arial" w:eastAsia="Arial" w:hAnsi="Arial"/>
                <w:sz w:val="9"/>
                <w:szCs w:val="9"/>
                <w:color w:val="auto"/>
                <w:w w:val="98"/>
              </w:rPr>
              <w:t>AGE</w:t>
            </w:r>
          </w:p>
        </w:tc>
        <w:tc>
          <w:tcPr>
            <w:tcW w:w="0" w:type="dxa"/>
            <w:vAlign w:val="bottom"/>
          </w:tcPr>
          <w:p>
            <w:pPr>
              <w:spacing w:after="0"/>
              <w:rPr>
                <w:sz w:val="1"/>
                <w:szCs w:val="1"/>
                <w:color w:val="auto"/>
              </w:rPr>
            </w:pPr>
          </w:p>
        </w:tc>
      </w:tr>
      <w:tr>
        <w:trPr>
          <w:trHeight w:val="193"/>
        </w:trPr>
        <w:tc>
          <w:tcPr>
            <w:tcW w:w="10580" w:type="dxa"/>
            <w:vAlign w:val="bottom"/>
            <w:vMerge w:val="continue"/>
          </w:tcPr>
          <w:p>
            <w:pPr>
              <w:spacing w:after="0"/>
              <w:rPr>
                <w:sz w:val="16"/>
                <w:szCs w:val="16"/>
                <w:color w:val="auto"/>
              </w:rPr>
            </w:pPr>
          </w:p>
        </w:tc>
        <w:tc>
          <w:tcPr>
            <w:tcW w:w="840" w:type="dxa"/>
            <w:vAlign w:val="bottom"/>
          </w:tcPr>
          <w:p>
            <w:pPr>
              <w:jc w:val="center"/>
              <w:spacing w:after="0" w:line="193"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Effect of Headings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52"/>
              <w:spacing w:after="0"/>
              <w:rPr>
                <w:sz w:val="20"/>
                <w:szCs w:val="20"/>
                <w:color w:val="auto"/>
              </w:rPr>
            </w:pPr>
            <w:r>
              <w:rPr>
                <w:rFonts w:ascii="Arial" w:cs="Arial" w:eastAsia="Arial" w:hAnsi="Arial"/>
                <w:sz w:val="18"/>
                <w:szCs w:val="18"/>
                <w:color w:val="auto"/>
                <w:w w:val="92"/>
              </w:rPr>
              <w:t>ARTICLE 11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EDEMPTION OF</w:t>
            </w:r>
            <w:r>
              <w:rPr>
                <w:rFonts w:ascii="Arial" w:cs="Arial" w:eastAsia="Arial" w:hAnsi="Arial"/>
                <w:sz w:val="18"/>
                <w:szCs w:val="18"/>
                <w:color w:val="auto"/>
              </w:rPr>
              <w:t xml:space="preserve"> S</w:t>
            </w:r>
            <w:r>
              <w:rPr>
                <w:rFonts w:ascii="Arial" w:cs="Arial" w:eastAsia="Arial" w:hAnsi="Arial"/>
                <w:sz w:val="11"/>
                <w:szCs w:val="11"/>
                <w:color w:val="auto"/>
              </w:rPr>
              <w:t>ECURITIES AND</w:t>
            </w:r>
            <w:r>
              <w:rPr>
                <w:rFonts w:ascii="Arial" w:cs="Arial" w:eastAsia="Arial" w:hAnsi="Arial"/>
                <w:sz w:val="18"/>
                <w:szCs w:val="18"/>
                <w:color w:val="auto"/>
              </w:rPr>
              <w:t xml:space="preserve"> S</w:t>
            </w:r>
            <w:r>
              <w:rPr>
                <w:rFonts w:ascii="Arial" w:cs="Arial" w:eastAsia="Arial" w:hAnsi="Arial"/>
                <w:sz w:val="11"/>
                <w:szCs w:val="11"/>
                <w:color w:val="auto"/>
              </w:rPr>
              <w:t>INKING</w:t>
            </w:r>
            <w:r>
              <w:rPr>
                <w:rFonts w:ascii="Arial" w:cs="Arial" w:eastAsia="Arial" w:hAnsi="Arial"/>
                <w:sz w:val="18"/>
                <w:szCs w:val="18"/>
                <w:color w:val="auto"/>
              </w:rPr>
              <w:t xml:space="preserve"> F</w:t>
            </w:r>
            <w:r>
              <w:rPr>
                <w:rFonts w:ascii="Arial" w:cs="Arial" w:eastAsia="Arial" w:hAnsi="Arial"/>
                <w:sz w:val="11"/>
                <w:szCs w:val="11"/>
                <w:color w:val="auto"/>
              </w:rPr>
              <w:t>UNDS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Applicability of Article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Notice of Redemption; Partial Redemptions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Payment of Securities Called for Redemption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Exclusion of Certain Securities from Eligibility for Selection for Redemption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Mandatory and Optional Sinking Funds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Conversion Arrangement on Call for Redemption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72"/>
              <w:spacing w:after="0"/>
              <w:rPr>
                <w:sz w:val="20"/>
                <w:szCs w:val="20"/>
                <w:color w:val="auto"/>
              </w:rPr>
            </w:pPr>
            <w:r>
              <w:rPr>
                <w:rFonts w:ascii="Arial" w:cs="Arial" w:eastAsia="Arial" w:hAnsi="Arial"/>
                <w:sz w:val="18"/>
                <w:szCs w:val="18"/>
                <w:color w:val="auto"/>
                <w:w w:val="94"/>
              </w:rPr>
              <w:t>ARTICLE 12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52"/>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UBORDINATION OF</w:t>
            </w:r>
            <w:r>
              <w:rPr>
                <w:rFonts w:ascii="Arial" w:cs="Arial" w:eastAsia="Arial" w:hAnsi="Arial"/>
                <w:sz w:val="18"/>
                <w:szCs w:val="18"/>
                <w:color w:val="auto"/>
              </w:rPr>
              <w:t xml:space="preserve"> S</w:t>
            </w:r>
            <w:r>
              <w:rPr>
                <w:rFonts w:ascii="Arial" w:cs="Arial" w:eastAsia="Arial" w:hAnsi="Arial"/>
                <w:sz w:val="11"/>
                <w:szCs w:val="11"/>
                <w:color w:val="auto"/>
              </w:rPr>
              <w:t>ECURITIES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Agreement of Subordination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Payments to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Subrogation of Securities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Authorization by Securityholders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Notice to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Trustee’s Relation to Senior Indebtedness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No Impairment of Subordination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i w:val="1"/>
                <w:iCs w:val="1"/>
                <w:color w:val="auto"/>
              </w:rPr>
              <w:t>Rights of Trustee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625"/>
        </w:trPr>
        <w:tc>
          <w:tcPr>
            <w:tcW w:w="10580" w:type="dxa"/>
            <w:vAlign w:val="bottom"/>
          </w:tcPr>
          <w:p>
            <w:pPr>
              <w:jc w:val="center"/>
              <w:ind w:left="772"/>
              <w:spacing w:after="0"/>
              <w:rPr>
                <w:sz w:val="20"/>
                <w:szCs w:val="20"/>
                <w:color w:val="auto"/>
              </w:rPr>
            </w:pPr>
            <w:r>
              <w:rPr>
                <w:rFonts w:ascii="Arial" w:cs="Arial" w:eastAsia="Arial" w:hAnsi="Arial"/>
                <w:sz w:val="18"/>
                <w:szCs w:val="18"/>
                <w:color w:val="auto"/>
                <w:w w:val="94"/>
              </w:rPr>
              <w:t>ARTICLE 13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580" w:type="dxa"/>
            <w:vAlign w:val="bottom"/>
          </w:tcPr>
          <w:p>
            <w:pPr>
              <w:jc w:val="center"/>
              <w:ind w:left="772"/>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ONVERSION OF</w:t>
            </w:r>
            <w:r>
              <w:rPr>
                <w:rFonts w:ascii="Arial" w:cs="Arial" w:eastAsia="Arial" w:hAnsi="Arial"/>
                <w:sz w:val="18"/>
                <w:szCs w:val="18"/>
                <w:color w:val="auto"/>
              </w:rPr>
              <w:t xml:space="preserve"> S</w:t>
            </w:r>
            <w:r>
              <w:rPr>
                <w:rFonts w:ascii="Arial" w:cs="Arial" w:eastAsia="Arial" w:hAnsi="Arial"/>
                <w:sz w:val="11"/>
                <w:szCs w:val="11"/>
                <w:color w:val="auto"/>
              </w:rPr>
              <w:t>ECURITIES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Applicability of Article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Right of Securityholders to Convert Securities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Issuance of Shares of Capital Stock on Conversion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No Payment or Adjustment for Interest or Dividends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Adjustment of Conversion Rate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No Fractional Shares to Be Issued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Preservation of Conversion Rights Upon Consolidation, Merger, Sale or Conveyance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Notice to Security Holders of a Series Prior to Taking Certain Types of Action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Covenant to Reserve Shares for Issuance on Conversion of Securities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Compliance with Governmental Requirements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2"/>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Payment of Taxes Upon Certificates for Shares Issued Upon Conversion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Trustee’s Duties with Respect to Conversion Provisions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4"/>
        </w:trPr>
        <w:tc>
          <w:tcPr>
            <w:tcW w:w="47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P</w:t>
            </w:r>
            <w:r>
              <w:rPr>
                <w:rFonts w:ascii="Arial" w:cs="Arial" w:eastAsia="Arial" w:hAnsi="Arial"/>
                <w:sz w:val="9"/>
                <w:szCs w:val="9"/>
                <w:color w:val="auto"/>
                <w:w w:val="98"/>
              </w:rPr>
              <w:t>AGE</w:t>
            </w:r>
          </w:p>
        </w:tc>
      </w:tr>
      <w:tr>
        <w:trPr>
          <w:trHeight w:val="405"/>
        </w:trPr>
        <w:tc>
          <w:tcPr>
            <w:tcW w:w="4700" w:type="dxa"/>
            <w:vAlign w:val="bottom"/>
          </w:tcPr>
          <w:p>
            <w:pPr>
              <w:spacing w:after="0"/>
              <w:rPr>
                <w:sz w:val="24"/>
                <w:szCs w:val="24"/>
                <w:color w:val="auto"/>
              </w:rPr>
            </w:pPr>
          </w:p>
        </w:tc>
        <w:tc>
          <w:tcPr>
            <w:tcW w:w="6720" w:type="dxa"/>
            <w:vAlign w:val="bottom"/>
            <w:gridSpan w:val="2"/>
          </w:tcPr>
          <w:p>
            <w:pPr>
              <w:jc w:val="center"/>
              <w:ind w:right="4609"/>
              <w:spacing w:after="0"/>
              <w:rPr>
                <w:sz w:val="20"/>
                <w:szCs w:val="20"/>
                <w:color w:val="auto"/>
              </w:rPr>
            </w:pPr>
            <w:r>
              <w:rPr>
                <w:rFonts w:ascii="Arial" w:cs="Arial" w:eastAsia="Arial" w:hAnsi="Arial"/>
                <w:sz w:val="18"/>
                <w:szCs w:val="18"/>
                <w:color w:val="auto"/>
                <w:w w:val="94"/>
              </w:rPr>
              <w:t>ARTICLE 14</w:t>
            </w:r>
          </w:p>
        </w:tc>
      </w:tr>
      <w:tr>
        <w:trPr>
          <w:trHeight w:val="223"/>
        </w:trPr>
        <w:tc>
          <w:tcPr>
            <w:tcW w:w="4700" w:type="dxa"/>
            <w:vAlign w:val="bottom"/>
          </w:tcPr>
          <w:p>
            <w:pPr>
              <w:spacing w:after="0"/>
              <w:rPr>
                <w:sz w:val="19"/>
                <w:szCs w:val="19"/>
                <w:color w:val="auto"/>
              </w:rPr>
            </w:pPr>
          </w:p>
        </w:tc>
        <w:tc>
          <w:tcPr>
            <w:tcW w:w="6720" w:type="dxa"/>
            <w:vAlign w:val="bottom"/>
            <w:gridSpan w:val="2"/>
          </w:tcPr>
          <w:p>
            <w:pPr>
              <w:jc w:val="center"/>
              <w:ind w:right="4609"/>
              <w:spacing w:after="0"/>
              <w:rPr>
                <w:sz w:val="20"/>
                <w:szCs w:val="20"/>
                <w:color w:val="auto"/>
              </w:rPr>
            </w:pPr>
            <w:r>
              <w:rPr>
                <w:rFonts w:ascii="Arial" w:cs="Arial" w:eastAsia="Arial" w:hAnsi="Arial"/>
                <w:sz w:val="18"/>
                <w:szCs w:val="18"/>
                <w:color w:val="auto"/>
              </w:rPr>
              <w:t>G</w:t>
            </w:r>
            <w:r>
              <w:rPr>
                <w:rFonts w:ascii="Arial" w:cs="Arial" w:eastAsia="Arial" w:hAnsi="Arial"/>
                <w:sz w:val="11"/>
                <w:szCs w:val="11"/>
                <w:color w:val="auto"/>
              </w:rPr>
              <w:t>UARANTEES</w:t>
            </w:r>
          </w:p>
        </w:tc>
      </w:tr>
      <w:tr>
        <w:trPr>
          <w:trHeight w:val="413"/>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The Cable Guarantees</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81</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Guarantee Unconditional</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82</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i w:val="1"/>
                <w:iCs w:val="1"/>
                <w:color w:val="auto"/>
              </w:rPr>
              <w:t>Discharge; Reinstatement</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82</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Waiver by the Cable Guarantors</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83</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Subrogation and Contribution</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83</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i w:val="1"/>
                <w:iCs w:val="1"/>
                <w:color w:val="auto"/>
              </w:rPr>
              <w:t>Stay of Acceleration</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83</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14.07. </w:t>
            </w:r>
            <w:r>
              <w:rPr>
                <w:rFonts w:ascii="Arial" w:cs="Arial" w:eastAsia="Arial" w:hAnsi="Arial"/>
                <w:sz w:val="18"/>
                <w:szCs w:val="18"/>
                <w:i w:val="1"/>
                <w:iCs w:val="1"/>
                <w:color w:val="auto"/>
              </w:rPr>
              <w:t>Limitation on Amount of Cable Guarantee</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83</w:t>
            </w:r>
          </w:p>
        </w:tc>
      </w:tr>
      <w:tr>
        <w:trPr>
          <w:trHeight w:val="212"/>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Execution and Delivery of Cable Guarantee</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83</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i w:val="1"/>
                <w:iCs w:val="1"/>
                <w:color w:val="auto"/>
              </w:rPr>
              <w:t>Release of Cable Guarantee</w:t>
            </w:r>
          </w:p>
        </w:tc>
        <w:tc>
          <w:tcPr>
            <w:tcW w:w="6720" w:type="dxa"/>
            <w:vAlign w:val="bottom"/>
            <w:gridSpan w:val="2"/>
          </w:tcPr>
          <w:p>
            <w:pPr>
              <w:jc w:val="center"/>
              <w:ind w:left="5812"/>
              <w:spacing w:after="0"/>
              <w:rPr>
                <w:sz w:val="20"/>
                <w:szCs w:val="20"/>
                <w:color w:val="auto"/>
              </w:rPr>
            </w:pPr>
            <w:r>
              <w:rPr>
                <w:rFonts w:ascii="Arial" w:cs="Arial" w:eastAsia="Arial" w:hAnsi="Arial"/>
                <w:sz w:val="18"/>
                <w:szCs w:val="18"/>
                <w:color w:val="auto"/>
                <w:w w:val="89"/>
              </w:rPr>
              <w:t>84</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32" w:name="page133"/>
    <w:bookmarkEnd w:id="132"/>
    <w:p>
      <w:pPr>
        <w:ind w:right="100" w:firstLine="218"/>
        <w:spacing w:after="0" w:line="272" w:lineRule="auto"/>
        <w:rPr>
          <w:sz w:val="20"/>
          <w:szCs w:val="20"/>
          <w:color w:val="auto"/>
        </w:rPr>
      </w:pPr>
      <w:r>
        <w:rPr>
          <w:rFonts w:ascii="Arial" w:cs="Arial" w:eastAsia="Arial" w:hAnsi="Arial"/>
          <w:sz w:val="18"/>
          <w:szCs w:val="18"/>
          <w:color w:val="auto"/>
        </w:rPr>
        <w:t>THIS INDENTURE, dated as of [ ], among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the Cable Guarantors party hereto and THE BANK OF NEW YORK,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17" w:lineRule="exact"/>
        <w:rPr>
          <w:sz w:val="20"/>
          <w:szCs w:val="20"/>
          <w:color w:val="auto"/>
        </w:rPr>
      </w:pPr>
    </w:p>
    <w:p>
      <w:pPr>
        <w:ind w:right="220" w:firstLine="218"/>
        <w:spacing w:after="0" w:line="252" w:lineRule="auto"/>
        <w:rPr>
          <w:sz w:val="20"/>
          <w:szCs w:val="20"/>
          <w:color w:val="auto"/>
        </w:rPr>
      </w:pPr>
      <w:r>
        <w:rPr>
          <w:rFonts w:ascii="Arial" w:cs="Arial" w:eastAsia="Arial" w:hAnsi="Arial"/>
          <w:sz w:val="18"/>
          <w:szCs w:val="18"/>
          <w:color w:val="auto"/>
        </w:rPr>
        <w:t>WHEREAS, the Issuer has duly authorized the issue from time to time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w:t>
      </w:r>
    </w:p>
    <w:p>
      <w:pPr>
        <w:spacing w:after="0" w:line="85" w:lineRule="exact"/>
        <w:rPr>
          <w:sz w:val="20"/>
          <w:szCs w:val="20"/>
          <w:color w:val="auto"/>
        </w:rPr>
      </w:pPr>
    </w:p>
    <w:p>
      <w:pPr>
        <w:ind w:right="120" w:firstLine="218"/>
        <w:spacing w:after="0" w:line="277" w:lineRule="auto"/>
        <w:rPr>
          <w:sz w:val="20"/>
          <w:szCs w:val="20"/>
          <w:color w:val="auto"/>
        </w:rPr>
      </w:pPr>
      <w:r>
        <w:rPr>
          <w:rFonts w:ascii="Arial" w:cs="Arial" w:eastAsia="Arial" w:hAnsi="Arial"/>
          <w:sz w:val="17"/>
          <w:szCs w:val="17"/>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 and</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w:t>
      </w:r>
    </w:p>
    <w:p>
      <w:pPr>
        <w:spacing w:after="0" w:line="111" w:lineRule="exact"/>
        <w:rPr>
          <w:sz w:val="20"/>
          <w:szCs w:val="20"/>
          <w:color w:val="auto"/>
        </w:rPr>
      </w:pPr>
    </w:p>
    <w:p>
      <w:pPr>
        <w:ind w:firstLine="221"/>
        <w:spacing w:after="0" w:line="294" w:lineRule="auto"/>
        <w:rPr>
          <w:sz w:val="20"/>
          <w:szCs w:val="20"/>
          <w:color w:val="auto"/>
        </w:rPr>
      </w:pPr>
      <w:r>
        <w:rPr>
          <w:rFonts w:ascii="Arial" w:cs="Arial" w:eastAsia="Arial" w:hAnsi="Arial"/>
          <w:sz w:val="17"/>
          <w:szCs w:val="17"/>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EFINITIONS</w:t>
      </w:r>
    </w:p>
    <w:p>
      <w:pPr>
        <w:spacing w:after="0" w:line="100" w:lineRule="exact"/>
        <w:rPr>
          <w:sz w:val="20"/>
          <w:szCs w:val="20"/>
          <w:color w:val="auto"/>
        </w:rPr>
      </w:pPr>
    </w:p>
    <w:p>
      <w:pPr>
        <w:ind w:right="40" w:firstLine="221"/>
        <w:spacing w:after="0" w:line="267" w:lineRule="auto"/>
        <w:rPr>
          <w:sz w:val="20"/>
          <w:szCs w:val="20"/>
          <w:color w:val="auto"/>
        </w:rPr>
      </w:pPr>
      <w:r>
        <w:rPr>
          <w:rFonts w:ascii="Arial" w:cs="Arial" w:eastAsia="Arial" w:hAnsi="Arial"/>
          <w:sz w:val="17"/>
          <w:szCs w:val="17"/>
          <w:i w:val="1"/>
          <w:iCs w:val="1"/>
          <w:color w:val="auto"/>
        </w:rPr>
        <w:t xml:space="preserve">Section 1.01. Certain Terms Defined. </w:t>
      </w:r>
      <w:r>
        <w:rPr>
          <w:rFonts w:ascii="Arial" w:cs="Arial" w:eastAsia="Arial" w:hAnsi="Arial"/>
          <w:sz w:val="17"/>
          <w:szCs w:val="17"/>
          <w:color w:val="auto"/>
        </w:rPr>
        <w:t>The following terms (except as otherwise expressly provided or unless the context otherwise clearly requires) for all</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33" w:name="page134"/>
    <w:bookmarkEnd w:id="133"/>
    <w:p>
      <w:pPr>
        <w:ind w:right="120"/>
        <w:spacing w:after="0" w:line="259" w:lineRule="auto"/>
        <w:rPr>
          <w:sz w:val="20"/>
          <w:szCs w:val="20"/>
          <w:color w:val="auto"/>
        </w:rPr>
      </w:pPr>
      <w:r>
        <w:rPr>
          <w:rFonts w:ascii="Arial" w:cs="Arial" w:eastAsia="Arial" w:hAnsi="Arial"/>
          <w:sz w:val="18"/>
          <w:szCs w:val="18"/>
          <w:color w:val="auto"/>
        </w:rPr>
        <w:t>shall have the meanings assigned to such terms in accordance with GAAP. The words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72" w:lineRule="exact"/>
        <w:rPr>
          <w:sz w:val="20"/>
          <w:szCs w:val="20"/>
          <w:color w:val="auto"/>
        </w:rPr>
      </w:pPr>
    </w:p>
    <w:p>
      <w:pPr>
        <w:ind w:firstLine="221"/>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Authorized Newspaper</w:t>
      </w:r>
      <w:r>
        <w:rPr>
          <w:rFonts w:ascii="Arial" w:cs="Arial" w:eastAsia="Arial" w:hAnsi="Arial"/>
          <w:sz w:val="15"/>
          <w:szCs w:val="15"/>
          <w:color w:val="auto"/>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either the Board of Directors of the Issuer or any committee of such Board duly authorized to act hereunder.</w:t>
      </w:r>
    </w:p>
    <w:p>
      <w:pPr>
        <w:spacing w:after="0" w:line="111" w:lineRule="exact"/>
        <w:rPr>
          <w:sz w:val="20"/>
          <w:szCs w:val="20"/>
          <w:color w:val="auto"/>
        </w:rPr>
      </w:pPr>
    </w:p>
    <w:p>
      <w:pPr>
        <w:ind w:right="6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Guarantee</w:t>
      </w:r>
      <w:r>
        <w:rPr>
          <w:rFonts w:ascii="Arial" w:cs="Arial" w:eastAsia="Arial" w:hAnsi="Arial"/>
          <w:sz w:val="18"/>
          <w:szCs w:val="18"/>
          <w:color w:val="auto"/>
        </w:rPr>
        <w:t>” means the guarantee of the Securities by a Cable Guarantor pursuant to this Indenture.</w:t>
      </w:r>
    </w:p>
    <w:p>
      <w:pPr>
        <w:spacing w:after="0" w:line="111" w:lineRule="exact"/>
        <w:rPr>
          <w:sz w:val="20"/>
          <w:szCs w:val="20"/>
          <w:color w:val="auto"/>
        </w:rPr>
      </w:pPr>
    </w:p>
    <w:p>
      <w:pPr>
        <w:ind w:right="10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Cable Communications, LLC, Comcast Cable Communications Holdings, Inc., Comcast Cable Holdings, LLC, Comcast MO Group, Inc. and Comcast MO of Delaware, LLC in each case excluding such entities’ Subsidiaries and unless and until such Cable Guarantor is released from its Cable Guarantee pursuant to this Indenture.</w:t>
      </w:r>
    </w:p>
    <w:p>
      <w:pPr>
        <w:spacing w:after="0" w:line="72" w:lineRule="exact"/>
        <w:rPr>
          <w:sz w:val="20"/>
          <w:szCs w:val="20"/>
          <w:color w:val="auto"/>
        </w:rPr>
      </w:pPr>
    </w:p>
    <w:p>
      <w:pPr>
        <w:ind w:right="16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2" w:lineRule="exact"/>
        <w:rPr>
          <w:sz w:val="20"/>
          <w:szCs w:val="20"/>
          <w:color w:val="auto"/>
        </w:rPr>
      </w:pPr>
    </w:p>
    <w:p>
      <w:pPr>
        <w:ind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including the Issuer, any and all shares, interests, participations or other equivalents (however designated, whether voting or non-voting) of such Person’s capital stock or other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color w:val="auto"/>
        </w:rPr>
        <w:t>ownership interests, whether now outstanding or issued after the date of this Indenture, including, without limitation, all Common Stock and Preferred Stock.</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Class A Common Stock, $0.01 par value, of the Issuer.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Special Common Stock</w:t>
      </w:r>
      <w:r>
        <w:rPr>
          <w:rFonts w:ascii="Arial" w:cs="Arial" w:eastAsia="Arial" w:hAnsi="Arial"/>
          <w:sz w:val="18"/>
          <w:szCs w:val="18"/>
          <w:color w:val="auto"/>
        </w:rPr>
        <w:t>” means the Class A Special Common Stock, $0.01 par value, of the Issuer.</w:t>
      </w:r>
    </w:p>
    <w:p>
      <w:pPr>
        <w:spacing w:after="0" w:line="111" w:lineRule="exact"/>
        <w:rPr>
          <w:sz w:val="20"/>
          <w:szCs w:val="20"/>
          <w:color w:val="auto"/>
        </w:rPr>
      </w:pPr>
    </w:p>
    <w:p>
      <w:pPr>
        <w:ind w:right="100" w:firstLine="221"/>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Price</w:t>
      </w:r>
      <w:r>
        <w:rPr>
          <w:rFonts w:ascii="Arial" w:cs="Arial" w:eastAsia="Arial" w:hAnsi="Arial"/>
          <w:sz w:val="15"/>
          <w:szCs w:val="15"/>
          <w:color w:val="auto"/>
        </w:rPr>
        <w:t>”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 System National Market System (the “</w:t>
      </w:r>
      <w:r>
        <w:rPr>
          <w:rFonts w:ascii="Arial" w:cs="Arial" w:eastAsia="Arial" w:hAnsi="Arial"/>
          <w:sz w:val="15"/>
          <w:szCs w:val="15"/>
          <w:b w:val="1"/>
          <w:bCs w:val="1"/>
          <w:color w:val="auto"/>
        </w:rPr>
        <w:t>NASDAQ National Market System</w:t>
      </w:r>
      <w:r>
        <w:rPr>
          <w:rFonts w:ascii="Arial" w:cs="Arial" w:eastAsia="Arial" w:hAnsi="Arial"/>
          <w:sz w:val="15"/>
          <w:szCs w:val="15"/>
          <w:color w:val="auto"/>
        </w:rPr>
        <w:t>”), the last reported sale price, regular way, for the stock, as reported on such list, or</w:t>
      </w:r>
    </w:p>
    <w:p>
      <w:pPr>
        <w:spacing w:after="0" w:line="1" w:lineRule="exact"/>
        <w:rPr>
          <w:sz w:val="20"/>
          <w:szCs w:val="20"/>
          <w:color w:val="auto"/>
        </w:rPr>
      </w:pPr>
    </w:p>
    <w:p>
      <w:pPr>
        <w:ind w:right="60" w:firstLine="6"/>
        <w:spacing w:after="0" w:line="265" w:lineRule="auto"/>
        <w:tabs>
          <w:tab w:leader="none" w:pos="30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70" w:lineRule="exact"/>
        <w:rPr>
          <w:sz w:val="20"/>
          <w:szCs w:val="20"/>
          <w:color w:val="auto"/>
        </w:rPr>
      </w:pPr>
    </w:p>
    <w:p>
      <w:pPr>
        <w:ind w:right="6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72" w:lineRule="exact"/>
        <w:rPr>
          <w:sz w:val="20"/>
          <w:szCs w:val="20"/>
          <w:color w:val="auto"/>
        </w:rPr>
      </w:pPr>
    </w:p>
    <w:p>
      <w:pPr>
        <w:ind w:right="4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72"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5" w:name="page136"/>
    <w:bookmarkEnd w:id="135"/>
    <w:p>
      <w:pPr>
        <w:ind w:right="3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61" w:lineRule="exact"/>
        <w:rPr>
          <w:sz w:val="20"/>
          <w:szCs w:val="20"/>
          <w:color w:val="auto"/>
        </w:rPr>
      </w:pPr>
    </w:p>
    <w:p>
      <w:pPr>
        <w:ind w:right="46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of Default as defined in Section 4.01 and any event that is, or after notice or passage of time or both would be, an Event of Default.</w:t>
      </w:r>
    </w:p>
    <w:p>
      <w:pPr>
        <w:spacing w:after="0" w:line="6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4.01.</w:t>
      </w:r>
    </w:p>
    <w:p>
      <w:pPr>
        <w:spacing w:after="0" w:line="111"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80" w:lineRule="exact"/>
        <w:rPr>
          <w:sz w:val="20"/>
          <w:szCs w:val="20"/>
          <w:color w:val="auto"/>
        </w:rPr>
      </w:pPr>
    </w:p>
    <w:p>
      <w:pPr>
        <w:ind w:right="220" w:firstLine="221"/>
        <w:spacing w:after="0" w:line="3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Guarantee</w:t>
      </w:r>
      <w:r>
        <w:rPr>
          <w:rFonts w:ascii="Arial" w:cs="Arial" w:eastAsia="Arial" w:hAnsi="Arial"/>
          <w:sz w:val="15"/>
          <w:szCs w:val="15"/>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jc w:val="both"/>
        <w:ind w:left="340" w:right="40" w:firstLine="229"/>
        <w:spacing w:after="0" w:line="255" w:lineRule="auto"/>
        <w:tabs>
          <w:tab w:leader="none" w:pos="8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82" w:lineRule="exact"/>
        <w:rPr>
          <w:rFonts w:ascii="Arial" w:cs="Arial" w:eastAsia="Arial" w:hAnsi="Arial"/>
          <w:sz w:val="18"/>
          <w:szCs w:val="18"/>
          <w:color w:val="auto"/>
        </w:rPr>
      </w:pPr>
    </w:p>
    <w:p>
      <w:pPr>
        <w:ind w:left="820" w:hanging="251"/>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7" w:right="299" w:bottom="1440" w:gutter="0" w:footer="0" w:header="0"/>
        </w:sectPr>
      </w:pPr>
    </w:p>
    <w:bookmarkStart w:id="136" w:name="page137"/>
    <w:bookmarkEnd w:id="136"/>
    <w:p>
      <w:pPr>
        <w:ind w:left="340"/>
        <w:spacing w:after="0"/>
        <w:rPr>
          <w:sz w:val="20"/>
          <w:szCs w:val="20"/>
          <w:color w:val="auto"/>
        </w:rPr>
      </w:pPr>
      <w:r>
        <w:rPr>
          <w:rFonts w:ascii="Arial" w:cs="Arial" w:eastAsia="Arial" w:hAnsi="Arial"/>
          <w:sz w:val="18"/>
          <w:szCs w:val="18"/>
          <w:color w:val="auto"/>
        </w:rPr>
        <w:t>thereof or to protect such obligee against loss in respect thereof (in whole or in part);</w:t>
      </w:r>
    </w:p>
    <w:p>
      <w:pPr>
        <w:spacing w:after="0" w:line="111"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registered holder of any Security.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117" w:lineRule="exact"/>
        <w:rPr>
          <w:sz w:val="20"/>
          <w:szCs w:val="20"/>
          <w:color w:val="auto"/>
        </w:rPr>
      </w:pPr>
    </w:p>
    <w:p>
      <w:pPr>
        <w:ind w:left="800" w:hanging="231"/>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11" w:lineRule="exact"/>
        <w:rPr>
          <w:rFonts w:ascii="Arial" w:cs="Arial" w:eastAsia="Arial" w:hAnsi="Arial"/>
          <w:sz w:val="18"/>
          <w:szCs w:val="18"/>
          <w:color w:val="auto"/>
        </w:rPr>
      </w:pPr>
    </w:p>
    <w:p>
      <w:pPr>
        <w:ind w:left="340" w:right="160" w:firstLine="229"/>
        <w:spacing w:after="0" w:line="265" w:lineRule="auto"/>
        <w:tabs>
          <w:tab w:leader="none" w:pos="8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in each case, for value received or settlement of claims;</w:t>
      </w:r>
    </w:p>
    <w:p>
      <w:pPr>
        <w:spacing w:after="0" w:line="73" w:lineRule="exact"/>
        <w:rPr>
          <w:rFonts w:ascii="Arial" w:cs="Arial" w:eastAsia="Arial" w:hAnsi="Arial"/>
          <w:sz w:val="18"/>
          <w:szCs w:val="18"/>
          <w:color w:val="auto"/>
        </w:rPr>
      </w:pPr>
    </w:p>
    <w:p>
      <w:pPr>
        <w:ind w:left="800" w:hanging="231"/>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145" w:lineRule="exact"/>
        <w:rPr>
          <w:rFonts w:ascii="Arial" w:cs="Arial" w:eastAsia="Arial" w:hAnsi="Arial"/>
          <w:sz w:val="15"/>
          <w:szCs w:val="15"/>
          <w:color w:val="auto"/>
        </w:rPr>
      </w:pPr>
    </w:p>
    <w:p>
      <w:pPr>
        <w:ind w:left="340" w:right="20" w:firstLine="229"/>
        <w:spacing w:after="0" w:line="265" w:lineRule="auto"/>
        <w:tabs>
          <w:tab w:leader="none" w:pos="8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73" w:lineRule="exact"/>
        <w:rPr>
          <w:rFonts w:ascii="Arial" w:cs="Arial" w:eastAsia="Arial" w:hAnsi="Arial"/>
          <w:sz w:val="18"/>
          <w:szCs w:val="18"/>
          <w:color w:val="auto"/>
        </w:rPr>
      </w:pPr>
    </w:p>
    <w:p>
      <w:pPr>
        <w:ind w:left="800" w:hanging="231"/>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11" w:lineRule="exact"/>
        <w:rPr>
          <w:rFonts w:ascii="Arial" w:cs="Arial" w:eastAsia="Arial" w:hAnsi="Arial"/>
          <w:sz w:val="18"/>
          <w:szCs w:val="18"/>
          <w:color w:val="auto"/>
        </w:rPr>
      </w:pPr>
    </w:p>
    <w:p>
      <w:pPr>
        <w:ind w:left="340" w:right="500" w:firstLine="229"/>
        <w:spacing w:after="0" w:line="265" w:lineRule="auto"/>
        <w:tabs>
          <w:tab w:leader="none" w:pos="7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73" w:lineRule="exact"/>
        <w:rPr>
          <w:rFonts w:ascii="Arial" w:cs="Arial" w:eastAsia="Arial" w:hAnsi="Arial"/>
          <w:sz w:val="18"/>
          <w:szCs w:val="18"/>
          <w:color w:val="auto"/>
        </w:rPr>
      </w:pPr>
    </w:p>
    <w:p>
      <w:pPr>
        <w:ind w:left="1120" w:hanging="208"/>
        <w:spacing w:after="0"/>
        <w:tabs>
          <w:tab w:leader="none" w:pos="11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11" w:lineRule="exact"/>
        <w:rPr>
          <w:rFonts w:ascii="Arial" w:cs="Arial" w:eastAsia="Arial" w:hAnsi="Arial"/>
          <w:sz w:val="18"/>
          <w:szCs w:val="18"/>
          <w:color w:val="auto"/>
        </w:rPr>
      </w:pPr>
    </w:p>
    <w:p>
      <w:pPr>
        <w:ind w:left="1180" w:hanging="268"/>
        <w:spacing w:after="0"/>
        <w:tabs>
          <w:tab w:leader="none" w:pos="11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11" w:lineRule="exact"/>
        <w:rPr>
          <w:rFonts w:ascii="Arial" w:cs="Arial" w:eastAsia="Arial" w:hAnsi="Arial"/>
          <w:sz w:val="18"/>
          <w:szCs w:val="18"/>
          <w:color w:val="auto"/>
        </w:rPr>
      </w:pPr>
    </w:p>
    <w:p>
      <w:pPr>
        <w:ind w:left="820" w:hanging="251"/>
        <w:spacing w:after="0"/>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111" w:lineRule="exact"/>
        <w:rPr>
          <w:rFonts w:ascii="Arial" w:cs="Arial" w:eastAsia="Arial" w:hAnsi="Arial"/>
          <w:sz w:val="18"/>
          <w:szCs w:val="18"/>
          <w:color w:val="auto"/>
        </w:rPr>
      </w:pPr>
    </w:p>
    <w:p>
      <w:pPr>
        <w:ind w:left="820" w:hanging="251"/>
        <w:spacing w:after="0"/>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3" w:right="319" w:bottom="1440" w:gutter="0" w:footer="0" w:header="0"/>
        </w:sectPr>
      </w:pPr>
    </w:p>
    <w:bookmarkStart w:id="137" w:name="page138"/>
    <w:bookmarkEnd w:id="137"/>
    <w:p>
      <w:pPr>
        <w:ind w:right="160" w:firstLine="221"/>
        <w:spacing w:after="0" w:line="265" w:lineRule="auto"/>
        <w:rPr>
          <w:sz w:val="20"/>
          <w:szCs w:val="20"/>
          <w:color w:val="auto"/>
        </w:rPr>
      </w:pPr>
      <w:r>
        <w:rPr>
          <w:rFonts w:ascii="Arial" w:cs="Arial" w:eastAsia="Arial" w:hAnsi="Arial"/>
          <w:sz w:val="18"/>
          <w:szCs w:val="18"/>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73" w:lineRule="exact"/>
        <w:rPr>
          <w:sz w:val="20"/>
          <w:szCs w:val="20"/>
          <w:color w:val="auto"/>
        </w:rPr>
      </w:pPr>
    </w:p>
    <w:p>
      <w:pPr>
        <w:ind w:right="80" w:firstLine="218"/>
        <w:spacing w:after="0" w:line="366"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340" w:right="320" w:firstLine="229"/>
        <w:spacing w:after="0" w:line="366" w:lineRule="auto"/>
        <w:tabs>
          <w:tab w:leader="none" w:pos="801"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4" w:lineRule="exact"/>
        <w:rPr>
          <w:rFonts w:ascii="Arial" w:cs="Arial" w:eastAsia="Arial" w:hAnsi="Arial"/>
          <w:sz w:val="15"/>
          <w:szCs w:val="15"/>
          <w:color w:val="auto"/>
        </w:rPr>
      </w:pPr>
    </w:p>
    <w:p>
      <w:pPr>
        <w:ind w:left="820" w:hanging="251"/>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21"/>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when used with respect to non-interest bearing Securities, interest payable after maturity.</w:t>
      </w:r>
    </w:p>
    <w:p>
      <w:pPr>
        <w:spacing w:after="0" w:line="111" w:lineRule="exact"/>
        <w:rPr>
          <w:sz w:val="20"/>
          <w:szCs w:val="20"/>
          <w:color w:val="auto"/>
        </w:rPr>
      </w:pPr>
    </w:p>
    <w:p>
      <w:pPr>
        <w:ind w:firstLine="221"/>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Rate Agreements</w:t>
      </w:r>
      <w:r>
        <w:rPr>
          <w:rFonts w:ascii="Arial" w:cs="Arial" w:eastAsia="Arial" w:hAnsi="Arial"/>
          <w:sz w:val="15"/>
          <w:szCs w:val="15"/>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8" w:lineRule="exact"/>
        <w:rPr>
          <w:sz w:val="20"/>
          <w:szCs w:val="20"/>
          <w:color w:val="auto"/>
        </w:rPr>
      </w:pPr>
    </w:p>
    <w:p>
      <w:pPr>
        <w:ind w:right="20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(except as otherwise provided in Article 5) Comcast Corporation, a Pennsylvania corporation, and, subject to Article 8, its successors and assigns.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with respect to any asset, any mortgage, lien, pledge, charge, security interest or encumbrance of any kind, or any other type of</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23" w:right="359" w:bottom="1440" w:gutter="0" w:footer="0" w:header="0"/>
        </w:sectPr>
      </w:pPr>
    </w:p>
    <w:bookmarkStart w:id="138" w:name="page139"/>
    <w:bookmarkEnd w:id="138"/>
    <w:p>
      <w:pPr>
        <w:ind w:right="160"/>
        <w:spacing w:after="0" w:line="255" w:lineRule="auto"/>
        <w:rPr>
          <w:sz w:val="20"/>
          <w:szCs w:val="20"/>
          <w:color w:val="auto"/>
        </w:rPr>
      </w:pPr>
      <w:r>
        <w:rPr>
          <w:rFonts w:ascii="Arial" w:cs="Arial" w:eastAsia="Arial" w:hAnsi="Arial"/>
          <w:sz w:val="18"/>
          <w:szCs w:val="18"/>
          <w:color w:val="auto"/>
        </w:rPr>
        <w:t>preferential arrangement that has the practical effect of creating a security interest, in respect of such asset. For the purposes of this Indenture, the Issuer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77" w:lineRule="exact"/>
        <w:rPr>
          <w:sz w:val="20"/>
          <w:szCs w:val="20"/>
          <w:color w:val="auto"/>
        </w:rPr>
      </w:pPr>
    </w:p>
    <w:p>
      <w:pPr>
        <w:ind w:right="6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each of the Issuer and each Cable Guarantor, in each case excluding such entities’ Subsidiaries (other than the Issuer and the Cable Guarantors).</w:t>
      </w:r>
    </w:p>
    <w:p>
      <w:pPr>
        <w:spacing w:after="0" w:line="61" w:lineRule="exact"/>
        <w:rPr>
          <w:sz w:val="20"/>
          <w:szCs w:val="20"/>
          <w:color w:val="auto"/>
        </w:rPr>
      </w:pPr>
    </w:p>
    <w:p>
      <w:pPr>
        <w:ind w:right="60"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72"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72" w:lineRule="exact"/>
        <w:rPr>
          <w:sz w:val="20"/>
          <w:szCs w:val="20"/>
          <w:color w:val="auto"/>
        </w:rPr>
      </w:pPr>
    </w:p>
    <w:p>
      <w:pPr>
        <w:ind w:right="2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61" w:lineRule="exact"/>
        <w:rPr>
          <w:sz w:val="20"/>
          <w:szCs w:val="20"/>
          <w:color w:val="auto"/>
        </w:rPr>
      </w:pPr>
    </w:p>
    <w:p>
      <w:pPr>
        <w:ind w:right="32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4.01.</w:t>
      </w:r>
    </w:p>
    <w:p>
      <w:pPr>
        <w:spacing w:after="0" w:line="61" w:lineRule="exact"/>
        <w:rPr>
          <w:sz w:val="20"/>
          <w:szCs w:val="20"/>
          <w:color w:val="auto"/>
        </w:rPr>
      </w:pPr>
    </w:p>
    <w:p>
      <w:pPr>
        <w:ind w:right="62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6.04, mean, as of any particular time, all Securities authenticated and delivered by the Trustee under this Indenture, except:</w:t>
      </w:r>
    </w:p>
    <w:p>
      <w:pPr>
        <w:spacing w:after="0" w:line="67" w:lineRule="exact"/>
        <w:rPr>
          <w:sz w:val="20"/>
          <w:szCs w:val="20"/>
          <w:color w:val="auto"/>
        </w:rPr>
      </w:pPr>
    </w:p>
    <w:p>
      <w:pPr>
        <w:ind w:left="800" w:hanging="231"/>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1" w:lineRule="exact"/>
        <w:rPr>
          <w:rFonts w:ascii="Arial" w:cs="Arial" w:eastAsia="Arial" w:hAnsi="Arial"/>
          <w:sz w:val="18"/>
          <w:szCs w:val="18"/>
          <w:color w:val="auto"/>
        </w:rPr>
      </w:pPr>
    </w:p>
    <w:p>
      <w:pPr>
        <w:ind w:left="340" w:right="220" w:firstLine="229"/>
        <w:spacing w:after="0" w:line="277" w:lineRule="auto"/>
        <w:tabs>
          <w:tab w:leader="none" w:pos="8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Securities, or portions thereof, are 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39" w:name="page140"/>
    <w:bookmarkEnd w:id="139"/>
    <w:p>
      <w:pPr>
        <w:ind w:left="340" w:right="60"/>
        <w:spacing w:after="0" w:line="265" w:lineRule="auto"/>
        <w:rPr>
          <w:sz w:val="20"/>
          <w:szCs w:val="20"/>
          <w:color w:val="auto"/>
        </w:rPr>
      </w:pPr>
      <w:r>
        <w:rPr>
          <w:rFonts w:ascii="Arial" w:cs="Arial" w:eastAsia="Arial" w:hAnsi="Arial"/>
          <w:sz w:val="18"/>
          <w:szCs w:val="18"/>
          <w:color w:val="auto"/>
        </w:rPr>
        <w:t>be redeemed prior to the maturity thereof, notice of such redemption shall have been given as herein provided, or provision satisfactory to the Trustee shall have been made for giving such notice; and</w:t>
      </w:r>
    </w:p>
    <w:p>
      <w:pPr>
        <w:spacing w:after="0" w:line="73" w:lineRule="exact"/>
        <w:rPr>
          <w:sz w:val="20"/>
          <w:szCs w:val="20"/>
          <w:color w:val="auto"/>
        </w:rPr>
      </w:pPr>
    </w:p>
    <w:p>
      <w:pPr>
        <w:jc w:val="both"/>
        <w:ind w:left="340" w:right="40" w:firstLine="229"/>
        <w:spacing w:after="0" w:line="255" w:lineRule="auto"/>
        <w:tabs>
          <w:tab w:leader="none" w:pos="8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83"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79" w:lineRule="exact"/>
        <w:rPr>
          <w:sz w:val="20"/>
          <w:szCs w:val="20"/>
          <w:color w:val="auto"/>
        </w:rPr>
      </w:pPr>
    </w:p>
    <w:p>
      <w:pPr>
        <w:ind w:firstLine="221"/>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261" w:lineRule="exact"/>
        <w:rPr>
          <w:sz w:val="20"/>
          <w:szCs w:val="20"/>
          <w:color w:val="auto"/>
        </w:rPr>
      </w:pPr>
    </w:p>
    <w:p>
      <w:pPr>
        <w:ind w:right="32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 stock company, trust, unincorporated organization or government or any agency or political subdivision thereof or any other entity.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140" w:name="page141"/>
    <w:bookmarkEnd w:id="140"/>
    <w:p>
      <w:pPr>
        <w:ind w:firstLine="2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whenever used with reference to the Securities or any Security or any portion thereof, shall be deemed to include “and premium, if any”.</w:t>
      </w:r>
    </w:p>
    <w:p>
      <w:pPr>
        <w:spacing w:after="0" w:line="123" w:lineRule="exact"/>
        <w:rPr>
          <w:sz w:val="20"/>
          <w:szCs w:val="20"/>
          <w:color w:val="auto"/>
        </w:rPr>
      </w:pPr>
    </w:p>
    <w:p>
      <w:pPr>
        <w:ind w:right="5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Registered Securities, issued to the Depositary for such series in accordance with Section 2.04, and bearing the legend prescribed in Section 2.04.</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Security</w:t>
      </w:r>
      <w:r>
        <w:rPr>
          <w:rFonts w:ascii="Arial" w:cs="Arial" w:eastAsia="Arial" w:hAnsi="Arial"/>
          <w:sz w:val="18"/>
          <w:szCs w:val="18"/>
          <w:color w:val="auto"/>
        </w:rPr>
        <w:t>” means any Security registered on the register maintained by the Issuer pursuant to Section 2.08.</w:t>
      </w:r>
    </w:p>
    <w:p>
      <w:pPr>
        <w:spacing w:after="0" w:line="111" w:lineRule="exact"/>
        <w:rPr>
          <w:sz w:val="20"/>
          <w:szCs w:val="20"/>
          <w:color w:val="auto"/>
        </w:rPr>
      </w:pPr>
    </w:p>
    <w:p>
      <w:pPr>
        <w:ind w:right="140" w:firstLine="221"/>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32" w:lineRule="exact"/>
        <w:rPr>
          <w:sz w:val="20"/>
          <w:szCs w:val="20"/>
          <w:color w:val="auto"/>
        </w:rPr>
      </w:pPr>
    </w:p>
    <w:p>
      <w:pPr>
        <w:ind w:right="40" w:firstLine="22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Sale and Leaseback Transaction</w:t>
      </w:r>
      <w:r>
        <w:rPr>
          <w:rFonts w:ascii="Arial" w:cs="Arial" w:eastAsia="Arial" w:hAnsi="Arial"/>
          <w:sz w:val="15"/>
          <w:szCs w:val="15"/>
          <w:color w:val="auto"/>
        </w:rPr>
        <w:t>”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 Guarantor of other property, plant or equipment related to the business of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Issuer or any Cable Guarantor having a value at least equal to the value of the assets or part thereof leased.</w:t>
      </w:r>
    </w:p>
    <w:p>
      <w:pPr>
        <w:spacing w:after="0" w:line="105" w:lineRule="exact"/>
        <w:rPr>
          <w:sz w:val="20"/>
          <w:szCs w:val="20"/>
          <w:color w:val="auto"/>
        </w:rPr>
      </w:pPr>
    </w:p>
    <w:p>
      <w:pPr>
        <w:ind w:right="38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61" w:lineRule="exact"/>
        <w:rPr>
          <w:sz w:val="20"/>
          <w:szCs w:val="20"/>
          <w:color w:val="auto"/>
        </w:rPr>
      </w:pPr>
    </w:p>
    <w:p>
      <w:pPr>
        <w:ind w:right="2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the Issuer or a Cable Guarantor, as the case may be, means the principal of, premium, if any, interest on, and any other payment due pursuant to any of the following, whether outstanding at the date hereof or hereafter incurred or created:</w:t>
      </w:r>
    </w:p>
    <w:p>
      <w:pPr>
        <w:spacing w:after="0" w:line="67" w:lineRule="exact"/>
        <w:rPr>
          <w:sz w:val="20"/>
          <w:szCs w:val="20"/>
          <w:color w:val="auto"/>
        </w:rPr>
      </w:pPr>
    </w:p>
    <w:p>
      <w:pPr>
        <w:ind w:left="340" w:right="420" w:firstLine="229"/>
        <w:spacing w:after="0" w:line="303" w:lineRule="auto"/>
        <w:tabs>
          <w:tab w:leader="none" w:pos="801" w:val="left"/>
        </w:tabs>
        <w:numPr>
          <w:ilvl w:val="1"/>
          <w:numId w:val="108"/>
        </w:numPr>
        <w:rPr>
          <w:rFonts w:ascii="Arial" w:cs="Arial" w:eastAsia="Arial" w:hAnsi="Arial"/>
          <w:sz w:val="15"/>
          <w:szCs w:val="15"/>
          <w:color w:val="auto"/>
        </w:rPr>
      </w:pPr>
      <w:r>
        <w:rPr>
          <w:rFonts w:ascii="Arial" w:cs="Arial" w:eastAsia="Arial" w:hAnsi="Arial"/>
          <w:sz w:val="15"/>
          <w:szCs w:val="15"/>
          <w:color w:val="auto"/>
        </w:rPr>
        <w:t>all indebtedness of such Person for money borrowed (including any indebtedness secured by a mortgage, conditional sales contract or other lien which is (i) given to secure all or part of the purchase price of property subject thereto, whether given to the vendor of such property or to another or</w:t>
      </w:r>
    </w:p>
    <w:p>
      <w:pPr>
        <w:ind w:left="600" w:hanging="251"/>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existing on property at the time of acquisition thereof);</w:t>
      </w:r>
    </w:p>
    <w:p>
      <w:pPr>
        <w:spacing w:after="0" w:line="99" w:lineRule="exact"/>
        <w:rPr>
          <w:rFonts w:ascii="Arial" w:cs="Arial" w:eastAsia="Arial" w:hAnsi="Arial"/>
          <w:sz w:val="18"/>
          <w:szCs w:val="18"/>
          <w:color w:val="auto"/>
        </w:rPr>
      </w:pPr>
    </w:p>
    <w:p>
      <w:pPr>
        <w:ind w:left="820" w:hanging="251"/>
        <w:spacing w:after="0"/>
        <w:tabs>
          <w:tab w:leader="none" w:pos="8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indebtedness of such Person evidenced by notes, debentures, bonds or other securities sold by such Person for money;</w:t>
      </w:r>
    </w:p>
    <w:p>
      <w:pPr>
        <w:spacing w:after="0" w:line="111" w:lineRule="exact"/>
        <w:rPr>
          <w:rFonts w:ascii="Arial" w:cs="Arial" w:eastAsia="Arial" w:hAnsi="Arial"/>
          <w:sz w:val="18"/>
          <w:szCs w:val="18"/>
          <w:color w:val="auto"/>
        </w:rPr>
      </w:pPr>
    </w:p>
    <w:p>
      <w:pPr>
        <w:ind w:left="800" w:hanging="231"/>
        <w:spacing w:after="0"/>
        <w:tabs>
          <w:tab w:leader="none" w:pos="80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all lease obligations of such Person which are capitalized on the books of such Person in accordance with generally accepted accounting principles;</w:t>
      </w:r>
    </w:p>
    <w:p>
      <w:pPr>
        <w:spacing w:after="0" w:line="145" w:lineRule="exact"/>
        <w:rPr>
          <w:rFonts w:ascii="Arial" w:cs="Arial" w:eastAsia="Arial" w:hAnsi="Arial"/>
          <w:sz w:val="15"/>
          <w:szCs w:val="15"/>
          <w:color w:val="auto"/>
        </w:rPr>
      </w:pPr>
    </w:p>
    <w:p>
      <w:pPr>
        <w:ind w:left="340" w:firstLine="229"/>
        <w:spacing w:after="0" w:line="255" w:lineRule="auto"/>
        <w:tabs>
          <w:tab w:leader="none" w:pos="81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and all lease obligations of others of the kind described in the preceding clause (c) assumed by or guaranteed in any manner by such Person or in effect guaranteed by such Person through an agreement to purchase, contingent or otherwise; and</w:t>
      </w:r>
    </w:p>
    <w:p>
      <w:pPr>
        <w:spacing w:after="0" w:line="82" w:lineRule="exact"/>
        <w:rPr>
          <w:rFonts w:ascii="Arial" w:cs="Arial" w:eastAsia="Arial" w:hAnsi="Arial"/>
          <w:sz w:val="18"/>
          <w:szCs w:val="18"/>
          <w:color w:val="auto"/>
        </w:rPr>
      </w:pPr>
    </w:p>
    <w:p>
      <w:pPr>
        <w:ind w:left="340" w:right="480" w:firstLine="229"/>
        <w:spacing w:after="0" w:line="265" w:lineRule="auto"/>
        <w:tabs>
          <w:tab w:leader="none" w:pos="80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clauses (c) and (d);</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the same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or guarantee of the same expressly provides that such indebtedness, lease, renewal, extension or refunding is not superior in right of payment to the Securities or the Cable Guarantees, as the case may be.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more than 50% of all votes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color w:val="auto"/>
        </w:rPr>
        <w:t>represented by all classes of outstanding Voting Stock is owned, directly or indirectly, by such Person and one or more other Subsidiaries of such Person.</w:t>
      </w:r>
    </w:p>
    <w:p>
      <w:pPr>
        <w:spacing w:after="0" w:line="140" w:lineRule="exact"/>
        <w:rPr>
          <w:sz w:val="20"/>
          <w:szCs w:val="20"/>
          <w:color w:val="auto"/>
        </w:rPr>
      </w:pPr>
    </w:p>
    <w:p>
      <w:pPr>
        <w:ind w:right="2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identified as “Trustee” in the first paragraph hereof and, subject to the provisions of Article 5, shall also include any successor trustee.</w:t>
      </w:r>
    </w:p>
    <w:p>
      <w:pPr>
        <w:spacing w:after="0" w:line="61" w:lineRule="exact"/>
        <w:rPr>
          <w:sz w:val="20"/>
          <w:szCs w:val="20"/>
          <w:color w:val="auto"/>
        </w:rPr>
      </w:pPr>
    </w:p>
    <w:p>
      <w:pPr>
        <w:ind w:right="18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7.01 and 7.02) means the Trust Indenture Act of 1939 as in force at the date as of which this Indenture was originally executed.</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each applicable jurisdiction.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Unregistered Security</w:t>
      </w:r>
      <w:r>
        <w:rPr>
          <w:rFonts w:ascii="Arial" w:cs="Arial" w:eastAsia="Arial" w:hAnsi="Arial"/>
          <w:sz w:val="18"/>
          <w:szCs w:val="18"/>
          <w:color w:val="auto"/>
        </w:rPr>
        <w:t>” means any Security other than a Registered Security.</w:t>
      </w:r>
    </w:p>
    <w:p>
      <w:pPr>
        <w:spacing w:after="0" w:line="111" w:lineRule="exact"/>
        <w:rPr>
          <w:sz w:val="20"/>
          <w:szCs w:val="20"/>
          <w:color w:val="auto"/>
        </w:rPr>
      </w:pPr>
    </w:p>
    <w:p>
      <w:pPr>
        <w:ind w:firstLine="22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U.S. Government Obligations</w:t>
      </w:r>
      <w:r>
        <w:rPr>
          <w:rFonts w:ascii="Arial" w:cs="Arial" w:eastAsia="Arial" w:hAnsi="Arial"/>
          <w:sz w:val="15"/>
          <w:szCs w:val="15"/>
          <w:color w:val="auto"/>
        </w:rPr>
        <w:t xml:space="preserve">”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42" w:lineRule="exact"/>
        <w:rPr>
          <w:sz w:val="20"/>
          <w:szCs w:val="20"/>
          <w:color w:val="auto"/>
        </w:rPr>
      </w:pPr>
    </w:p>
    <w:p>
      <w:pPr>
        <w:ind w:right="2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61" w:lineRule="exact"/>
        <w:rPr>
          <w:sz w:val="20"/>
          <w:szCs w:val="20"/>
          <w:color w:val="auto"/>
        </w:rPr>
      </w:pPr>
    </w:p>
    <w:p>
      <w:pPr>
        <w:ind w:right="6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Capital Stock of any class or kind ordinarily having the power to vote for the election of directors, managers or other voting members of the governing body of such Person.</w:t>
      </w:r>
    </w:p>
    <w:p>
      <w:pPr>
        <w:spacing w:after="0" w:line="61" w:lineRule="exact"/>
        <w:rPr>
          <w:sz w:val="20"/>
          <w:szCs w:val="20"/>
          <w:color w:val="auto"/>
        </w:rPr>
      </w:pPr>
    </w:p>
    <w:p>
      <w:pPr>
        <w:ind w:right="200" w:firstLine="221"/>
        <w:spacing w:after="0" w:line="3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Wholly-Owned</w:t>
      </w:r>
      <w:r>
        <w:rPr>
          <w:rFonts w:ascii="Arial" w:cs="Arial" w:eastAsia="Arial" w:hAnsi="Arial"/>
          <w:sz w:val="15"/>
          <w:szCs w:val="15"/>
          <w:color w:val="auto"/>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nationals mandated by applicable law) is owned directly or indirectly by such person.</w:t>
      </w:r>
    </w:p>
    <w:p>
      <w:pPr>
        <w:spacing w:after="0" w:line="105" w:lineRule="exact"/>
        <w:rPr>
          <w:sz w:val="20"/>
          <w:szCs w:val="20"/>
          <w:color w:val="auto"/>
        </w:rPr>
      </w:pPr>
    </w:p>
    <w:p>
      <w:pPr>
        <w:ind w:right="40" w:firstLine="22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ECURITIES</w:t>
      </w:r>
    </w:p>
    <w:p>
      <w:pPr>
        <w:spacing w:after="0" w:line="100"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Forms Generally</w:t>
      </w:r>
      <w:r>
        <w:rPr>
          <w:rFonts w:ascii="Arial" w:cs="Arial" w:eastAsia="Arial" w:hAnsi="Arial"/>
          <w:sz w:val="17"/>
          <w:szCs w:val="17"/>
          <w:color w:val="auto"/>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74"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73"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Certification of Authentication</w:t>
      </w:r>
      <w:r>
        <w:rPr>
          <w:rFonts w:ascii="Arial" w:cs="Arial" w:eastAsia="Arial" w:hAnsi="Arial"/>
          <w:sz w:val="18"/>
          <w:szCs w:val="18"/>
          <w:color w:val="auto"/>
        </w:rPr>
        <w:t>. The Trustee’s certificate of authentication on all Securities shall be in substantially the following form:</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NEW YORK,</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as Trustee</w:t>
      </w:r>
    </w:p>
    <w:p>
      <w:pPr>
        <w:spacing w:after="0" w:line="2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11430</wp:posOffset>
            </wp:positionV>
            <wp:extent cx="25596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44" w:name="page145"/>
    <w:bookmarkEnd w:id="144"/>
    <w:p>
      <w:pPr>
        <w:ind w:right="500" w:firstLine="221"/>
        <w:spacing w:after="0" w:line="26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Securities may be issued in one or more series. There shall be established in or pursuant to a resolution of the Board of Directors and set forth in 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Officers’ Certificate, or established in one or more indentures supplemental hereto, prior to the issuance of Securities of any series:</w:t>
      </w:r>
    </w:p>
    <w:p>
      <w:pPr>
        <w:spacing w:after="0" w:line="100" w:lineRule="exact"/>
        <w:rPr>
          <w:sz w:val="20"/>
          <w:szCs w:val="20"/>
          <w:color w:val="auto"/>
        </w:rPr>
      </w:pPr>
    </w:p>
    <w:p>
      <w:pPr>
        <w:ind w:left="800" w:hanging="231"/>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111" w:lineRule="exact"/>
        <w:rPr>
          <w:rFonts w:ascii="Arial" w:cs="Arial" w:eastAsia="Arial" w:hAnsi="Arial"/>
          <w:sz w:val="18"/>
          <w:szCs w:val="18"/>
          <w:color w:val="auto"/>
        </w:rPr>
      </w:pPr>
    </w:p>
    <w:p>
      <w:pPr>
        <w:ind w:left="340" w:right="80" w:firstLine="229"/>
        <w:spacing w:after="0" w:line="303" w:lineRule="auto"/>
        <w:tabs>
          <w:tab w:leader="none" w:pos="81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w:t>
      </w:r>
    </w:p>
    <w:p>
      <w:pPr>
        <w:ind w:left="340"/>
        <w:spacing w:after="0"/>
        <w:rPr>
          <w:rFonts w:ascii="Arial" w:cs="Arial" w:eastAsia="Arial" w:hAnsi="Arial"/>
          <w:sz w:val="15"/>
          <w:szCs w:val="15"/>
          <w:color w:val="auto"/>
        </w:rPr>
      </w:pPr>
      <w:r>
        <w:rPr>
          <w:rFonts w:ascii="Arial" w:cs="Arial" w:eastAsia="Arial" w:hAnsi="Arial"/>
          <w:sz w:val="18"/>
          <w:szCs w:val="18"/>
          <w:color w:val="auto"/>
        </w:rPr>
        <w:t>Section 2.08, 2.09, 2.11 or 13.03);</w:t>
      </w:r>
    </w:p>
    <w:p>
      <w:pPr>
        <w:spacing w:after="0" w:line="99" w:lineRule="exact"/>
        <w:rPr>
          <w:rFonts w:ascii="Arial" w:cs="Arial" w:eastAsia="Arial" w:hAnsi="Arial"/>
          <w:sz w:val="15"/>
          <w:szCs w:val="15"/>
          <w:color w:val="auto"/>
        </w:rPr>
      </w:pPr>
    </w:p>
    <w:p>
      <w:pPr>
        <w:ind w:left="800" w:hanging="231"/>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1" w:lineRule="exact"/>
        <w:rPr>
          <w:rFonts w:ascii="Arial" w:cs="Arial" w:eastAsia="Arial" w:hAnsi="Arial"/>
          <w:sz w:val="18"/>
          <w:szCs w:val="18"/>
          <w:color w:val="auto"/>
        </w:rPr>
      </w:pPr>
    </w:p>
    <w:p>
      <w:pPr>
        <w:ind w:left="340" w:right="60" w:firstLine="229"/>
        <w:spacing w:after="0" w:line="255" w:lineRule="auto"/>
        <w:tabs>
          <w:tab w:leader="none" w:pos="8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82" w:lineRule="exact"/>
        <w:rPr>
          <w:rFonts w:ascii="Arial" w:cs="Arial" w:eastAsia="Arial" w:hAnsi="Arial"/>
          <w:sz w:val="18"/>
          <w:szCs w:val="18"/>
          <w:color w:val="auto"/>
        </w:rPr>
      </w:pPr>
    </w:p>
    <w:p>
      <w:pPr>
        <w:ind w:left="800" w:hanging="231"/>
        <w:spacing w:after="0"/>
        <w:tabs>
          <w:tab w:leader="none" w:pos="8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place or places where the principal of and any interest on Securities of the series shall be payable (if other than as provided in Section 3.02);</w:t>
      </w:r>
    </w:p>
    <w:p>
      <w:pPr>
        <w:spacing w:after="0" w:line="145" w:lineRule="exact"/>
        <w:rPr>
          <w:rFonts w:ascii="Arial" w:cs="Arial" w:eastAsia="Arial" w:hAnsi="Arial"/>
          <w:sz w:val="15"/>
          <w:szCs w:val="15"/>
          <w:color w:val="auto"/>
        </w:rPr>
      </w:pPr>
    </w:p>
    <w:p>
      <w:pPr>
        <w:ind w:left="340" w:right="60" w:firstLine="229"/>
        <w:spacing w:after="0" w:line="265" w:lineRule="auto"/>
        <w:tabs>
          <w:tab w:leader="none" w:pos="78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73" w:lineRule="exact"/>
        <w:rPr>
          <w:rFonts w:ascii="Arial" w:cs="Arial" w:eastAsia="Arial" w:hAnsi="Arial"/>
          <w:sz w:val="18"/>
          <w:szCs w:val="18"/>
          <w:color w:val="auto"/>
        </w:rPr>
      </w:pPr>
    </w:p>
    <w:p>
      <w:pPr>
        <w:jc w:val="both"/>
        <w:ind w:left="340" w:firstLine="229"/>
        <w:spacing w:after="0" w:line="255" w:lineRule="auto"/>
        <w:tabs>
          <w:tab w:leader="none" w:pos="8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82" w:lineRule="exact"/>
        <w:rPr>
          <w:rFonts w:ascii="Arial" w:cs="Arial" w:eastAsia="Arial" w:hAnsi="Arial"/>
          <w:sz w:val="18"/>
          <w:szCs w:val="18"/>
          <w:color w:val="auto"/>
        </w:rPr>
      </w:pPr>
    </w:p>
    <w:p>
      <w:pPr>
        <w:ind w:left="820" w:hanging="251"/>
        <w:spacing w:after="0"/>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obligation, if any, of the Issuer to permit the conversion of the Securities of such series into Class A Common Stock or Class 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41" w:right="259" w:bottom="1440" w:gutter="0" w:footer="0" w:header="0"/>
        </w:sectPr>
      </w:pPr>
    </w:p>
    <w:bookmarkStart w:id="145" w:name="page146"/>
    <w:bookmarkEnd w:id="145"/>
    <w:p>
      <w:pPr>
        <w:ind w:left="340" w:right="20"/>
        <w:spacing w:after="0" w:line="255" w:lineRule="auto"/>
        <w:rPr>
          <w:sz w:val="20"/>
          <w:szCs w:val="20"/>
          <w:color w:val="auto"/>
        </w:rPr>
      </w:pPr>
      <w:r>
        <w:rPr>
          <w:rFonts w:ascii="Arial" w:cs="Arial" w:eastAsia="Arial" w:hAnsi="Arial"/>
          <w:sz w:val="18"/>
          <w:szCs w:val="18"/>
          <w:color w:val="auto"/>
        </w:rPr>
        <w:t>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83" w:lineRule="exact"/>
        <w:rPr>
          <w:sz w:val="20"/>
          <w:szCs w:val="20"/>
          <w:color w:val="auto"/>
        </w:rPr>
      </w:pPr>
    </w:p>
    <w:p>
      <w:pPr>
        <w:ind w:left="780" w:hanging="211"/>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other than denominations of $1,000 and any multiple thereof, the denominations in which Securities of the series shall be issuable;</w:t>
      </w:r>
    </w:p>
    <w:p>
      <w:pPr>
        <w:spacing w:after="0" w:line="111" w:lineRule="exact"/>
        <w:rPr>
          <w:rFonts w:ascii="Arial" w:cs="Arial" w:eastAsia="Arial" w:hAnsi="Arial"/>
          <w:sz w:val="18"/>
          <w:szCs w:val="18"/>
          <w:color w:val="auto"/>
        </w:rPr>
      </w:pPr>
    </w:p>
    <w:p>
      <w:pPr>
        <w:ind w:left="340" w:right="260" w:firstLine="229"/>
        <w:spacing w:after="0" w:line="265" w:lineRule="auto"/>
        <w:tabs>
          <w:tab w:leader="none" w:pos="7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73" w:lineRule="exact"/>
        <w:rPr>
          <w:rFonts w:ascii="Arial" w:cs="Arial" w:eastAsia="Arial" w:hAnsi="Arial"/>
          <w:sz w:val="18"/>
          <w:szCs w:val="18"/>
          <w:color w:val="auto"/>
        </w:rPr>
      </w:pPr>
    </w:p>
    <w:p>
      <w:pPr>
        <w:ind w:left="340" w:right="440" w:firstLine="229"/>
        <w:spacing w:after="0" w:line="265" w:lineRule="auto"/>
        <w:tabs>
          <w:tab w:leader="none" w:pos="8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for such Registered Global Security or Securities;</w:t>
      </w:r>
    </w:p>
    <w:p>
      <w:pPr>
        <w:spacing w:after="0" w:line="73" w:lineRule="exact"/>
        <w:rPr>
          <w:rFonts w:ascii="Arial" w:cs="Arial" w:eastAsia="Arial" w:hAnsi="Arial"/>
          <w:sz w:val="18"/>
          <w:szCs w:val="18"/>
          <w:color w:val="auto"/>
        </w:rPr>
      </w:pPr>
    </w:p>
    <w:p>
      <w:pPr>
        <w:ind w:left="780" w:hanging="211"/>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and</w:t>
      </w:r>
    </w:p>
    <w:p>
      <w:pPr>
        <w:spacing w:after="0" w:line="111" w:lineRule="exact"/>
        <w:rPr>
          <w:rFonts w:ascii="Arial" w:cs="Arial" w:eastAsia="Arial" w:hAnsi="Arial"/>
          <w:sz w:val="18"/>
          <w:szCs w:val="18"/>
          <w:color w:val="auto"/>
        </w:rPr>
      </w:pPr>
    </w:p>
    <w:p>
      <w:pPr>
        <w:ind w:left="860" w:hanging="291"/>
        <w:spacing w:after="0"/>
        <w:tabs>
          <w:tab w:leader="none" w:pos="8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trustees, authenticating or paying agents, transfer agents or registrar or any other agents with respect to the Securities of such series.</w:t>
      </w:r>
    </w:p>
    <w:p>
      <w:pPr>
        <w:spacing w:after="0" w:line="123" w:lineRule="exact"/>
        <w:rPr>
          <w:sz w:val="20"/>
          <w:szCs w:val="20"/>
          <w:color w:val="auto"/>
        </w:rPr>
      </w:pPr>
    </w:p>
    <w:p>
      <w:pPr>
        <w:ind w:right="400" w:firstLine="211"/>
        <w:spacing w:after="0" w:line="265"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73"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r>
        <w:rPr>
          <w:rFonts w:ascii="Arial" w:cs="Arial" w:eastAsia="Arial" w:hAnsi="Arial"/>
          <w:sz w:val="18"/>
          <w:szCs w:val="18"/>
          <w:color w:val="auto"/>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90" w:lineRule="exact"/>
        <w:rPr>
          <w:sz w:val="20"/>
          <w:szCs w:val="20"/>
          <w:color w:val="auto"/>
        </w:rPr>
      </w:pPr>
    </w:p>
    <w:p>
      <w:pPr>
        <w:ind w:left="340" w:right="560" w:firstLine="229"/>
        <w:spacing w:after="0" w:line="265" w:lineRule="auto"/>
        <w:tabs>
          <w:tab w:leader="none" w:pos="8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of Directors authorizing the action taken pursuant to the resolution or resolutions delivered under clause Section 2.04(b)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6" w:name="page147"/>
    <w:bookmarkEnd w:id="146"/>
    <w:p>
      <w:pPr>
        <w:ind w:left="340" w:firstLine="229"/>
        <w:spacing w:after="0" w:line="265" w:lineRule="auto"/>
        <w:tabs>
          <w:tab w:leader="none" w:pos="8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of Directors relating to such series, in each case certified by the secretary or an assistant secretary of the Issuer;</w:t>
      </w:r>
    </w:p>
    <w:p>
      <w:pPr>
        <w:spacing w:after="0" w:line="73" w:lineRule="exact"/>
        <w:rPr>
          <w:rFonts w:ascii="Arial" w:cs="Arial" w:eastAsia="Arial" w:hAnsi="Arial"/>
          <w:sz w:val="18"/>
          <w:szCs w:val="18"/>
          <w:color w:val="auto"/>
        </w:rPr>
      </w:pPr>
    </w:p>
    <w:p>
      <w:pPr>
        <w:ind w:left="800" w:hanging="231"/>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executed supplemental indenture, if any, and the documentation required to be delivered pursuant to Section 7.04;</w:t>
      </w:r>
    </w:p>
    <w:p>
      <w:pPr>
        <w:spacing w:after="0" w:line="111" w:lineRule="exact"/>
        <w:rPr>
          <w:rFonts w:ascii="Arial" w:cs="Arial" w:eastAsia="Arial" w:hAnsi="Arial"/>
          <w:sz w:val="18"/>
          <w:szCs w:val="18"/>
          <w:color w:val="auto"/>
        </w:rPr>
      </w:pPr>
    </w:p>
    <w:p>
      <w:pPr>
        <w:ind w:left="340" w:right="140" w:firstLine="229"/>
        <w:spacing w:after="0" w:line="265" w:lineRule="auto"/>
        <w:tabs>
          <w:tab w:leader="none" w:pos="8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Officers’ Certificate setting forth the form and terms of the Securities as required pursuant to Section 2.01 and 2.03, respectively and prepared in accordance with Section 10.05;</w:t>
      </w:r>
    </w:p>
    <w:p>
      <w:pPr>
        <w:spacing w:after="0" w:line="73" w:lineRule="exact"/>
        <w:rPr>
          <w:rFonts w:ascii="Arial" w:cs="Arial" w:eastAsia="Arial" w:hAnsi="Arial"/>
          <w:sz w:val="18"/>
          <w:szCs w:val="18"/>
          <w:color w:val="auto"/>
        </w:rPr>
      </w:pPr>
    </w:p>
    <w:p>
      <w:pPr>
        <w:ind w:left="800" w:hanging="231"/>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10.05, to the effect</w:t>
      </w:r>
    </w:p>
    <w:p>
      <w:pPr>
        <w:spacing w:after="0" w:line="111" w:lineRule="exact"/>
        <w:rPr>
          <w:rFonts w:ascii="Arial" w:cs="Arial" w:eastAsia="Arial" w:hAnsi="Arial"/>
          <w:sz w:val="18"/>
          <w:szCs w:val="18"/>
          <w:color w:val="auto"/>
        </w:rPr>
      </w:pPr>
    </w:p>
    <w:p>
      <w:pPr>
        <w:ind w:left="700" w:right="620" w:firstLine="212"/>
        <w:spacing w:after="0" w:line="294" w:lineRule="auto"/>
        <w:tabs>
          <w:tab w:leader="none" w:pos="1132"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that the form or forms and terms of such Securities have been established by or pursuant to a resolution of the Board of Directors or by a supplemental indenture as permitted by Section 2.01 and 2.03 in conformity with the provisions of this Indenture; and</w:t>
      </w:r>
    </w:p>
    <w:p>
      <w:pPr>
        <w:spacing w:after="0" w:line="51" w:lineRule="exact"/>
        <w:rPr>
          <w:rFonts w:ascii="Arial" w:cs="Arial" w:eastAsia="Arial" w:hAnsi="Arial"/>
          <w:sz w:val="17"/>
          <w:szCs w:val="17"/>
          <w:color w:val="auto"/>
        </w:rPr>
      </w:pPr>
    </w:p>
    <w:p>
      <w:pPr>
        <w:ind w:left="1180" w:hanging="268"/>
        <w:spacing w:after="0"/>
        <w:tabs>
          <w:tab w:leader="none" w:pos="118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that such Securities, when authenticated and delivered by the Trustee and issued by the Issuer in the manner and subject to any conditions</w:t>
      </w:r>
    </w:p>
    <w:p>
      <w:pPr>
        <w:spacing w:after="0" w:line="50" w:lineRule="exact"/>
        <w:rPr>
          <w:rFonts w:ascii="Arial" w:cs="Arial" w:eastAsia="Arial" w:hAnsi="Arial"/>
          <w:sz w:val="15"/>
          <w:szCs w:val="15"/>
          <w:color w:val="auto"/>
        </w:rPr>
      </w:pPr>
    </w:p>
    <w:p>
      <w:pPr>
        <w:ind w:left="700" w:right="20"/>
        <w:spacing w:after="0" w:line="251" w:lineRule="auto"/>
        <w:rPr>
          <w:rFonts w:ascii="Arial" w:cs="Arial" w:eastAsia="Arial" w:hAnsi="Arial"/>
          <w:sz w:val="15"/>
          <w:szCs w:val="15"/>
          <w:color w:val="auto"/>
        </w:rPr>
      </w:pPr>
      <w:r>
        <w:rPr>
          <w:rFonts w:ascii="Arial" w:cs="Arial" w:eastAsia="Arial" w:hAnsi="Arial"/>
          <w:sz w:val="18"/>
          <w:szCs w:val="18"/>
          <w:color w:val="auto"/>
        </w:rPr>
        <w:t>specified in such Opinion of Counsel, will constitute legal, valid and binding obligations of the Issuer enforceable against the Issuer in accordance with their terms.</w:t>
      </w:r>
    </w:p>
    <w:p>
      <w:pPr>
        <w:spacing w:after="0" w:line="86" w:lineRule="exact"/>
        <w:rPr>
          <w:sz w:val="20"/>
          <w:szCs w:val="20"/>
          <w:color w:val="auto"/>
        </w:rPr>
      </w:pPr>
    </w:p>
    <w:p>
      <w:pPr>
        <w:jc w:val="both"/>
        <w:ind w:right="240" w:firstLine="218"/>
        <w:spacing w:after="0" w:line="330" w:lineRule="auto"/>
        <w:rPr>
          <w:sz w:val="20"/>
          <w:szCs w:val="20"/>
          <w:color w:val="auto"/>
        </w:rPr>
      </w:pPr>
      <w:r>
        <w:rPr>
          <w:rFonts w:ascii="Arial" w:cs="Arial" w:eastAsia="Arial" w:hAnsi="Arial"/>
          <w:sz w:val="15"/>
          <w:szCs w:val="15"/>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31" w:lineRule="exact"/>
        <w:rPr>
          <w:sz w:val="20"/>
          <w:szCs w:val="20"/>
          <w:color w:val="auto"/>
        </w:rPr>
      </w:pPr>
    </w:p>
    <w:p>
      <w:pPr>
        <w:ind w:right="80" w:firstLine="221"/>
        <w:spacing w:after="0" w:line="298" w:lineRule="auto"/>
        <w:rPr>
          <w:sz w:val="20"/>
          <w:szCs w:val="20"/>
          <w:color w:val="auto"/>
        </w:rPr>
      </w:pPr>
      <w:r>
        <w:rPr>
          <w:rFonts w:ascii="Arial" w:cs="Arial" w:eastAsia="Arial" w:hAnsi="Arial"/>
          <w:sz w:val="15"/>
          <w:szCs w:val="15"/>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w:t>
      </w:r>
    </w:p>
    <w:p>
      <w:pPr>
        <w:spacing w:after="0" w:line="1" w:lineRule="exact"/>
        <w:rPr>
          <w:sz w:val="20"/>
          <w:szCs w:val="20"/>
          <w:color w:val="auto"/>
        </w:rPr>
      </w:pPr>
    </w:p>
    <w:p>
      <w:pPr>
        <w:ind w:left="300" w:hanging="294"/>
        <w:spacing w:after="0"/>
        <w:tabs>
          <w:tab w:leader="none" w:pos="3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shall bear a legend substantially to the following effect: “Unless and until it is exchanged in whole or in part for Securities in definitive registered form, this</w:t>
      </w:r>
    </w:p>
    <w:p>
      <w:pPr>
        <w:spacing w:after="0" w:line="213"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47" w:name="page148"/>
    <w:bookmarkEnd w:id="147"/>
    <w:p>
      <w:pPr>
        <w:ind w:right="440"/>
        <w:spacing w:after="0" w:line="366" w:lineRule="auto"/>
        <w:rPr>
          <w:sz w:val="20"/>
          <w:szCs w:val="20"/>
          <w:color w:val="auto"/>
        </w:rPr>
      </w:pPr>
      <w:r>
        <w:rPr>
          <w:rFonts w:ascii="Arial" w:cs="Arial" w:eastAsia="Arial" w:hAnsi="Arial"/>
          <w:sz w:val="15"/>
          <w:szCs w:val="15"/>
          <w:color w:val="auto"/>
        </w:rPr>
        <w:t>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4"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or any vice 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90"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89" w:lineRule="exact"/>
        <w:rPr>
          <w:sz w:val="20"/>
          <w:szCs w:val="20"/>
          <w:color w:val="auto"/>
        </w:rPr>
      </w:pPr>
    </w:p>
    <w:p>
      <w:pPr>
        <w:ind w:right="320" w:firstLine="221"/>
        <w:spacing w:after="0" w:line="318"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i w:val="1"/>
          <w:iCs w:val="1"/>
          <w:color w:val="auto"/>
        </w:rPr>
        <w:t>Certificate of Authentication</w:t>
      </w:r>
      <w:r>
        <w:rPr>
          <w:rFonts w:ascii="Arial" w:cs="Arial" w:eastAsia="Arial" w:hAnsi="Arial"/>
          <w:sz w:val="15"/>
          <w:szCs w:val="15"/>
          <w:color w:val="auto"/>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40" w:lineRule="exact"/>
        <w:rPr>
          <w:sz w:val="20"/>
          <w:szCs w:val="20"/>
          <w:color w:val="auto"/>
        </w:rPr>
      </w:pPr>
    </w:p>
    <w:p>
      <w:pPr>
        <w:ind w:right="140" w:firstLine="221"/>
        <w:spacing w:after="0" w:line="250"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48" w:name="page149"/>
    <w:bookmarkEnd w:id="148"/>
    <w:p>
      <w:pPr>
        <w:ind w:right="80" w:firstLine="221"/>
        <w:spacing w:after="0" w:line="265"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73" w:lineRule="exact"/>
        <w:rPr>
          <w:sz w:val="20"/>
          <w:szCs w:val="20"/>
          <w:color w:val="auto"/>
        </w:rPr>
      </w:pPr>
    </w:p>
    <w:p>
      <w:pPr>
        <w:ind w:firstLine="218"/>
        <w:spacing w:after="0" w:line="303"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5"/>
          <w:szCs w:val="15"/>
          <w:b w:val="1"/>
          <w:bCs w:val="1"/>
          <w:color w:val="auto"/>
        </w:rPr>
        <w:t>record date</w:t>
      </w:r>
      <w:r>
        <w:rPr>
          <w:rFonts w:ascii="Arial" w:cs="Arial" w:eastAsia="Arial" w:hAnsi="Arial"/>
          <w:sz w:val="15"/>
          <w:szCs w:val="15"/>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50" w:lineRule="exact"/>
        <w:rPr>
          <w:sz w:val="20"/>
          <w:szCs w:val="20"/>
          <w:color w:val="auto"/>
        </w:rPr>
      </w:pPr>
    </w:p>
    <w:p>
      <w:pPr>
        <w:ind w:right="60" w:firstLine="221"/>
        <w:spacing w:after="0" w:line="318"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i w:val="1"/>
          <w:iCs w:val="1"/>
          <w:color w:val="auto"/>
        </w:rPr>
        <w:t>Registration, Transfer and Exchange.</w:t>
      </w:r>
      <w:r>
        <w:rPr>
          <w:rFonts w:ascii="Arial" w:cs="Arial" w:eastAsia="Arial" w:hAnsi="Arial"/>
          <w:sz w:val="15"/>
          <w:szCs w:val="15"/>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40" w:lineRule="exact"/>
        <w:rPr>
          <w:sz w:val="20"/>
          <w:szCs w:val="20"/>
          <w:color w:val="auto"/>
        </w:rPr>
      </w:pPr>
    </w:p>
    <w:p>
      <w:pPr>
        <w:ind w:firstLine="211"/>
        <w:spacing w:after="0" w:line="309" w:lineRule="auto"/>
        <w:rPr>
          <w:sz w:val="20"/>
          <w:szCs w:val="20"/>
          <w:color w:val="auto"/>
        </w:rPr>
      </w:pPr>
      <w:r>
        <w:rPr>
          <w:rFonts w:ascii="Arial" w:cs="Arial" w:eastAsia="Arial" w:hAnsi="Arial"/>
          <w:sz w:val="15"/>
          <w:szCs w:val="15"/>
          <w:color w:val="auto"/>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9" w:name="page150"/>
    <w:bookmarkEnd w:id="149"/>
    <w:p>
      <w:pPr>
        <w:spacing w:after="0" w:line="305" w:lineRule="auto"/>
        <w:rPr>
          <w:sz w:val="20"/>
          <w:szCs w:val="20"/>
          <w:color w:val="auto"/>
        </w:rPr>
      </w:pPr>
      <w:r>
        <w:rPr>
          <w:rFonts w:ascii="Arial" w:cs="Arial" w:eastAsia="Arial" w:hAnsi="Arial"/>
          <w:sz w:val="15"/>
          <w:szCs w:val="15"/>
          <w:color w:val="auto"/>
        </w:rPr>
        <w:t>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50" w:lineRule="exact"/>
        <w:rPr>
          <w:sz w:val="20"/>
          <w:szCs w:val="20"/>
          <w:color w:val="auto"/>
        </w:rPr>
      </w:pPr>
    </w:p>
    <w:p>
      <w:pPr>
        <w:ind w:firstLine="211"/>
        <w:spacing w:after="0" w:line="255" w:lineRule="auto"/>
        <w:rPr>
          <w:sz w:val="20"/>
          <w:szCs w:val="20"/>
          <w:color w:val="auto"/>
        </w:rPr>
      </w:pPr>
      <w:r>
        <w:rPr>
          <w:rFonts w:ascii="Arial" w:cs="Arial" w:eastAsia="Arial" w:hAnsi="Arial"/>
          <w:sz w:val="18"/>
          <w:szCs w:val="18"/>
          <w:color w:val="auto"/>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spacing w:after="0" w:line="83" w:lineRule="exact"/>
        <w:rPr>
          <w:sz w:val="20"/>
          <w:szCs w:val="20"/>
          <w:color w:val="auto"/>
        </w:rPr>
      </w:pPr>
    </w:p>
    <w:p>
      <w:pPr>
        <w:ind w:right="180" w:firstLine="218"/>
        <w:spacing w:after="0" w:line="265"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73" w:lineRule="exact"/>
        <w:rPr>
          <w:sz w:val="20"/>
          <w:szCs w:val="20"/>
          <w:color w:val="auto"/>
        </w:rPr>
      </w:pPr>
    </w:p>
    <w:p>
      <w:pPr>
        <w:ind w:right="60" w:firstLine="221"/>
        <w:spacing w:after="0" w:line="271"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72" w:lineRule="exact"/>
        <w:rPr>
          <w:sz w:val="20"/>
          <w:szCs w:val="20"/>
          <w:color w:val="auto"/>
        </w:rPr>
      </w:pPr>
    </w:p>
    <w:p>
      <w:pPr>
        <w:ind w:right="180" w:firstLine="221"/>
        <w:spacing w:after="0" w:line="250" w:lineRule="auto"/>
        <w:rPr>
          <w:sz w:val="20"/>
          <w:szCs w:val="20"/>
          <w:color w:val="auto"/>
        </w:rPr>
      </w:pPr>
      <w:r>
        <w:rPr>
          <w:rFonts w:ascii="Arial" w:cs="Arial" w:eastAsia="Arial" w:hAnsi="Arial"/>
          <w:sz w:val="18"/>
          <w:szCs w:val="18"/>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50" w:name="page151"/>
    <w:bookmarkEnd w:id="150"/>
    <w:p>
      <w:pPr>
        <w:spacing w:after="0" w:line="330" w:lineRule="auto"/>
        <w:rPr>
          <w:sz w:val="20"/>
          <w:szCs w:val="20"/>
          <w:color w:val="auto"/>
        </w:rPr>
      </w:pPr>
      <w:r>
        <w:rPr>
          <w:rFonts w:ascii="Arial" w:cs="Arial" w:eastAsia="Arial" w:hAnsi="Arial"/>
          <w:sz w:val="15"/>
          <w:szCs w:val="15"/>
          <w:color w:val="auto"/>
        </w:rPr>
        <w:t>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31" w:lineRule="exact"/>
        <w:rPr>
          <w:sz w:val="20"/>
          <w:szCs w:val="20"/>
          <w:color w:val="auto"/>
        </w:rPr>
      </w:pPr>
    </w:p>
    <w:p>
      <w:pPr>
        <w:ind w:right="40" w:firstLine="218"/>
        <w:spacing w:after="0" w:line="312" w:lineRule="auto"/>
        <w:rPr>
          <w:sz w:val="20"/>
          <w:szCs w:val="20"/>
          <w:color w:val="auto"/>
        </w:rPr>
      </w:pPr>
      <w:r>
        <w:rPr>
          <w:rFonts w:ascii="Arial" w:cs="Arial" w:eastAsia="Arial" w:hAnsi="Arial"/>
          <w:sz w:val="15"/>
          <w:szCs w:val="15"/>
          <w:color w:val="auto"/>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46" w:lineRule="exact"/>
        <w:rPr>
          <w:sz w:val="20"/>
          <w:szCs w:val="20"/>
          <w:color w:val="auto"/>
        </w:rPr>
      </w:pPr>
    </w:p>
    <w:p>
      <w:pPr>
        <w:ind w:right="80" w:firstLine="211"/>
        <w:spacing w:after="0" w:line="277" w:lineRule="auto"/>
        <w:rPr>
          <w:sz w:val="20"/>
          <w:szCs w:val="20"/>
          <w:color w:val="auto"/>
        </w:rPr>
      </w:pPr>
      <w:r>
        <w:rPr>
          <w:rFonts w:ascii="Arial" w:cs="Arial" w:eastAsia="Arial" w:hAnsi="Arial"/>
          <w:sz w:val="17"/>
          <w:szCs w:val="17"/>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66"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85" w:lineRule="exact"/>
        <w:rPr>
          <w:sz w:val="20"/>
          <w:szCs w:val="20"/>
          <w:color w:val="auto"/>
        </w:rPr>
      </w:pPr>
    </w:p>
    <w:p>
      <w:pPr>
        <w:ind w:left="340" w:right="160" w:firstLine="229"/>
        <w:spacing w:after="0" w:line="366" w:lineRule="auto"/>
        <w:tabs>
          <w:tab w:leader="none" w:pos="77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spacing w:after="0" w:line="4" w:lineRule="exact"/>
        <w:rPr>
          <w:rFonts w:ascii="Arial" w:cs="Arial" w:eastAsia="Arial" w:hAnsi="Arial"/>
          <w:sz w:val="15"/>
          <w:szCs w:val="15"/>
          <w:color w:val="auto"/>
        </w:rPr>
      </w:pPr>
    </w:p>
    <w:p>
      <w:pPr>
        <w:ind w:left="340" w:right="740" w:firstLine="229"/>
        <w:spacing w:after="0" w:line="265" w:lineRule="auto"/>
        <w:tabs>
          <w:tab w:leader="none" w:pos="8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51" w:name="page152"/>
    <w:bookmarkEnd w:id="151"/>
    <w:p>
      <w:pPr>
        <w:ind w:left="340"/>
        <w:spacing w:after="0"/>
        <w:rPr>
          <w:sz w:val="20"/>
          <w:szCs w:val="20"/>
          <w:color w:val="auto"/>
        </w:rPr>
      </w:pPr>
      <w:r>
        <w:rPr>
          <w:rFonts w:ascii="Arial" w:cs="Arial" w:eastAsia="Arial" w:hAnsi="Arial"/>
          <w:sz w:val="18"/>
          <w:szCs w:val="18"/>
          <w:color w:val="auto"/>
        </w:rPr>
        <w:t>amount of Registered Securities authenticated and delivered pursuant to clause (i) above.</w:t>
      </w:r>
    </w:p>
    <w:p>
      <w:pPr>
        <w:spacing w:after="0" w:line="111"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85" w:lineRule="exact"/>
        <w:rPr>
          <w:sz w:val="20"/>
          <w:szCs w:val="20"/>
          <w:color w:val="auto"/>
        </w:rPr>
      </w:pPr>
    </w:p>
    <w:p>
      <w:pPr>
        <w:ind w:right="240" w:firstLine="211"/>
        <w:spacing w:after="0" w:line="265"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73" w:lineRule="exact"/>
        <w:rPr>
          <w:sz w:val="20"/>
          <w:szCs w:val="20"/>
          <w:color w:val="auto"/>
        </w:rPr>
      </w:pPr>
    </w:p>
    <w:p>
      <w:pPr>
        <w:ind w:right="80" w:firstLine="221"/>
        <w:spacing w:after="0" w:line="269" w:lineRule="auto"/>
        <w:rPr>
          <w:sz w:val="20"/>
          <w:szCs w:val="20"/>
          <w:color w:val="auto"/>
        </w:rPr>
      </w:pPr>
      <w:r>
        <w:rPr>
          <w:rFonts w:ascii="Arial" w:cs="Arial" w:eastAsia="Arial" w:hAnsi="Arial"/>
          <w:sz w:val="17"/>
          <w:szCs w:val="17"/>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71"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83"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52" w:name="page153"/>
    <w:bookmarkEnd w:id="152"/>
    <w:p>
      <w:pPr>
        <w:spacing w:after="0"/>
        <w:rPr>
          <w:sz w:val="20"/>
          <w:szCs w:val="20"/>
          <w:color w:val="auto"/>
        </w:rPr>
      </w:pPr>
      <w:r>
        <w:rPr>
          <w:rFonts w:ascii="Arial" w:cs="Arial" w:eastAsia="Arial" w:hAnsi="Arial"/>
          <w:sz w:val="15"/>
          <w:szCs w:val="15"/>
          <w:color w:val="auto"/>
        </w:rPr>
        <w:t>required by them to indemnify and defend and to save each of them harmless and the applicant satisfies other reasonable requirements imposed by the Issuer.</w:t>
      </w:r>
    </w:p>
    <w:p>
      <w:pPr>
        <w:spacing w:after="0" w:line="146" w:lineRule="exact"/>
        <w:rPr>
          <w:sz w:val="20"/>
          <w:szCs w:val="20"/>
          <w:color w:val="auto"/>
        </w:rPr>
      </w:pPr>
    </w:p>
    <w:p>
      <w:pPr>
        <w:ind w:right="60" w:firstLine="221"/>
        <w:spacing w:after="0" w:line="265"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77"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74"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Cancellation of Securities; Destruction Thereof.</w:t>
      </w:r>
      <w:r>
        <w:rPr>
          <w:rFonts w:ascii="Arial" w:cs="Arial" w:eastAsia="Arial" w:hAnsi="Arial"/>
          <w:sz w:val="17"/>
          <w:szCs w:val="17"/>
          <w:color w:val="auto"/>
        </w:rPr>
        <w:t xml:space="preserve">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153" w:name="page154"/>
    <w:bookmarkEnd w:id="153"/>
    <w:p>
      <w:pPr>
        <w:ind w:firstLine="221"/>
        <w:spacing w:after="0" w:line="302"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i w:val="1"/>
          <w:iCs w:val="1"/>
          <w:color w:val="auto"/>
        </w:rPr>
        <w:t>Temporary Securities.</w:t>
      </w:r>
      <w:r>
        <w:rPr>
          <w:rFonts w:ascii="Arial" w:cs="Arial" w:eastAsia="Arial" w:hAnsi="Arial"/>
          <w:sz w:val="15"/>
          <w:szCs w:val="15"/>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269"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Computation of Interest</w:t>
      </w:r>
      <w:r>
        <w:rPr>
          <w:rFonts w:ascii="Arial" w:cs="Arial" w:eastAsia="Arial" w:hAnsi="Arial"/>
          <w:sz w:val="18"/>
          <w:szCs w:val="18"/>
          <w:color w:val="auto"/>
        </w:rPr>
        <w:t>. Except as otherwise specified in the Securities of a series, interest shall be computed on the basis of a 360-day year of twelve 30-day months.</w:t>
      </w:r>
    </w:p>
    <w:p>
      <w:pPr>
        <w:spacing w:after="0" w:line="73" w:lineRule="exact"/>
        <w:rPr>
          <w:sz w:val="20"/>
          <w:szCs w:val="20"/>
          <w:color w:val="auto"/>
        </w:rPr>
      </w:pPr>
    </w:p>
    <w:p>
      <w:pPr>
        <w:ind w:right="220" w:firstLine="221"/>
        <w:spacing w:after="0" w:line="250"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Cusip Numbers</w:t>
      </w:r>
      <w:r>
        <w:rPr>
          <w:rFonts w:ascii="Arial" w:cs="Arial" w:eastAsia="Arial" w:hAnsi="Arial"/>
          <w:sz w:val="18"/>
          <w:szCs w:val="18"/>
          <w:color w:val="auto"/>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OVENANTS OF THE</w:t>
      </w:r>
      <w:r>
        <w:rPr>
          <w:rFonts w:ascii="Arial" w:cs="Arial" w:eastAsia="Arial" w:hAnsi="Arial"/>
          <w:sz w:val="18"/>
          <w:szCs w:val="18"/>
          <w:color w:val="auto"/>
        </w:rPr>
        <w:t xml:space="preserve"> I</w:t>
      </w:r>
      <w:r>
        <w:rPr>
          <w:rFonts w:ascii="Arial" w:cs="Arial" w:eastAsia="Arial" w:hAnsi="Arial"/>
          <w:sz w:val="11"/>
          <w:szCs w:val="11"/>
          <w:color w:val="auto"/>
        </w:rPr>
        <w:t>SSUER</w:t>
      </w:r>
      <w:r>
        <w:rPr>
          <w:rFonts w:ascii="Arial" w:cs="Arial" w:eastAsia="Arial" w:hAnsi="Arial"/>
          <w:sz w:val="18"/>
          <w:szCs w:val="18"/>
          <w:color w:val="auto"/>
        </w:rPr>
        <w:t xml:space="preserve">, </w:t>
      </w:r>
      <w:r>
        <w:rPr>
          <w:rFonts w:ascii="Arial" w:cs="Arial" w:eastAsia="Arial" w:hAnsi="Arial"/>
          <w:sz w:val="11"/>
          <w:szCs w:val="11"/>
          <w:color w:val="auto"/>
        </w:rPr>
        <w:t>THE</w:t>
      </w:r>
      <w:r>
        <w:rPr>
          <w:rFonts w:ascii="Arial" w:cs="Arial" w:eastAsia="Arial" w:hAnsi="Arial"/>
          <w:sz w:val="18"/>
          <w:szCs w:val="18"/>
          <w:color w:val="auto"/>
        </w:rPr>
        <w:t xml:space="preserve"> C</w:t>
      </w:r>
      <w:r>
        <w:rPr>
          <w:rFonts w:ascii="Arial" w:cs="Arial" w:eastAsia="Arial" w:hAnsi="Arial"/>
          <w:sz w:val="11"/>
          <w:szCs w:val="11"/>
          <w:color w:val="auto"/>
        </w:rPr>
        <w:t>ABLE</w:t>
      </w:r>
      <w:r>
        <w:rPr>
          <w:rFonts w:ascii="Arial" w:cs="Arial" w:eastAsia="Arial" w:hAnsi="Arial"/>
          <w:sz w:val="18"/>
          <w:szCs w:val="18"/>
          <w:color w:val="auto"/>
        </w:rPr>
        <w:t xml:space="preserve"> G</w:t>
      </w:r>
      <w:r>
        <w:rPr>
          <w:rFonts w:ascii="Arial" w:cs="Arial" w:eastAsia="Arial" w:hAnsi="Arial"/>
          <w:sz w:val="11"/>
          <w:szCs w:val="11"/>
          <w:color w:val="auto"/>
        </w:rPr>
        <w:t>UARANTORS AND THE</w:t>
      </w:r>
      <w:r>
        <w:rPr>
          <w:rFonts w:ascii="Arial" w:cs="Arial" w:eastAsia="Arial" w:hAnsi="Arial"/>
          <w:sz w:val="18"/>
          <w:szCs w:val="18"/>
          <w:color w:val="auto"/>
        </w:rPr>
        <w:t xml:space="preserve"> T</w:t>
      </w:r>
      <w:r>
        <w:rPr>
          <w:rFonts w:ascii="Arial" w:cs="Arial" w:eastAsia="Arial" w:hAnsi="Arial"/>
          <w:sz w:val="11"/>
          <w:szCs w:val="11"/>
          <w:color w:val="auto"/>
        </w:rPr>
        <w:t>RUSTEE</w:t>
      </w:r>
    </w:p>
    <w:p>
      <w:pPr>
        <w:spacing w:after="0" w:line="100" w:lineRule="exact"/>
        <w:rPr>
          <w:sz w:val="20"/>
          <w:szCs w:val="20"/>
          <w:color w:val="auto"/>
        </w:rPr>
      </w:pPr>
    </w:p>
    <w:p>
      <w:pPr>
        <w:ind w:right="220" w:firstLine="221"/>
        <w:spacing w:after="0" w:line="366" w:lineRule="auto"/>
        <w:rPr>
          <w:sz w:val="20"/>
          <w:szCs w:val="20"/>
          <w:color w:val="auto"/>
        </w:rPr>
      </w:pPr>
      <w:r>
        <w:rPr>
          <w:rFonts w:ascii="Arial" w:cs="Arial" w:eastAsia="Arial" w:hAnsi="Arial"/>
          <w:sz w:val="15"/>
          <w:szCs w:val="15"/>
          <w:color w:val="auto"/>
        </w:rPr>
        <w:t xml:space="preserve">Section 3.01. </w:t>
      </w:r>
      <w:r>
        <w:rPr>
          <w:rFonts w:ascii="Arial" w:cs="Arial" w:eastAsia="Arial" w:hAnsi="Arial"/>
          <w:sz w:val="15"/>
          <w:szCs w:val="15"/>
          <w:i w:val="1"/>
          <w:iCs w:val="1"/>
          <w:color w:val="auto"/>
        </w:rPr>
        <w:t>Payment of Principal and Interest.</w:t>
      </w:r>
      <w:r>
        <w:rPr>
          <w:rFonts w:ascii="Arial" w:cs="Arial" w:eastAsia="Arial" w:hAnsi="Arial"/>
          <w:sz w:val="15"/>
          <w:szCs w:val="15"/>
          <w:color w:val="auto"/>
        </w:rPr>
        <w:t xml:space="preserve"> The Issuer covenants and agrees for the benefit of each series of Securities that it will duly and punctually pay or cause to be paid the principal of, and interest on, each of the Securities of such series at the place or places, at the respective times and in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54" w:name="page155"/>
    <w:bookmarkEnd w:id="154"/>
    <w:p>
      <w:pPr>
        <w:ind w:right="340"/>
        <w:spacing w:after="0" w:line="294" w:lineRule="auto"/>
        <w:rPr>
          <w:sz w:val="20"/>
          <w:szCs w:val="20"/>
          <w:color w:val="auto"/>
        </w:rPr>
      </w:pPr>
      <w:r>
        <w:rPr>
          <w:rFonts w:ascii="Arial" w:cs="Arial" w:eastAsia="Arial" w:hAnsi="Arial"/>
          <w:sz w:val="17"/>
          <w:szCs w:val="17"/>
          <w:color w:val="auto"/>
        </w:rPr>
        <w:t>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51"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color w:val="auto"/>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81" w:lineRule="exact"/>
        <w:rPr>
          <w:sz w:val="20"/>
          <w:szCs w:val="20"/>
          <w:color w:val="auto"/>
        </w:rPr>
      </w:pPr>
    </w:p>
    <w:p>
      <w:pPr>
        <w:ind w:right="60" w:firstLine="221"/>
        <w:spacing w:after="0" w:line="26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Offices for Payments, etc.</w:t>
      </w:r>
      <w:r>
        <w:rPr>
          <w:rFonts w:ascii="Arial" w:cs="Arial" w:eastAsia="Arial" w:hAnsi="Arial"/>
          <w:sz w:val="17"/>
          <w:szCs w:val="17"/>
          <w:color w:val="auto"/>
        </w:rPr>
        <w:t xml:space="preserve">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 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55" w:name="page156"/>
    <w:bookmarkEnd w:id="155"/>
    <w:p>
      <w:pPr>
        <w:ind w:right="60" w:firstLine="221"/>
        <w:spacing w:after="0" w:line="366"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Paying Agents</w:t>
      </w:r>
      <w:r>
        <w:rPr>
          <w:rFonts w:ascii="Arial" w:cs="Arial" w:eastAsia="Arial" w:hAnsi="Arial"/>
          <w:sz w:val="15"/>
          <w:szCs w:val="15"/>
          <w:color w:val="auto"/>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4" w:lineRule="exact"/>
        <w:rPr>
          <w:sz w:val="20"/>
          <w:szCs w:val="20"/>
          <w:color w:val="auto"/>
        </w:rPr>
      </w:pPr>
    </w:p>
    <w:p>
      <w:pPr>
        <w:ind w:left="340" w:firstLine="229"/>
        <w:spacing w:after="0" w:line="255" w:lineRule="auto"/>
        <w:tabs>
          <w:tab w:leader="none" w:pos="8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82" w:lineRule="exact"/>
        <w:rPr>
          <w:rFonts w:ascii="Arial" w:cs="Arial" w:eastAsia="Arial" w:hAnsi="Arial"/>
          <w:sz w:val="18"/>
          <w:szCs w:val="18"/>
          <w:color w:val="auto"/>
        </w:rPr>
      </w:pPr>
    </w:p>
    <w:p>
      <w:pPr>
        <w:ind w:left="340" w:right="220" w:firstLine="229"/>
        <w:spacing w:after="0" w:line="265" w:lineRule="auto"/>
        <w:tabs>
          <w:tab w:leader="none" w:pos="8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73" w:lineRule="exact"/>
        <w:rPr>
          <w:rFonts w:ascii="Arial" w:cs="Arial" w:eastAsia="Arial" w:hAnsi="Arial"/>
          <w:sz w:val="18"/>
          <w:szCs w:val="18"/>
          <w:color w:val="auto"/>
        </w:rPr>
      </w:pPr>
    </w:p>
    <w:p>
      <w:pPr>
        <w:ind w:left="340" w:right="140" w:firstLine="229"/>
        <w:spacing w:after="0" w:line="265" w:lineRule="auto"/>
        <w:tabs>
          <w:tab w:leader="none" w:pos="8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clause 3.03(b) above.</w:t>
      </w:r>
    </w:p>
    <w:p>
      <w:pPr>
        <w:spacing w:after="0" w:line="73" w:lineRule="exact"/>
        <w:rPr>
          <w:sz w:val="20"/>
          <w:szCs w:val="20"/>
          <w:color w:val="auto"/>
        </w:rPr>
      </w:pPr>
    </w:p>
    <w:p>
      <w:pPr>
        <w:jc w:val="both"/>
        <w:ind w:right="260" w:firstLine="218"/>
        <w:spacing w:after="0" w:line="255"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83" w:lineRule="exact"/>
        <w:rPr>
          <w:sz w:val="20"/>
          <w:szCs w:val="20"/>
          <w:color w:val="auto"/>
        </w:rPr>
      </w:pPr>
    </w:p>
    <w:p>
      <w:pPr>
        <w:ind w:right="200" w:firstLine="221"/>
        <w:spacing w:after="0" w:line="277" w:lineRule="auto"/>
        <w:rPr>
          <w:sz w:val="20"/>
          <w:szCs w:val="20"/>
          <w:color w:val="auto"/>
        </w:rPr>
      </w:pPr>
      <w:r>
        <w:rPr>
          <w:rFonts w:ascii="Arial" w:cs="Arial" w:eastAsia="Arial" w:hAnsi="Arial"/>
          <w:sz w:val="17"/>
          <w:szCs w:val="17"/>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66" w:lineRule="exact"/>
        <w:rPr>
          <w:sz w:val="20"/>
          <w:szCs w:val="20"/>
          <w:color w:val="auto"/>
        </w:rPr>
      </w:pPr>
    </w:p>
    <w:p>
      <w:pPr>
        <w:ind w:right="60" w:firstLine="218"/>
        <w:spacing w:after="0" w:line="271" w:lineRule="auto"/>
        <w:rPr>
          <w:sz w:val="20"/>
          <w:szCs w:val="20"/>
          <w:color w:val="auto"/>
        </w:rPr>
      </w:pPr>
      <w:r>
        <w:rPr>
          <w:rFonts w:ascii="Arial" w:cs="Arial" w:eastAsia="Arial" w:hAnsi="Arial"/>
          <w:sz w:val="17"/>
          <w:szCs w:val="17"/>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Anything in this section to the contrary notwithstanding, the Issuer may at any time, for the purpose of obtaining a satisfaction and discharge with respect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56" w:name="page157"/>
    <w:bookmarkEnd w:id="156"/>
    <w:p>
      <w:pPr>
        <w:ind w:right="240"/>
        <w:spacing w:after="0" w:line="366" w:lineRule="auto"/>
        <w:rPr>
          <w:sz w:val="20"/>
          <w:szCs w:val="20"/>
          <w:color w:val="auto"/>
        </w:rPr>
      </w:pPr>
      <w:r>
        <w:rPr>
          <w:rFonts w:ascii="Arial" w:cs="Arial" w:eastAsia="Arial" w:hAnsi="Arial"/>
          <w:sz w:val="15"/>
          <w:szCs w:val="15"/>
          <w:color w:val="auto"/>
        </w:rPr>
        <w:t>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4" w:lineRule="exact"/>
        <w:rPr>
          <w:sz w:val="20"/>
          <w:szCs w:val="20"/>
          <w:color w:val="auto"/>
        </w:rPr>
      </w:pPr>
    </w:p>
    <w:p>
      <w:pPr>
        <w:ind w:right="660" w:firstLine="211"/>
        <w:spacing w:after="0" w:line="265"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9.05.</w:t>
      </w:r>
    </w:p>
    <w:p>
      <w:pPr>
        <w:spacing w:after="0" w:line="73" w:lineRule="exact"/>
        <w:rPr>
          <w:sz w:val="20"/>
          <w:szCs w:val="20"/>
          <w:color w:val="auto"/>
        </w:rPr>
      </w:pPr>
    </w:p>
    <w:p>
      <w:pPr>
        <w:ind w:right="20" w:firstLine="221"/>
        <w:spacing w:after="0" w:line="27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Certificate of the Issuer</w:t>
      </w:r>
      <w:r>
        <w:rPr>
          <w:rFonts w:ascii="Arial" w:cs="Arial" w:eastAsia="Arial" w:hAnsi="Arial"/>
          <w:sz w:val="17"/>
          <w:szCs w:val="17"/>
          <w:color w:val="auto"/>
        </w:rPr>
        <w:t>. Within 120 days after the close of the fiscal year ended December 31, 2002,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72" w:lineRule="exact"/>
        <w:rPr>
          <w:sz w:val="20"/>
          <w:szCs w:val="20"/>
          <w:color w:val="auto"/>
        </w:rPr>
      </w:pPr>
    </w:p>
    <w:p>
      <w:pPr>
        <w:ind w:firstLine="211"/>
        <w:spacing w:after="0" w:line="266" w:lineRule="auto"/>
        <w:rPr>
          <w:sz w:val="20"/>
          <w:szCs w:val="20"/>
          <w:color w:val="auto"/>
        </w:rPr>
      </w:pPr>
      <w:r>
        <w:rPr>
          <w:rFonts w:ascii="Arial" w:cs="Arial" w:eastAsia="Arial" w:hAnsi="Arial"/>
          <w:sz w:val="17"/>
          <w:szCs w:val="17"/>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75"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Securityholders Lists.</w:t>
      </w:r>
      <w:r>
        <w:rPr>
          <w:rFonts w:ascii="Arial" w:cs="Arial" w:eastAsia="Arial" w:hAnsi="Arial"/>
          <w:sz w:val="17"/>
          <w:szCs w:val="17"/>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57" w:name="page158"/>
    <w:bookmarkEnd w:id="157"/>
    <w:p>
      <w:pPr>
        <w:ind w:left="22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w:t>
      </w:r>
    </w:p>
    <w:p>
      <w:pPr>
        <w:spacing w:after="0" w:line="111" w:lineRule="exact"/>
        <w:rPr>
          <w:sz w:val="20"/>
          <w:szCs w:val="20"/>
          <w:color w:val="auto"/>
        </w:rPr>
      </w:pPr>
    </w:p>
    <w:p>
      <w:pPr>
        <w:ind w:right="80" w:firstLine="227"/>
        <w:spacing w:after="0" w:line="266" w:lineRule="auto"/>
        <w:tabs>
          <w:tab w:leader="none" w:pos="46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file, whether or not required to do so by applicable law,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74" w:lineRule="exact"/>
        <w:rPr>
          <w:rFonts w:ascii="Arial" w:cs="Arial" w:eastAsia="Arial" w:hAnsi="Arial"/>
          <w:sz w:val="17"/>
          <w:szCs w:val="17"/>
          <w:color w:val="auto"/>
        </w:rPr>
      </w:pPr>
    </w:p>
    <w:p>
      <w:pPr>
        <w:ind w:left="480" w:hanging="253"/>
        <w:spacing w:after="0"/>
        <w:tabs>
          <w:tab w:leader="none" w:pos="4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file with the Trustee and the Commission, in accordance with the rules and regulations prescribed from time to time by the Securities and Exchange</w:t>
      </w:r>
    </w:p>
    <w:p>
      <w:pPr>
        <w:spacing w:after="0" w:line="50" w:lineRule="exact"/>
        <w:rPr>
          <w:rFonts w:ascii="Arial" w:cs="Arial" w:eastAsia="Arial" w:hAnsi="Arial"/>
          <w:sz w:val="15"/>
          <w:szCs w:val="15"/>
          <w:color w:val="auto"/>
        </w:rPr>
      </w:pPr>
    </w:p>
    <w:p>
      <w:pPr>
        <w:ind w:right="20"/>
        <w:spacing w:after="0" w:line="251" w:lineRule="auto"/>
        <w:rPr>
          <w:rFonts w:ascii="Arial" w:cs="Arial" w:eastAsia="Arial" w:hAnsi="Arial"/>
          <w:sz w:val="15"/>
          <w:szCs w:val="15"/>
          <w:color w:val="auto"/>
        </w:rPr>
      </w:pPr>
      <w:r>
        <w:rPr>
          <w:rFonts w:ascii="Arial" w:cs="Arial" w:eastAsia="Arial" w:hAnsi="Arial"/>
          <w:sz w:val="18"/>
          <w:szCs w:val="18"/>
          <w:color w:val="auto"/>
        </w:rPr>
        <w:t>Commission, such additional information, documents and reports with respect to compliance by the Issuer with the conditions and covenants provided for in this Indenture as may be required by such rules and regulations;</w:t>
      </w:r>
    </w:p>
    <w:p>
      <w:pPr>
        <w:spacing w:after="0" w:line="86" w:lineRule="exact"/>
        <w:rPr>
          <w:rFonts w:ascii="Arial" w:cs="Arial" w:eastAsia="Arial" w:hAnsi="Arial"/>
          <w:sz w:val="15"/>
          <w:szCs w:val="15"/>
          <w:color w:val="auto"/>
        </w:rPr>
      </w:pPr>
    </w:p>
    <w:p>
      <w:pPr>
        <w:ind w:right="80" w:firstLine="227"/>
        <w:spacing w:after="0" w:line="255" w:lineRule="auto"/>
        <w:tabs>
          <w:tab w:leader="none" w:pos="46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83" w:lineRule="exact"/>
        <w:rPr>
          <w:sz w:val="20"/>
          <w:szCs w:val="20"/>
          <w:color w:val="auto"/>
        </w:rPr>
      </w:pPr>
    </w:p>
    <w:p>
      <w:pPr>
        <w:jc w:val="both"/>
        <w:ind w:right="200" w:firstLine="221"/>
        <w:spacing w:after="0" w:line="255"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83" w:lineRule="exact"/>
        <w:rPr>
          <w:sz w:val="20"/>
          <w:szCs w:val="20"/>
          <w:color w:val="auto"/>
        </w:rPr>
      </w:pPr>
    </w:p>
    <w:p>
      <w:pPr>
        <w:ind w:right="380" w:firstLine="221"/>
        <w:spacing w:after="0" w:line="366"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i w:val="1"/>
          <w:iCs w:val="1"/>
          <w:color w:val="auto"/>
        </w:rPr>
        <w:t>Corporate Existence</w:t>
      </w:r>
      <w:r>
        <w:rPr>
          <w:rFonts w:ascii="Arial" w:cs="Arial" w:eastAsia="Arial" w:hAnsi="Arial"/>
          <w:sz w:val="15"/>
          <w:szCs w:val="15"/>
          <w:color w:val="auto"/>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4" w:lineRule="exact"/>
        <w:rPr>
          <w:sz w:val="20"/>
          <w:szCs w:val="20"/>
          <w:color w:val="auto"/>
        </w:rPr>
      </w:pPr>
    </w:p>
    <w:p>
      <w:pPr>
        <w:ind w:firstLine="221"/>
        <w:spacing w:after="0" w:line="294"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i w:val="1"/>
          <w:iCs w:val="1"/>
          <w:color w:val="auto"/>
        </w:rPr>
        <w:t>Restrictions on Mergers, Sales and Consolidations</w:t>
      </w:r>
      <w:r>
        <w:rPr>
          <w:rFonts w:ascii="Arial" w:cs="Arial" w:eastAsia="Arial" w:hAnsi="Arial"/>
          <w:sz w:val="17"/>
          <w:szCs w:val="17"/>
          <w:color w:val="auto"/>
        </w:rPr>
        <w:t>. So long as any of the Securities remain unpaid, the Issuer will not consolidate or merge with or sell, convey or lease all or substantially all of its property to any other corporation except as permitted in Article 8 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58" w:name="page159"/>
    <w:bookmarkEnd w:id="158"/>
    <w:p>
      <w:pPr>
        <w:ind w:right="140" w:firstLine="221"/>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Further Assurances</w:t>
      </w:r>
      <w:r>
        <w:rPr>
          <w:rFonts w:ascii="Arial" w:cs="Arial" w:eastAsia="Arial" w:hAnsi="Arial"/>
          <w:sz w:val="18"/>
          <w:szCs w:val="18"/>
          <w:color w:val="auto"/>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83"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i w:val="1"/>
          <w:iCs w:val="1"/>
          <w:color w:val="auto"/>
        </w:rPr>
        <w:t>Limitation on Liens</w:t>
      </w:r>
      <w:r>
        <w:rPr>
          <w:rFonts w:ascii="Arial" w:cs="Arial" w:eastAsia="Arial" w:hAnsi="Arial"/>
          <w:sz w:val="15"/>
          <w:szCs w:val="15"/>
          <w:color w:val="auto"/>
        </w:rPr>
        <w:t xml:space="preserve">. Neither the Issuer nor any Cable Guarantor shall create, incur or assume any Lien (other than any Permitted Lien) on such Person’s assets, including the Capital Stock of its Wholly Owned Subsidiaries, to secure the payment of Indebtedness of the Issuer or any Cable Guarantor that are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or subordinated in right of payment to the Securities or the Cable Guarantees, unless the Issuer secures the Outstanding Securities equally and ratably with (or prior to) all Indebtedness secured by such Lien, so long as such Indebtedness shall be so secured.</w:t>
      </w:r>
    </w:p>
    <w:p>
      <w:pPr>
        <w:spacing w:after="0" w:line="40"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the Issuer nor any Cable Guarantor shall enter into any Sale and Leaseback Transaction involving any of such Person’s assets, including the Capital Stock of its Wholly Owned Subsidiaries.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EMEDIES OF THE</w:t>
      </w:r>
      <w:r>
        <w:rPr>
          <w:rFonts w:ascii="Arial" w:cs="Arial" w:eastAsia="Arial" w:hAnsi="Arial"/>
          <w:sz w:val="18"/>
          <w:szCs w:val="18"/>
          <w:color w:val="auto"/>
        </w:rPr>
        <w:t xml:space="preserve"> T</w:t>
      </w:r>
      <w:r>
        <w:rPr>
          <w:rFonts w:ascii="Arial" w:cs="Arial" w:eastAsia="Arial" w:hAnsi="Arial"/>
          <w:sz w:val="11"/>
          <w:szCs w:val="11"/>
          <w:color w:val="auto"/>
        </w:rPr>
        <w:t>RUSTEE AND</w:t>
      </w:r>
      <w:r>
        <w:rPr>
          <w:rFonts w:ascii="Arial" w:cs="Arial" w:eastAsia="Arial" w:hAnsi="Arial"/>
          <w:sz w:val="18"/>
          <w:szCs w:val="18"/>
          <w:color w:val="auto"/>
        </w:rPr>
        <w:t xml:space="preserve"> S</w:t>
      </w:r>
      <w:r>
        <w:rPr>
          <w:rFonts w:ascii="Arial" w:cs="Arial" w:eastAsia="Arial" w:hAnsi="Arial"/>
          <w:sz w:val="11"/>
          <w:szCs w:val="11"/>
          <w:color w:val="auto"/>
        </w:rPr>
        <w:t>ECURITYHOLDERS ON</w:t>
      </w:r>
      <w:r>
        <w:rPr>
          <w:rFonts w:ascii="Arial" w:cs="Arial" w:eastAsia="Arial" w:hAnsi="Arial"/>
          <w:sz w:val="18"/>
          <w:szCs w:val="18"/>
          <w:color w:val="auto"/>
        </w:rPr>
        <w:t xml:space="preserve"> E</w:t>
      </w:r>
      <w:r>
        <w:rPr>
          <w:rFonts w:ascii="Arial" w:cs="Arial" w:eastAsia="Arial" w:hAnsi="Arial"/>
          <w:sz w:val="11"/>
          <w:szCs w:val="11"/>
          <w:color w:val="auto"/>
        </w:rPr>
        <w:t>VENT OF</w:t>
      </w:r>
      <w:r>
        <w:rPr>
          <w:rFonts w:ascii="Arial" w:cs="Arial" w:eastAsia="Arial" w:hAnsi="Arial"/>
          <w:sz w:val="18"/>
          <w:szCs w:val="18"/>
          <w:color w:val="auto"/>
        </w:rPr>
        <w:t xml:space="preserve"> D</w:t>
      </w:r>
      <w:r>
        <w:rPr>
          <w:rFonts w:ascii="Arial" w:cs="Arial" w:eastAsia="Arial" w:hAnsi="Arial"/>
          <w:sz w:val="11"/>
          <w:szCs w:val="11"/>
          <w:color w:val="auto"/>
        </w:rPr>
        <w:t>EFAULT</w:t>
      </w:r>
    </w:p>
    <w:p>
      <w:pPr>
        <w:spacing w:after="0" w:line="94" w:lineRule="exact"/>
        <w:rPr>
          <w:sz w:val="20"/>
          <w:szCs w:val="20"/>
          <w:color w:val="auto"/>
        </w:rPr>
      </w:pPr>
    </w:p>
    <w:p>
      <w:pPr>
        <w:ind w:right="80" w:firstLine="221"/>
        <w:spacing w:after="0" w:line="25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84" w:lineRule="exact"/>
        <w:rPr>
          <w:sz w:val="20"/>
          <w:szCs w:val="20"/>
          <w:color w:val="auto"/>
        </w:rPr>
      </w:pPr>
    </w:p>
    <w:p>
      <w:pPr>
        <w:ind w:left="340" w:right="60" w:firstLine="229"/>
        <w:spacing w:after="0" w:line="265" w:lineRule="auto"/>
        <w:tabs>
          <w:tab w:leader="none" w:pos="8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73" w:lineRule="exact"/>
        <w:rPr>
          <w:rFonts w:ascii="Arial" w:cs="Arial" w:eastAsia="Arial" w:hAnsi="Arial"/>
          <w:sz w:val="18"/>
          <w:szCs w:val="18"/>
          <w:color w:val="auto"/>
        </w:rPr>
      </w:pPr>
    </w:p>
    <w:p>
      <w:pPr>
        <w:ind w:left="340" w:right="40" w:firstLine="229"/>
        <w:spacing w:after="0" w:line="265" w:lineRule="auto"/>
        <w:tabs>
          <w:tab w:leader="none" w:pos="8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73" w:lineRule="exact"/>
        <w:rPr>
          <w:rFonts w:ascii="Arial" w:cs="Arial" w:eastAsia="Arial" w:hAnsi="Arial"/>
          <w:sz w:val="18"/>
          <w:szCs w:val="18"/>
          <w:color w:val="auto"/>
        </w:rPr>
      </w:pPr>
    </w:p>
    <w:p>
      <w:pPr>
        <w:ind w:left="340" w:right="180" w:firstLine="229"/>
        <w:spacing w:after="0" w:line="265" w:lineRule="auto"/>
        <w:tabs>
          <w:tab w:leader="none" w:pos="8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by an Obligor in the performance, or breach by any Obligor, of any of its covenants or agreements in respect of the Securities of such series (other than a covenant or agreement in respect of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59" w:name="page160"/>
    <w:bookmarkEnd w:id="159"/>
    <w:p>
      <w:pPr>
        <w:ind w:left="340" w:right="200"/>
        <w:spacing w:after="0" w:line="318" w:lineRule="auto"/>
        <w:rPr>
          <w:sz w:val="20"/>
          <w:szCs w:val="20"/>
          <w:color w:val="auto"/>
        </w:rPr>
      </w:pPr>
      <w:r>
        <w:rPr>
          <w:rFonts w:ascii="Arial" w:cs="Arial" w:eastAsia="Arial" w:hAnsi="Arial"/>
          <w:sz w:val="15"/>
          <w:szCs w:val="15"/>
          <w:color w:val="auto"/>
        </w:rPr>
        <w:t>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5"/>
          <w:szCs w:val="15"/>
          <w:b w:val="1"/>
          <w:bCs w:val="1"/>
          <w:color w:val="auto"/>
        </w:rPr>
        <w:t>Notice of Default</w:t>
      </w:r>
      <w:r>
        <w:rPr>
          <w:rFonts w:ascii="Arial" w:cs="Arial" w:eastAsia="Arial" w:hAnsi="Arial"/>
          <w:sz w:val="15"/>
          <w:szCs w:val="15"/>
          <w:color w:val="auto"/>
        </w:rPr>
        <w:t>” hereunder; or</w:t>
      </w:r>
    </w:p>
    <w:p>
      <w:pPr>
        <w:spacing w:after="0" w:line="40" w:lineRule="exact"/>
        <w:rPr>
          <w:sz w:val="20"/>
          <w:szCs w:val="20"/>
          <w:color w:val="auto"/>
        </w:rPr>
      </w:pPr>
    </w:p>
    <w:p>
      <w:pPr>
        <w:ind w:left="340" w:right="20" w:firstLine="229"/>
        <w:spacing w:after="0" w:line="271" w:lineRule="auto"/>
        <w:tabs>
          <w:tab w:leader="none" w:pos="81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71" w:lineRule="exact"/>
        <w:rPr>
          <w:rFonts w:ascii="Arial" w:cs="Arial" w:eastAsia="Arial" w:hAnsi="Arial"/>
          <w:sz w:val="17"/>
          <w:szCs w:val="17"/>
          <w:color w:val="auto"/>
        </w:rPr>
      </w:pPr>
    </w:p>
    <w:p>
      <w:pPr>
        <w:ind w:left="340" w:right="100" w:firstLine="229"/>
        <w:spacing w:after="0" w:line="252" w:lineRule="auto"/>
        <w:tabs>
          <w:tab w:leader="none" w:pos="8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85" w:lineRule="exact"/>
        <w:rPr>
          <w:rFonts w:ascii="Arial" w:cs="Arial" w:eastAsia="Arial" w:hAnsi="Arial"/>
          <w:sz w:val="18"/>
          <w:szCs w:val="18"/>
          <w:color w:val="auto"/>
        </w:rPr>
      </w:pPr>
    </w:p>
    <w:p>
      <w:pPr>
        <w:ind w:left="800" w:hanging="231"/>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Cable Guarantee shall not be (or claimed by any Cable Guarantor not to be) in full force and effect; or</w:t>
      </w:r>
    </w:p>
    <w:p>
      <w:pPr>
        <w:spacing w:after="0" w:line="111" w:lineRule="exact"/>
        <w:rPr>
          <w:rFonts w:ascii="Arial" w:cs="Arial" w:eastAsia="Arial" w:hAnsi="Arial"/>
          <w:sz w:val="18"/>
          <w:szCs w:val="18"/>
          <w:color w:val="auto"/>
        </w:rPr>
      </w:pPr>
    </w:p>
    <w:p>
      <w:pPr>
        <w:ind w:left="340" w:right="300" w:firstLine="229"/>
        <w:spacing w:after="0" w:line="265" w:lineRule="auto"/>
        <w:tabs>
          <w:tab w:leader="none" w:pos="8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under which such series of Securities is issued or in the form of Security for such series.</w:t>
      </w:r>
    </w:p>
    <w:p>
      <w:pPr>
        <w:spacing w:after="0" w:line="73"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If an Event of Default described in clauses 4.01(a), 4.01(b), 4.01(c), 4.01(f), or 4.01(g)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0" w:name="page161"/>
    <w:bookmarkEnd w:id="160"/>
    <w:p>
      <w:pPr>
        <w:jc w:val="both"/>
        <w:ind w:right="120"/>
        <w:spacing w:after="0" w:line="255" w:lineRule="auto"/>
        <w:rPr>
          <w:sz w:val="20"/>
          <w:szCs w:val="20"/>
          <w:color w:val="auto"/>
        </w:rPr>
      </w:pPr>
      <w:r>
        <w:rPr>
          <w:rFonts w:ascii="Arial" w:cs="Arial" w:eastAsia="Arial" w:hAnsi="Arial"/>
          <w:sz w:val="18"/>
          <w:szCs w:val="18"/>
          <w:color w:val="auto"/>
        </w:rPr>
        <w:t>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83" w:lineRule="exact"/>
        <w:rPr>
          <w:sz w:val="20"/>
          <w:szCs w:val="20"/>
          <w:color w:val="auto"/>
        </w:rPr>
      </w:pPr>
    </w:p>
    <w:p>
      <w:pPr>
        <w:ind w:firstLine="218"/>
        <w:spacing w:after="0" w:line="300" w:lineRule="auto"/>
        <w:rPr>
          <w:sz w:val="20"/>
          <w:szCs w:val="20"/>
          <w:color w:val="auto"/>
        </w:rPr>
      </w:pPr>
      <w:r>
        <w:rPr>
          <w:rFonts w:ascii="Arial" w:cs="Arial" w:eastAsia="Arial" w:hAnsi="Arial"/>
          <w:sz w:val="15"/>
          <w:szCs w:val="15"/>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hereinCthen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70"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1" w:name="page162"/>
    <w:bookmarkEnd w:id="161"/>
    <w:p>
      <w:pPr>
        <w:ind w:right="100"/>
        <w:spacing w:after="0" w:line="265" w:lineRule="auto"/>
        <w:rPr>
          <w:sz w:val="20"/>
          <w:szCs w:val="20"/>
          <w:color w:val="auto"/>
        </w:rPr>
      </w:pPr>
      <w:r>
        <w:rPr>
          <w:rFonts w:ascii="Arial" w:cs="Arial" w:eastAsia="Arial" w:hAnsi="Arial"/>
          <w:sz w:val="18"/>
          <w:szCs w:val="18"/>
          <w:color w:val="auto"/>
        </w:rPr>
        <w:t>principal thereof as shall be due and payable as a result of such acceleration, together with interest, if any, thereon and all other amounts owing thereunder, shall constitute payment in full of such Original Issue Discount Securities.</w:t>
      </w:r>
    </w:p>
    <w:p>
      <w:pPr>
        <w:spacing w:after="0" w:line="73"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Collection of Indebtedness by Trustee; Trustee May Prove Debt.</w:t>
      </w:r>
      <w:r>
        <w:rPr>
          <w:rFonts w:ascii="Arial" w:cs="Arial" w:eastAsia="Arial" w:hAnsi="Arial"/>
          <w:sz w:val="17"/>
          <w:szCs w:val="17"/>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otherwiseCthen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83"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73" w:lineRule="exact"/>
        <w:rPr>
          <w:sz w:val="20"/>
          <w:szCs w:val="20"/>
          <w:color w:val="auto"/>
        </w:rPr>
      </w:pPr>
    </w:p>
    <w:p>
      <w:pPr>
        <w:jc w:val="both"/>
        <w:ind w:right="120" w:firstLine="221"/>
        <w:spacing w:after="0" w:line="250"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89" w:lineRule="exact"/>
        <w:rPr>
          <w:sz w:val="20"/>
          <w:szCs w:val="20"/>
          <w:color w:val="auto"/>
        </w:rPr>
      </w:pPr>
    </w:p>
    <w:p>
      <w:pPr>
        <w:ind w:right="80" w:firstLine="221"/>
        <w:spacing w:after="0" w:line="366" w:lineRule="auto"/>
        <w:rPr>
          <w:sz w:val="20"/>
          <w:szCs w:val="20"/>
          <w:color w:val="auto"/>
        </w:rPr>
      </w:pPr>
      <w:r>
        <w:rPr>
          <w:rFonts w:ascii="Arial" w:cs="Arial" w:eastAsia="Arial" w:hAnsi="Arial"/>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2" w:name="page163"/>
    <w:bookmarkEnd w:id="162"/>
    <w:p>
      <w:pPr>
        <w:ind w:right="40"/>
        <w:spacing w:after="0" w:line="250" w:lineRule="auto"/>
        <w:rPr>
          <w:sz w:val="20"/>
          <w:szCs w:val="20"/>
          <w:color w:val="auto"/>
        </w:rPr>
      </w:pPr>
      <w:r>
        <w:rPr>
          <w:rFonts w:ascii="Arial" w:cs="Arial" w:eastAsia="Arial" w:hAnsi="Arial"/>
          <w:sz w:val="18"/>
          <w:szCs w:val="18"/>
          <w:color w:val="auto"/>
        </w:rPr>
        <w:t>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89" w:lineRule="exact"/>
        <w:rPr>
          <w:sz w:val="20"/>
          <w:szCs w:val="20"/>
          <w:color w:val="auto"/>
        </w:rPr>
      </w:pPr>
    </w:p>
    <w:p>
      <w:pPr>
        <w:ind w:left="240" w:right="140" w:firstLine="215"/>
        <w:spacing w:after="0" w:line="249" w:lineRule="auto"/>
        <w:tabs>
          <w:tab w:leader="none" w:pos="7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87" w:lineRule="exact"/>
        <w:rPr>
          <w:rFonts w:ascii="Arial" w:cs="Arial" w:eastAsia="Arial" w:hAnsi="Arial"/>
          <w:sz w:val="18"/>
          <w:szCs w:val="18"/>
          <w:color w:val="auto"/>
        </w:rPr>
      </w:pPr>
    </w:p>
    <w:p>
      <w:pPr>
        <w:ind w:left="240" w:right="380" w:firstLine="215"/>
        <w:spacing w:after="0" w:line="255"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82" w:lineRule="exact"/>
        <w:rPr>
          <w:rFonts w:ascii="Arial" w:cs="Arial" w:eastAsia="Arial" w:hAnsi="Arial"/>
          <w:sz w:val="18"/>
          <w:szCs w:val="18"/>
          <w:color w:val="auto"/>
        </w:rPr>
      </w:pPr>
    </w:p>
    <w:p>
      <w:pPr>
        <w:ind w:left="240" w:firstLine="215"/>
        <w:spacing w:after="0" w:line="309" w:lineRule="auto"/>
        <w:tabs>
          <w:tab w:leader="none" w:pos="701"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63" w:name="page164"/>
    <w:bookmarkEnd w:id="163"/>
    <w:p>
      <w:pPr>
        <w:ind w:right="160" w:firstLine="221"/>
        <w:spacing w:after="0" w:line="252"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85" w:lineRule="exact"/>
        <w:rPr>
          <w:sz w:val="20"/>
          <w:szCs w:val="20"/>
          <w:color w:val="auto"/>
        </w:rPr>
      </w:pPr>
    </w:p>
    <w:p>
      <w:pPr>
        <w:jc w:val="both"/>
        <w:ind w:right="20" w:firstLine="211"/>
        <w:spacing w:after="0" w:line="250"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89"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83"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i w:val="1"/>
          <w:iCs w:val="1"/>
          <w:color w:val="auto"/>
        </w:rPr>
        <w:t>Application of Proceeds.</w:t>
      </w:r>
      <w:r>
        <w:rPr>
          <w:rFonts w:ascii="Arial" w:cs="Arial" w:eastAsia="Arial" w:hAnsi="Arial"/>
          <w:sz w:val="15"/>
          <w:szCs w:val="15"/>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40" w:lineRule="exact"/>
        <w:rPr>
          <w:sz w:val="20"/>
          <w:szCs w:val="20"/>
          <w:color w:val="auto"/>
        </w:rPr>
      </w:pPr>
    </w:p>
    <w:p>
      <w:pPr>
        <w:ind w:left="240" w:firstLine="221"/>
        <w:spacing w:after="0" w:line="252" w:lineRule="auto"/>
        <w:rPr>
          <w:sz w:val="20"/>
          <w:szCs w:val="20"/>
          <w:color w:val="auto"/>
        </w:rPr>
      </w:pPr>
      <w:r>
        <w:rPr>
          <w:rFonts w:ascii="Arial" w:cs="Arial" w:eastAsia="Arial" w:hAnsi="Arial"/>
          <w:sz w:val="18"/>
          <w:szCs w:val="18"/>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85" w:lineRule="exact"/>
        <w:rPr>
          <w:sz w:val="20"/>
          <w:szCs w:val="20"/>
          <w:color w:val="auto"/>
        </w:rPr>
      </w:pPr>
    </w:p>
    <w:p>
      <w:pPr>
        <w:ind w:left="240" w:right="40" w:firstLine="221"/>
        <w:spacing w:after="0" w:line="294"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4" w:name="page165"/>
    <w:bookmarkEnd w:id="164"/>
    <w:p>
      <w:pPr>
        <w:ind w:left="240" w:right="100"/>
        <w:spacing w:after="0" w:line="255" w:lineRule="auto"/>
        <w:rPr>
          <w:sz w:val="20"/>
          <w:szCs w:val="20"/>
          <w:color w:val="auto"/>
        </w:rPr>
      </w:pPr>
      <w:r>
        <w:rPr>
          <w:rFonts w:ascii="Arial" w:cs="Arial" w:eastAsia="Arial" w:hAnsi="Arial"/>
          <w:sz w:val="18"/>
          <w:szCs w:val="18"/>
          <w:color w:val="auto"/>
        </w:rPr>
        <w:t>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83" w:lineRule="exact"/>
        <w:rPr>
          <w:sz w:val="20"/>
          <w:szCs w:val="20"/>
          <w:color w:val="auto"/>
        </w:rPr>
      </w:pPr>
    </w:p>
    <w:p>
      <w:pPr>
        <w:ind w:left="240" w:firstLine="218"/>
        <w:spacing w:after="0" w:line="265"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11" w:lineRule="exact"/>
        <w:rPr>
          <w:sz w:val="20"/>
          <w:szCs w:val="20"/>
          <w:color w:val="auto"/>
        </w:rPr>
      </w:pPr>
    </w:p>
    <w:p>
      <w:pPr>
        <w:jc w:val="both"/>
        <w:ind w:firstLine="221"/>
        <w:spacing w:after="0" w:line="252"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Suits for Enforcement.</w:t>
      </w:r>
      <w:r>
        <w:rPr>
          <w:rFonts w:ascii="Arial" w:cs="Arial" w:eastAsia="Arial" w:hAnsi="Arial"/>
          <w:sz w:val="18"/>
          <w:szCs w:val="18"/>
          <w:color w:val="auto"/>
        </w:rPr>
        <w:t xml:space="preserve">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85"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 xml:space="preserve">Section 4.05. </w:t>
      </w:r>
      <w:r>
        <w:rPr>
          <w:rFonts w:ascii="Arial" w:cs="Arial" w:eastAsia="Arial" w:hAnsi="Arial"/>
          <w:sz w:val="15"/>
          <w:szCs w:val="15"/>
          <w:i w:val="1"/>
          <w:iCs w:val="1"/>
          <w:color w:val="auto"/>
        </w:rPr>
        <w:t>Restoration of Rights on Abandonment of Proceedings.</w:t>
      </w:r>
      <w:r>
        <w:rPr>
          <w:rFonts w:ascii="Arial" w:cs="Arial" w:eastAsia="Arial" w:hAnsi="Arial"/>
          <w:sz w:val="15"/>
          <w:szCs w:val="15"/>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65" w:name="page166"/>
    <w:bookmarkEnd w:id="165"/>
    <w:p>
      <w:pPr>
        <w:ind w:firstLine="221"/>
        <w:spacing w:after="0" w:line="301"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Limitations on Suits by Securityholder.</w:t>
      </w:r>
      <w:r>
        <w:rPr>
          <w:rFonts w:ascii="Arial" w:cs="Arial" w:eastAsia="Arial" w:hAnsi="Arial"/>
          <w:sz w:val="15"/>
          <w:szCs w:val="15"/>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264" w:lineRule="exact"/>
        <w:rPr>
          <w:sz w:val="20"/>
          <w:szCs w:val="20"/>
          <w:color w:val="auto"/>
        </w:rPr>
      </w:pPr>
    </w:p>
    <w:p>
      <w:pPr>
        <w:ind w:right="240" w:firstLine="221"/>
        <w:spacing w:after="0" w:line="252"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85" w:lineRule="exact"/>
        <w:rPr>
          <w:sz w:val="20"/>
          <w:szCs w:val="20"/>
          <w:color w:val="auto"/>
        </w:rPr>
      </w:pPr>
    </w:p>
    <w:p>
      <w:pPr>
        <w:ind w:right="80" w:firstLine="221"/>
        <w:spacing w:after="0" w:line="250"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66" w:name="page167"/>
    <w:bookmarkEnd w:id="166"/>
    <w:p>
      <w:pPr>
        <w:ind w:firstLine="221"/>
        <w:spacing w:after="0" w:line="252" w:lineRule="auto"/>
        <w:rPr>
          <w:sz w:val="20"/>
          <w:szCs w:val="20"/>
          <w:color w:val="auto"/>
        </w:rPr>
      </w:pPr>
      <w:r>
        <w:rPr>
          <w:rFonts w:ascii="Arial" w:cs="Arial" w:eastAsia="Arial" w:hAnsi="Arial"/>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85" w:lineRule="exact"/>
        <w:rPr>
          <w:sz w:val="20"/>
          <w:szCs w:val="20"/>
          <w:color w:val="auto"/>
        </w:rPr>
      </w:pPr>
    </w:p>
    <w:p>
      <w:pPr>
        <w:ind w:right="60" w:firstLine="221"/>
        <w:spacing w:after="0" w:line="305" w:lineRule="auto"/>
        <w:rPr>
          <w:sz w:val="20"/>
          <w:szCs w:val="20"/>
          <w:color w:val="auto"/>
        </w:rPr>
      </w:pPr>
      <w:r>
        <w:rPr>
          <w:rFonts w:ascii="Arial" w:cs="Arial" w:eastAsia="Arial" w:hAnsi="Arial"/>
          <w:sz w:val="15"/>
          <w:szCs w:val="15"/>
          <w:color w:val="auto"/>
        </w:rPr>
        <w:t xml:space="preserve">Section 4.09. </w:t>
      </w:r>
      <w:r>
        <w:rPr>
          <w:rFonts w:ascii="Arial" w:cs="Arial" w:eastAsia="Arial" w:hAnsi="Arial"/>
          <w:sz w:val="15"/>
          <w:szCs w:val="15"/>
          <w:i w:val="1"/>
          <w:iCs w:val="1"/>
          <w:color w:val="auto"/>
        </w:rPr>
        <w:t>Control by Securityholders</w:t>
      </w:r>
      <w:r>
        <w:rPr>
          <w:rFonts w:ascii="Arial" w:cs="Arial" w:eastAsia="Arial" w:hAnsi="Arial"/>
          <w:sz w:val="15"/>
          <w:szCs w:val="15"/>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direction shall not be otherwise than in accordance with law and the provisions of this Indenture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Nothing in this Indenture shall impair the right of the Trustee to take any action which is not inconsistent with such direction or directions by Securityholders.</w:t>
      </w:r>
    </w:p>
    <w:p>
      <w:pPr>
        <w:spacing w:after="0" w:line="146"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i w:val="1"/>
          <w:iCs w:val="1"/>
          <w:color w:val="auto"/>
        </w:rPr>
        <w:t>Waiver of Past Defaults</w:t>
      </w:r>
      <w:r>
        <w:rPr>
          <w:rFonts w:ascii="Arial" w:cs="Arial" w:eastAsia="Arial" w:hAnsi="Arial"/>
          <w:sz w:val="17"/>
          <w:szCs w:val="17"/>
          <w:color w:val="auto"/>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 In the case of any such waiver, the Issuer, the Trustee and the Holders of the Securities of each series affected shall be restored to their former positions and rights hereunder, respectively.</w:t>
      </w:r>
    </w:p>
    <w:p>
      <w:pPr>
        <w:spacing w:after="0" w:line="74"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Upon any such waiver, such default shall cease to exist and be deemed to have been cured and not to have occurred, and any Event of Default arising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7" w:name="page168"/>
    <w:bookmarkEnd w:id="167"/>
    <w:p>
      <w:pPr>
        <w:ind w:right="160"/>
        <w:spacing w:after="0" w:line="265" w:lineRule="auto"/>
        <w:rPr>
          <w:sz w:val="20"/>
          <w:szCs w:val="20"/>
          <w:color w:val="auto"/>
        </w:rPr>
      </w:pPr>
      <w:r>
        <w:rPr>
          <w:rFonts w:ascii="Arial" w:cs="Arial" w:eastAsia="Arial" w:hAnsi="Arial"/>
          <w:sz w:val="18"/>
          <w:szCs w:val="18"/>
          <w:color w:val="auto"/>
        </w:rPr>
        <w:t>therefrom shall be deemed to have been cured, and not to have occurred for every purpose of this Indenture; but no such waiver shall extend to any subsequent or other default or Event of Default or impair any right consequent thereon.</w:t>
      </w:r>
    </w:p>
    <w:p>
      <w:pPr>
        <w:spacing w:after="0" w:line="73" w:lineRule="exact"/>
        <w:rPr>
          <w:sz w:val="20"/>
          <w:szCs w:val="20"/>
          <w:color w:val="auto"/>
        </w:rPr>
      </w:pPr>
    </w:p>
    <w:p>
      <w:pPr>
        <w:ind w:right="100" w:firstLine="221"/>
        <w:spacing w:after="0" w:line="305"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i w:val="1"/>
          <w:iCs w:val="1"/>
          <w:color w:val="auto"/>
        </w:rPr>
        <w:t>Trustee to Give Notice of Default, But May Withhold in Certain Circumstances.</w:t>
      </w:r>
      <w:r>
        <w:rPr>
          <w:rFonts w:ascii="Arial" w:cs="Arial" w:eastAsia="Arial" w:hAnsi="Arial"/>
          <w:sz w:val="15"/>
          <w:szCs w:val="15"/>
          <w:color w:val="auto"/>
        </w:rPr>
        <w:t xml:space="preserve">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50"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i w:val="1"/>
          <w:iCs w:val="1"/>
          <w:color w:val="auto"/>
        </w:rPr>
        <w:t>Right of Court to Require Filing of Undertaking to Pay Costs.</w:t>
      </w:r>
      <w:r>
        <w:rPr>
          <w:rFonts w:ascii="Arial" w:cs="Arial" w:eastAsia="Arial" w:hAnsi="Arial"/>
          <w:sz w:val="15"/>
          <w:szCs w:val="15"/>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ONCERNING THE</w:t>
      </w:r>
      <w:r>
        <w:rPr>
          <w:rFonts w:ascii="Arial" w:cs="Arial" w:eastAsia="Arial" w:hAnsi="Arial"/>
          <w:sz w:val="18"/>
          <w:szCs w:val="18"/>
          <w:color w:val="auto"/>
        </w:rPr>
        <w:t xml:space="preserve"> T</w:t>
      </w:r>
      <w:r>
        <w:rPr>
          <w:rFonts w:ascii="Arial" w:cs="Arial" w:eastAsia="Arial" w:hAnsi="Arial"/>
          <w:sz w:val="11"/>
          <w:szCs w:val="11"/>
          <w:color w:val="auto"/>
        </w:rPr>
        <w:t>RUSTEE</w:t>
      </w:r>
    </w:p>
    <w:p>
      <w:pPr>
        <w:spacing w:after="0" w:line="100" w:lineRule="exact"/>
        <w:rPr>
          <w:sz w:val="20"/>
          <w:szCs w:val="20"/>
          <w:color w:val="auto"/>
        </w:rPr>
      </w:pPr>
    </w:p>
    <w:p>
      <w:pPr>
        <w:ind w:right="300" w:firstLine="221"/>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Duties and Responsibilities of the Trustee; During Default; Prior to Default.</w:t>
      </w:r>
      <w:r>
        <w:rPr>
          <w:rFonts w:ascii="Arial" w:cs="Arial" w:eastAsia="Arial" w:hAnsi="Arial"/>
          <w:sz w:val="18"/>
          <w:szCs w:val="18"/>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68" w:name="page169"/>
    <w:bookmarkEnd w:id="168"/>
    <w:p>
      <w:pPr>
        <w:ind w:right="80"/>
        <w:spacing w:after="0" w:line="330" w:lineRule="auto"/>
        <w:rPr>
          <w:sz w:val="20"/>
          <w:szCs w:val="20"/>
          <w:color w:val="auto"/>
        </w:rPr>
      </w:pPr>
      <w:r>
        <w:rPr>
          <w:rFonts w:ascii="Arial" w:cs="Arial" w:eastAsia="Arial" w:hAnsi="Arial"/>
          <w:sz w:val="15"/>
          <w:szCs w:val="15"/>
          <w:color w:val="auto"/>
        </w:rPr>
        <w:t>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31" w:lineRule="exact"/>
        <w:rPr>
          <w:sz w:val="20"/>
          <w:szCs w:val="20"/>
          <w:color w:val="auto"/>
        </w:rPr>
      </w:pPr>
    </w:p>
    <w:p>
      <w:pPr>
        <w:ind w:left="240" w:right="160" w:firstLine="215"/>
        <w:spacing w:after="0" w:line="265"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73" w:lineRule="exact"/>
        <w:rPr>
          <w:rFonts w:ascii="Arial" w:cs="Arial" w:eastAsia="Arial" w:hAnsi="Arial"/>
          <w:sz w:val="18"/>
          <w:szCs w:val="18"/>
          <w:color w:val="auto"/>
        </w:rPr>
      </w:pPr>
    </w:p>
    <w:p>
      <w:pPr>
        <w:ind w:left="900" w:hanging="216"/>
        <w:spacing w:after="0"/>
        <w:tabs>
          <w:tab w:leader="none" w:pos="90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the duties and obligations of the Trustee with respect to the Securities of any Series shall be determined solely by the express provisions of this</w:t>
      </w:r>
    </w:p>
    <w:p>
      <w:pPr>
        <w:spacing w:after="0" w:line="50" w:lineRule="exact"/>
        <w:rPr>
          <w:rFonts w:ascii="Arial" w:cs="Arial" w:eastAsia="Arial" w:hAnsi="Arial"/>
          <w:sz w:val="15"/>
          <w:szCs w:val="15"/>
          <w:color w:val="auto"/>
        </w:rPr>
      </w:pPr>
    </w:p>
    <w:p>
      <w:pPr>
        <w:ind w:left="460"/>
        <w:spacing w:after="0" w:line="251" w:lineRule="auto"/>
        <w:rPr>
          <w:rFonts w:ascii="Arial" w:cs="Arial" w:eastAsia="Arial" w:hAnsi="Arial"/>
          <w:sz w:val="15"/>
          <w:szCs w:val="15"/>
          <w:color w:val="auto"/>
        </w:rPr>
      </w:pPr>
      <w:r>
        <w:rPr>
          <w:rFonts w:ascii="Arial" w:cs="Arial" w:eastAsia="Arial" w:hAnsi="Arial"/>
          <w:sz w:val="18"/>
          <w:szCs w:val="18"/>
          <w:color w:val="auto"/>
        </w:rPr>
        <w:t>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86" w:lineRule="exact"/>
        <w:rPr>
          <w:rFonts w:ascii="Arial" w:cs="Arial" w:eastAsia="Arial" w:hAnsi="Arial"/>
          <w:sz w:val="15"/>
          <w:szCs w:val="15"/>
          <w:color w:val="auto"/>
        </w:rPr>
      </w:pPr>
    </w:p>
    <w:p>
      <w:pPr>
        <w:ind w:left="460" w:firstLine="224"/>
        <w:spacing w:after="0" w:line="318" w:lineRule="auto"/>
        <w:tabs>
          <w:tab w:leader="none" w:pos="941" w:val="left"/>
        </w:tabs>
        <w:numPr>
          <w:ilvl w:val="1"/>
          <w:numId w:val="121"/>
        </w:numPr>
        <w:rPr>
          <w:rFonts w:ascii="Arial" w:cs="Arial" w:eastAsia="Arial" w:hAnsi="Arial"/>
          <w:sz w:val="15"/>
          <w:szCs w:val="15"/>
          <w:color w:val="auto"/>
        </w:rPr>
      </w:pPr>
      <w:r>
        <w:rPr>
          <w:rFonts w:ascii="Arial" w:cs="Arial" w:eastAsia="Arial" w:hAnsi="Arial"/>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40" w:lineRule="exact"/>
        <w:rPr>
          <w:rFonts w:ascii="Arial" w:cs="Arial" w:eastAsia="Arial" w:hAnsi="Arial"/>
          <w:sz w:val="15"/>
          <w:szCs w:val="15"/>
          <w:color w:val="auto"/>
        </w:rPr>
      </w:pPr>
    </w:p>
    <w:p>
      <w:pPr>
        <w:ind w:left="240" w:right="100" w:firstLine="215"/>
        <w:spacing w:after="0" w:line="265"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73" w:lineRule="exact"/>
        <w:rPr>
          <w:rFonts w:ascii="Arial" w:cs="Arial" w:eastAsia="Arial" w:hAnsi="Arial"/>
          <w:sz w:val="18"/>
          <w:szCs w:val="18"/>
          <w:color w:val="auto"/>
        </w:rPr>
      </w:pPr>
    </w:p>
    <w:p>
      <w:pPr>
        <w:ind w:left="900" w:hanging="216"/>
        <w:spacing w:after="0"/>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this subsection (b) shall not be construed to limit the effect of subsection (a) of this Section;</w:t>
      </w:r>
    </w:p>
    <w:p>
      <w:pPr>
        <w:spacing w:after="0" w:line="111" w:lineRule="exact"/>
        <w:rPr>
          <w:rFonts w:ascii="Arial" w:cs="Arial" w:eastAsia="Arial" w:hAnsi="Arial"/>
          <w:sz w:val="18"/>
          <w:szCs w:val="18"/>
          <w:color w:val="auto"/>
        </w:rPr>
      </w:pPr>
    </w:p>
    <w:p>
      <w:pPr>
        <w:ind w:left="460" w:right="120" w:firstLine="224"/>
        <w:spacing w:after="0" w:line="265" w:lineRule="auto"/>
        <w:tabs>
          <w:tab w:leader="none" w:pos="94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73" w:lineRule="exact"/>
        <w:rPr>
          <w:rFonts w:ascii="Arial" w:cs="Arial" w:eastAsia="Arial" w:hAnsi="Arial"/>
          <w:sz w:val="18"/>
          <w:szCs w:val="18"/>
          <w:color w:val="auto"/>
        </w:rPr>
      </w:pPr>
    </w:p>
    <w:p>
      <w:pPr>
        <w:ind w:left="460" w:right="180" w:firstLine="224"/>
        <w:spacing w:after="0" w:line="265" w:lineRule="auto"/>
        <w:tabs>
          <w:tab w:leader="none" w:pos="9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in good faith in accordance with the direction of the holders relating to the time,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69" w:name="page170"/>
    <w:bookmarkEnd w:id="169"/>
    <w:p>
      <w:pPr>
        <w:ind w:left="460" w:right="400"/>
        <w:spacing w:after="0" w:line="265" w:lineRule="auto"/>
        <w:rPr>
          <w:sz w:val="20"/>
          <w:szCs w:val="20"/>
          <w:color w:val="auto"/>
        </w:rPr>
      </w:pPr>
      <w:r>
        <w:rPr>
          <w:rFonts w:ascii="Arial" w:cs="Arial" w:eastAsia="Arial" w:hAnsi="Arial"/>
          <w:sz w:val="18"/>
          <w:szCs w:val="18"/>
          <w:color w:val="auto"/>
        </w:rPr>
        <w:t>method and place of conducting any proceeding for any remedy available to the Trustee, or exercising any trust or power conferred upon the Trustee, under this Indenture.</w:t>
      </w:r>
    </w:p>
    <w:p>
      <w:pPr>
        <w:spacing w:after="0" w:line="73"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provisions of this Section 5.01 are in furtherance of and subject to Sections 315 and 316 of the Trust Indenture Act of 1939.</w:t>
      </w:r>
    </w:p>
    <w:p>
      <w:pPr>
        <w:spacing w:after="0" w:line="111" w:lineRule="exact"/>
        <w:rPr>
          <w:sz w:val="20"/>
          <w:szCs w:val="20"/>
          <w:color w:val="auto"/>
        </w:rPr>
      </w:pPr>
    </w:p>
    <w:p>
      <w:pPr>
        <w:jc w:val="both"/>
        <w:ind w:right="160" w:firstLine="218"/>
        <w:spacing w:after="0" w:line="265" w:lineRule="auto"/>
        <w:rPr>
          <w:sz w:val="20"/>
          <w:szCs w:val="20"/>
          <w:color w:val="auto"/>
        </w:rPr>
      </w:pPr>
      <w:r>
        <w:rPr>
          <w:rFonts w:ascii="Arial" w:cs="Arial" w:eastAsia="Arial" w:hAnsi="Arial"/>
          <w:sz w:val="18"/>
          <w:szCs w:val="18"/>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Certain Rights of the Trustee</w:t>
      </w:r>
      <w:r>
        <w:rPr>
          <w:rFonts w:ascii="Arial" w:cs="Arial" w:eastAsia="Arial" w:hAnsi="Arial"/>
          <w:sz w:val="18"/>
          <w:szCs w:val="18"/>
          <w:color w:val="auto"/>
        </w:rPr>
        <w:t>. In furtherance of and subject to the Trust Indenture Act of 1939, and subject to Section 5.01:</w:t>
      </w:r>
    </w:p>
    <w:p>
      <w:pPr>
        <w:spacing w:after="0" w:line="111" w:lineRule="exact"/>
        <w:rPr>
          <w:sz w:val="20"/>
          <w:szCs w:val="20"/>
          <w:color w:val="auto"/>
        </w:rPr>
      </w:pPr>
    </w:p>
    <w:p>
      <w:pPr>
        <w:ind w:left="240" w:right="420" w:firstLine="215"/>
        <w:spacing w:after="0" w:line="277" w:lineRule="auto"/>
        <w:tabs>
          <w:tab w:leader="none" w:pos="7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65" w:lineRule="exact"/>
        <w:rPr>
          <w:rFonts w:ascii="Arial" w:cs="Arial" w:eastAsia="Arial" w:hAnsi="Arial"/>
          <w:sz w:val="17"/>
          <w:szCs w:val="17"/>
          <w:color w:val="auto"/>
        </w:rPr>
      </w:pPr>
    </w:p>
    <w:p>
      <w:pPr>
        <w:ind w:left="240" w:firstLine="215"/>
        <w:spacing w:after="0" w:line="255" w:lineRule="auto"/>
        <w:tabs>
          <w:tab w:leader="none" w:pos="7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82" w:lineRule="exact"/>
        <w:rPr>
          <w:rFonts w:ascii="Arial" w:cs="Arial" w:eastAsia="Arial" w:hAnsi="Arial"/>
          <w:sz w:val="18"/>
          <w:szCs w:val="18"/>
          <w:color w:val="auto"/>
        </w:rPr>
      </w:pPr>
    </w:p>
    <w:p>
      <w:pPr>
        <w:ind w:left="240" w:right="180" w:firstLine="215"/>
        <w:spacing w:after="0" w:line="366" w:lineRule="auto"/>
        <w:tabs>
          <w:tab w:leader="none" w:pos="701"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4" w:lineRule="exact"/>
        <w:rPr>
          <w:rFonts w:ascii="Arial" w:cs="Arial" w:eastAsia="Arial" w:hAnsi="Arial"/>
          <w:sz w:val="15"/>
          <w:szCs w:val="15"/>
          <w:color w:val="auto"/>
        </w:rPr>
      </w:pPr>
    </w:p>
    <w:p>
      <w:pPr>
        <w:ind w:left="240" w:right="120" w:firstLine="215"/>
        <w:spacing w:after="0" w:line="294" w:lineRule="auto"/>
        <w:tabs>
          <w:tab w:leader="none" w:pos="71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color w:val="auto"/>
        </w:rPr>
        <w:t>reasonable security or indemnity against the costs, expenses and liabilities which might be incurred by it in connection with such request, order or direction;</w:t>
      </w:r>
    </w:p>
    <w:p>
      <w:pPr>
        <w:spacing w:after="0" w:line="146" w:lineRule="exact"/>
        <w:rPr>
          <w:sz w:val="20"/>
          <w:szCs w:val="20"/>
          <w:color w:val="auto"/>
        </w:rPr>
      </w:pPr>
    </w:p>
    <w:p>
      <w:pPr>
        <w:ind w:right="240" w:firstLine="215"/>
        <w:spacing w:after="0" w:line="265" w:lineRule="auto"/>
        <w:tabs>
          <w:tab w:leader="none" w:pos="4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73" w:lineRule="exact"/>
        <w:rPr>
          <w:rFonts w:ascii="Arial" w:cs="Arial" w:eastAsia="Arial" w:hAnsi="Arial"/>
          <w:sz w:val="18"/>
          <w:szCs w:val="18"/>
          <w:color w:val="auto"/>
        </w:rPr>
      </w:pPr>
    </w:p>
    <w:p>
      <w:pPr>
        <w:ind w:firstLine="215"/>
        <w:spacing w:after="0" w:line="265" w:lineRule="auto"/>
        <w:tabs>
          <w:tab w:leader="none" w:pos="44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76" w:lineRule="exact"/>
        <w:rPr>
          <w:rFonts w:ascii="Arial" w:cs="Arial" w:eastAsia="Arial" w:hAnsi="Arial"/>
          <w:sz w:val="17"/>
          <w:szCs w:val="17"/>
          <w:color w:val="auto"/>
        </w:rPr>
      </w:pPr>
    </w:p>
    <w:p>
      <w:pPr>
        <w:ind w:right="40" w:firstLine="215"/>
        <w:spacing w:after="0" w:line="255" w:lineRule="auto"/>
        <w:tabs>
          <w:tab w:leader="none" w:pos="4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82" w:lineRule="exact"/>
        <w:rPr>
          <w:rFonts w:ascii="Arial" w:cs="Arial" w:eastAsia="Arial" w:hAnsi="Arial"/>
          <w:sz w:val="18"/>
          <w:szCs w:val="18"/>
          <w:color w:val="auto"/>
        </w:rPr>
      </w:pPr>
    </w:p>
    <w:p>
      <w:pPr>
        <w:ind w:right="120" w:firstLine="215"/>
        <w:spacing w:after="0" w:line="265" w:lineRule="auto"/>
        <w:tabs>
          <w:tab w:leader="none" w:pos="4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in good faith and believed by it to be authorized or within the discretion, rights or powers conferred upon it by this Indenture;</w:t>
      </w:r>
    </w:p>
    <w:p>
      <w:pPr>
        <w:spacing w:after="0" w:line="73" w:lineRule="exact"/>
        <w:rPr>
          <w:rFonts w:ascii="Arial" w:cs="Arial" w:eastAsia="Arial" w:hAnsi="Arial"/>
          <w:sz w:val="18"/>
          <w:szCs w:val="18"/>
          <w:color w:val="auto"/>
        </w:rPr>
      </w:pPr>
    </w:p>
    <w:p>
      <w:pPr>
        <w:ind w:right="240" w:firstLine="215"/>
        <w:spacing w:after="0" w:line="255" w:lineRule="auto"/>
        <w:tabs>
          <w:tab w:leader="none" w:pos="4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82" w:lineRule="exact"/>
        <w:rPr>
          <w:rFonts w:ascii="Arial" w:cs="Arial" w:eastAsia="Arial" w:hAnsi="Arial"/>
          <w:sz w:val="18"/>
          <w:szCs w:val="18"/>
          <w:color w:val="auto"/>
        </w:rPr>
      </w:pPr>
    </w:p>
    <w:p>
      <w:pPr>
        <w:ind w:right="180" w:firstLine="215"/>
        <w:spacing w:after="0" w:line="265" w:lineRule="auto"/>
        <w:tabs>
          <w:tab w:leader="none" w:pos="4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w:t>
      </w:r>
    </w:p>
    <w:p>
      <w:pPr>
        <w:spacing w:after="0" w:line="15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143510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80" w:top="923" w:right="239" w:bottom="1440" w:gutter="0" w:footer="0" w:header="0"/>
        </w:sectPr>
      </w:pPr>
    </w:p>
    <w:bookmarkStart w:id="171" w:name="page172"/>
    <w:bookmarkEnd w:id="171"/>
    <w:p>
      <w:pPr>
        <w:ind w:left="240"/>
        <w:spacing w:after="0"/>
        <w:rPr>
          <w:sz w:val="20"/>
          <w:szCs w:val="20"/>
          <w:color w:val="auto"/>
        </w:rPr>
      </w:pPr>
      <w:r>
        <w:rPr>
          <w:rFonts w:ascii="Arial" w:cs="Arial" w:eastAsia="Arial" w:hAnsi="Arial"/>
          <w:sz w:val="18"/>
          <w:szCs w:val="18"/>
          <w:color w:val="auto"/>
        </w:rPr>
        <w:t>each of its capacities hereunder, and each agent, custodian and other Person employed to act hereunder; and</w:t>
      </w:r>
    </w:p>
    <w:p>
      <w:pPr>
        <w:spacing w:after="0" w:line="111" w:lineRule="exact"/>
        <w:rPr>
          <w:sz w:val="20"/>
          <w:szCs w:val="20"/>
          <w:color w:val="auto"/>
        </w:rPr>
      </w:pPr>
    </w:p>
    <w:p>
      <w:pPr>
        <w:jc w:val="both"/>
        <w:ind w:left="240" w:right="120" w:firstLine="215"/>
        <w:spacing w:after="0" w:line="277" w:lineRule="auto"/>
        <w:tabs>
          <w:tab w:leader="none" w:pos="71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66" w:lineRule="exact"/>
        <w:rPr>
          <w:sz w:val="20"/>
          <w:szCs w:val="20"/>
          <w:color w:val="auto"/>
        </w:rPr>
      </w:pPr>
    </w:p>
    <w:p>
      <w:pPr>
        <w:jc w:val="both"/>
        <w:ind w:right="400" w:firstLine="221"/>
        <w:spacing w:after="0" w:line="318"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Trustee Not Responsible for Recitals, Disposition of Securities or Application of Proceeds Thereof.</w:t>
      </w:r>
      <w:r>
        <w:rPr>
          <w:rFonts w:ascii="Arial" w:cs="Arial" w:eastAsia="Arial" w:hAnsi="Arial"/>
          <w:sz w:val="15"/>
          <w:szCs w:val="15"/>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40" w:lineRule="exact"/>
        <w:rPr>
          <w:sz w:val="20"/>
          <w:szCs w:val="20"/>
          <w:color w:val="auto"/>
        </w:rPr>
      </w:pPr>
    </w:p>
    <w:p>
      <w:pPr>
        <w:ind w:right="60" w:firstLine="221"/>
        <w:spacing w:after="0" w:line="330"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Trustee and Agents May Hold Securities; Collections, etc.</w:t>
      </w:r>
      <w:r>
        <w:rPr>
          <w:rFonts w:ascii="Arial" w:cs="Arial" w:eastAsia="Arial" w:hAnsi="Arial"/>
          <w:sz w:val="15"/>
          <w:szCs w:val="15"/>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31" w:lineRule="exact"/>
        <w:rPr>
          <w:sz w:val="20"/>
          <w:szCs w:val="20"/>
          <w:color w:val="auto"/>
        </w:rPr>
      </w:pPr>
    </w:p>
    <w:p>
      <w:pPr>
        <w:jc w:val="both"/>
        <w:ind w:right="300" w:firstLine="221"/>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83"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Compensation and Indemnification of Trustee and Its Prior Claim.</w:t>
      </w:r>
      <w:r>
        <w:rPr>
          <w:rFonts w:ascii="Arial" w:cs="Arial" w:eastAsia="Arial" w:hAnsi="Arial"/>
          <w:sz w:val="17"/>
          <w:szCs w:val="17"/>
          <w:color w:val="auto"/>
        </w:rPr>
        <w:t xml:space="preserve">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72" w:name="page173"/>
    <w:bookmarkEnd w:id="172"/>
    <w:p>
      <w:pPr>
        <w:ind w:right="20"/>
        <w:spacing w:after="0" w:line="264" w:lineRule="auto"/>
        <w:rPr>
          <w:sz w:val="20"/>
          <w:szCs w:val="20"/>
          <w:color w:val="auto"/>
        </w:rPr>
      </w:pPr>
      <w:r>
        <w:rPr>
          <w:rFonts w:ascii="Arial" w:cs="Arial" w:eastAsia="Arial" w:hAnsi="Arial"/>
          <w:sz w:val="17"/>
          <w:szCs w:val="17"/>
          <w:color w:val="auto"/>
        </w:rPr>
        <w:t>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77"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90" w:lineRule="exact"/>
        <w:rPr>
          <w:sz w:val="20"/>
          <w:szCs w:val="20"/>
          <w:color w:val="auto"/>
        </w:rPr>
      </w:pPr>
    </w:p>
    <w:p>
      <w:pPr>
        <w:ind w:right="100" w:firstLine="221"/>
        <w:spacing w:after="0" w:line="267"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Persons Eligible for Appointment as Trustee.</w:t>
      </w:r>
      <w:r>
        <w:rPr>
          <w:rFonts w:ascii="Arial" w:cs="Arial" w:eastAsia="Arial" w:hAnsi="Arial"/>
          <w:sz w:val="17"/>
          <w:szCs w:val="17"/>
          <w:color w:val="auto"/>
        </w:rPr>
        <w:t xml:space="preserv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73" w:name="page174"/>
    <w:bookmarkEnd w:id="173"/>
    <w:p>
      <w:pPr>
        <w:ind w:right="20" w:firstLine="221"/>
        <w:spacing w:after="0" w:line="305"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i w:val="1"/>
          <w:iCs w:val="1"/>
          <w:color w:val="auto"/>
        </w:rPr>
        <w:t>Resignation and Removal; Appointment of Successor Trustee.</w:t>
      </w:r>
      <w:r>
        <w:rPr>
          <w:rFonts w:ascii="Arial" w:cs="Arial" w:eastAsia="Arial" w:hAnsi="Arial"/>
          <w:sz w:val="15"/>
          <w:szCs w:val="15"/>
          <w:color w:val="auto"/>
        </w:rPr>
        <w:t xml:space="preserve"> (a)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262" w:lineRule="exact"/>
        <w:rPr>
          <w:sz w:val="20"/>
          <w:szCs w:val="20"/>
          <w:color w:val="auto"/>
        </w:rPr>
      </w:pPr>
    </w:p>
    <w:p>
      <w:pPr>
        <w:ind w:left="480" w:hanging="253"/>
        <w:spacing w:after="0"/>
        <w:tabs>
          <w:tab w:leader="none" w:pos="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1" w:lineRule="exact"/>
        <w:rPr>
          <w:rFonts w:ascii="Arial" w:cs="Arial" w:eastAsia="Arial" w:hAnsi="Arial"/>
          <w:sz w:val="18"/>
          <w:szCs w:val="18"/>
          <w:color w:val="auto"/>
        </w:rPr>
      </w:pPr>
    </w:p>
    <w:p>
      <w:pPr>
        <w:ind w:left="240" w:right="280" w:firstLine="215"/>
        <w:spacing w:after="0" w:line="255" w:lineRule="auto"/>
        <w:tabs>
          <w:tab w:leader="none" w:pos="6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82" w:lineRule="exact"/>
        <w:rPr>
          <w:rFonts w:ascii="Arial" w:cs="Arial" w:eastAsia="Arial" w:hAnsi="Arial"/>
          <w:sz w:val="18"/>
          <w:szCs w:val="18"/>
          <w:color w:val="auto"/>
        </w:rPr>
      </w:pPr>
    </w:p>
    <w:p>
      <w:pPr>
        <w:ind w:left="240" w:firstLine="215"/>
        <w:spacing w:after="0" w:line="265" w:lineRule="auto"/>
        <w:tabs>
          <w:tab w:leader="none" w:pos="72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73" w:lineRule="exact"/>
        <w:rPr>
          <w:rFonts w:ascii="Arial" w:cs="Arial" w:eastAsia="Arial" w:hAnsi="Arial"/>
          <w:sz w:val="18"/>
          <w:szCs w:val="18"/>
          <w:color w:val="auto"/>
        </w:rPr>
      </w:pPr>
    </w:p>
    <w:p>
      <w:pPr>
        <w:ind w:left="240" w:right="220" w:firstLine="215"/>
        <w:spacing w:after="0" w:line="255" w:lineRule="auto"/>
        <w:tabs>
          <w:tab w:leader="none" w:pos="77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83"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then, in any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74" w:name="page175"/>
    <w:bookmarkEnd w:id="174"/>
    <w:p>
      <w:pPr>
        <w:ind w:right="20"/>
        <w:spacing w:after="0" w:line="255" w:lineRule="auto"/>
        <w:rPr>
          <w:sz w:val="20"/>
          <w:szCs w:val="20"/>
          <w:color w:val="auto"/>
        </w:rPr>
      </w:pPr>
      <w:r>
        <w:rPr>
          <w:rFonts w:ascii="Arial" w:cs="Arial" w:eastAsia="Arial" w:hAnsi="Arial"/>
          <w:sz w:val="18"/>
          <w:szCs w:val="18"/>
          <w:color w:val="auto"/>
        </w:rPr>
        <w:t>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83" w:lineRule="exact"/>
        <w:rPr>
          <w:sz w:val="20"/>
          <w:szCs w:val="20"/>
          <w:color w:val="auto"/>
        </w:rPr>
      </w:pPr>
    </w:p>
    <w:p>
      <w:pPr>
        <w:ind w:right="140" w:firstLine="227"/>
        <w:spacing w:after="0" w:line="330" w:lineRule="auto"/>
        <w:tabs>
          <w:tab w:leader="none" w:pos="45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31" w:lineRule="exact"/>
        <w:rPr>
          <w:rFonts w:ascii="Arial" w:cs="Arial" w:eastAsia="Arial" w:hAnsi="Arial"/>
          <w:sz w:val="15"/>
          <w:szCs w:val="15"/>
          <w:color w:val="auto"/>
        </w:rPr>
      </w:pPr>
    </w:p>
    <w:p>
      <w:pPr>
        <w:ind w:right="20" w:firstLine="227"/>
        <w:spacing w:after="0" w:line="366" w:lineRule="auto"/>
        <w:tabs>
          <w:tab w:leader="none" w:pos="461"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4" w:lineRule="exact"/>
        <w:rPr>
          <w:sz w:val="20"/>
          <w:szCs w:val="20"/>
          <w:color w:val="auto"/>
        </w:rPr>
      </w:pPr>
    </w:p>
    <w:p>
      <w:pPr>
        <w:ind w:firstLine="221"/>
        <w:spacing w:after="0" w:line="264"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Acceptance of Appointment by Successor</w:t>
      </w:r>
      <w:r>
        <w:rPr>
          <w:rFonts w:ascii="Arial" w:cs="Arial" w:eastAsia="Arial" w:hAnsi="Arial"/>
          <w:sz w:val="17"/>
          <w:szCs w:val="17"/>
          <w:color w:val="auto"/>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77" w:lineRule="exact"/>
        <w:rPr>
          <w:sz w:val="20"/>
          <w:szCs w:val="20"/>
          <w:color w:val="auto"/>
        </w:rPr>
      </w:pPr>
    </w:p>
    <w:p>
      <w:pPr>
        <w:ind w:right="120" w:firstLine="221"/>
        <w:spacing w:after="0" w:line="330" w:lineRule="auto"/>
        <w:rPr>
          <w:sz w:val="20"/>
          <w:szCs w:val="20"/>
          <w:color w:val="auto"/>
        </w:rPr>
      </w:pPr>
      <w:r>
        <w:rPr>
          <w:rFonts w:ascii="Arial" w:cs="Arial" w:eastAsia="Arial" w:hAnsi="Arial"/>
          <w:sz w:val="15"/>
          <w:szCs w:val="15"/>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75" w:name="page176"/>
    <w:bookmarkEnd w:id="175"/>
    <w:p>
      <w:pPr>
        <w:ind w:right="20"/>
        <w:spacing w:after="0" w:line="252" w:lineRule="auto"/>
        <w:rPr>
          <w:sz w:val="20"/>
          <w:szCs w:val="20"/>
          <w:color w:val="auto"/>
        </w:rPr>
      </w:pPr>
      <w:r>
        <w:rPr>
          <w:rFonts w:ascii="Arial" w:cs="Arial" w:eastAsia="Arial" w:hAnsi="Arial"/>
          <w:sz w:val="18"/>
          <w:szCs w:val="18"/>
          <w:color w:val="auto"/>
        </w:rPr>
        <w:t>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85"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71" w:lineRule="exact"/>
        <w:rPr>
          <w:sz w:val="20"/>
          <w:szCs w:val="20"/>
          <w:color w:val="auto"/>
        </w:rPr>
      </w:pPr>
    </w:p>
    <w:p>
      <w:pPr>
        <w:ind w:right="100" w:firstLine="221"/>
        <w:spacing w:after="0" w:line="250"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Merger, Conversion, Consolidation or Succession to Business of Trustee</w:t>
      </w:r>
      <w:r>
        <w:rPr>
          <w:rFonts w:ascii="Arial" w:cs="Arial" w:eastAsia="Arial" w:hAnsi="Arial"/>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corporation shall be eligible under the provisions of Section 5.08, without the execution or filing of any paper or any further act on the part of any of the parties hereto, anything herein to the contrary notwithstanding.</w:t>
      </w:r>
    </w:p>
    <w:p>
      <w:pPr>
        <w:spacing w:after="0" w:line="89" w:lineRule="exact"/>
        <w:rPr>
          <w:sz w:val="20"/>
          <w:szCs w:val="20"/>
          <w:color w:val="auto"/>
        </w:rPr>
      </w:pPr>
    </w:p>
    <w:p>
      <w:pPr>
        <w:ind w:right="140" w:firstLine="221"/>
        <w:spacing w:after="0" w:line="307"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47"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Reports to the Trustee</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76" w:name="page177"/>
    <w:bookmarkEnd w:id="176"/>
    <w:p>
      <w:pPr>
        <w:ind w:right="140"/>
        <w:spacing w:after="0" w:line="255" w:lineRule="auto"/>
        <w:rPr>
          <w:sz w:val="20"/>
          <w:szCs w:val="20"/>
          <w:color w:val="auto"/>
        </w:rPr>
      </w:pPr>
      <w:r>
        <w:rPr>
          <w:rFonts w:ascii="Arial" w:cs="Arial" w:eastAsia="Arial" w:hAnsi="Arial"/>
          <w:sz w:val="18"/>
          <w:szCs w:val="18"/>
          <w:color w:val="auto"/>
        </w:rPr>
        <w:t>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83" w:lineRule="exact"/>
        <w:rPr>
          <w:sz w:val="20"/>
          <w:szCs w:val="20"/>
          <w:color w:val="auto"/>
        </w:rPr>
      </w:pPr>
    </w:p>
    <w:p>
      <w:pPr>
        <w:ind w:right="160" w:firstLine="211"/>
        <w:spacing w:after="0" w:line="255"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ONCERNING THE</w:t>
      </w:r>
      <w:r>
        <w:rPr>
          <w:rFonts w:ascii="Arial" w:cs="Arial" w:eastAsia="Arial" w:hAnsi="Arial"/>
          <w:sz w:val="18"/>
          <w:szCs w:val="18"/>
          <w:color w:val="auto"/>
        </w:rPr>
        <w:t xml:space="preserve"> S</w:t>
      </w:r>
      <w:r>
        <w:rPr>
          <w:rFonts w:ascii="Arial" w:cs="Arial" w:eastAsia="Arial" w:hAnsi="Arial"/>
          <w:sz w:val="11"/>
          <w:szCs w:val="11"/>
          <w:color w:val="auto"/>
        </w:rPr>
        <w:t>ECURITYHOLDERS</w:t>
      </w:r>
    </w:p>
    <w:p>
      <w:pPr>
        <w:spacing w:after="0" w:line="100" w:lineRule="exact"/>
        <w:rPr>
          <w:sz w:val="20"/>
          <w:szCs w:val="20"/>
          <w:color w:val="auto"/>
        </w:rPr>
      </w:pPr>
    </w:p>
    <w:p>
      <w:pPr>
        <w:ind w:firstLine="221"/>
        <w:spacing w:after="0" w:line="309"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i w:val="1"/>
          <w:iCs w:val="1"/>
          <w:color w:val="auto"/>
        </w:rPr>
        <w:t>Evidence of Action Taken by Securityholders.</w:t>
      </w:r>
      <w:r>
        <w:rPr>
          <w:rFonts w:ascii="Arial" w:cs="Arial" w:eastAsia="Arial" w:hAnsi="Arial"/>
          <w:sz w:val="15"/>
          <w:szCs w:val="15"/>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46" w:lineRule="exact"/>
        <w:rPr>
          <w:sz w:val="20"/>
          <w:szCs w:val="20"/>
          <w:color w:val="auto"/>
        </w:rPr>
      </w:pPr>
    </w:p>
    <w:p>
      <w:pPr>
        <w:ind w:right="20" w:firstLine="221"/>
        <w:spacing w:after="0" w:line="305"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i w:val="1"/>
          <w:iCs w:val="1"/>
          <w:color w:val="auto"/>
        </w:rPr>
        <w:t>Proof of Execution of Instruments and of Holding of Securities; Record Date</w:t>
      </w:r>
      <w:r>
        <w:rPr>
          <w:rFonts w:ascii="Arial" w:cs="Arial" w:eastAsia="Arial" w:hAnsi="Arial"/>
          <w:sz w:val="15"/>
          <w:szCs w:val="15"/>
          <w:color w:val="auto"/>
        </w:rPr>
        <w:t>. Subject to Sections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77" w:name="page178"/>
    <w:bookmarkEnd w:id="177"/>
    <w:p>
      <w:pPr>
        <w:jc w:val="both"/>
        <w:ind w:right="20"/>
        <w:spacing w:after="0" w:line="255" w:lineRule="auto"/>
        <w:rPr>
          <w:sz w:val="20"/>
          <w:szCs w:val="20"/>
          <w:color w:val="auto"/>
        </w:rPr>
      </w:pPr>
      <w:r>
        <w:rPr>
          <w:rFonts w:ascii="Arial" w:cs="Arial" w:eastAsia="Arial" w:hAnsi="Arial"/>
          <w:sz w:val="18"/>
          <w:szCs w:val="18"/>
          <w:color w:val="auto"/>
        </w:rPr>
        <w:t>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83"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Holders to Be Treated as Owners.</w:t>
      </w:r>
      <w:r>
        <w:rPr>
          <w:rFonts w:ascii="Arial" w:cs="Arial" w:eastAsia="Arial" w:hAnsi="Arial"/>
          <w:sz w:val="18"/>
          <w:szCs w:val="18"/>
          <w:color w:val="auto"/>
        </w:rPr>
        <w:t xml:space="preserve">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88" w:lineRule="exact"/>
        <w:rPr>
          <w:sz w:val="20"/>
          <w:szCs w:val="20"/>
          <w:color w:val="auto"/>
        </w:rPr>
      </w:pPr>
    </w:p>
    <w:p>
      <w:pPr>
        <w:ind w:right="20" w:firstLine="221"/>
        <w:spacing w:after="0" w:line="301"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Securities Owned by Issuer Deemed Not Outstanding.</w:t>
      </w:r>
      <w:r>
        <w:rPr>
          <w:rFonts w:ascii="Arial" w:cs="Arial" w:eastAsia="Arial" w:hAnsi="Arial"/>
          <w:sz w:val="15"/>
          <w:szCs w:val="15"/>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the fact that all Securities not listed therein are Outstanding for the purpose of any such determination.</w:t>
      </w:r>
    </w:p>
    <w:p>
      <w:pPr>
        <w:spacing w:after="0" w:line="111" w:lineRule="exact"/>
        <w:rPr>
          <w:sz w:val="20"/>
          <w:szCs w:val="20"/>
          <w:color w:val="auto"/>
        </w:rPr>
      </w:pPr>
    </w:p>
    <w:p>
      <w:pPr>
        <w:ind w:firstLine="221"/>
        <w:spacing w:after="0" w:line="304"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i w:val="1"/>
          <w:iCs w:val="1"/>
          <w:color w:val="auto"/>
        </w:rPr>
        <w:t>Right of Revocation of Action Taken</w:t>
      </w:r>
      <w:r>
        <w:rPr>
          <w:rFonts w:ascii="Arial" w:cs="Arial" w:eastAsia="Arial" w:hAnsi="Arial"/>
          <w:sz w:val="15"/>
          <w:szCs w:val="15"/>
          <w:color w:val="auto"/>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UPPLEMENTAL</w:t>
      </w:r>
      <w:r>
        <w:rPr>
          <w:rFonts w:ascii="Arial" w:cs="Arial" w:eastAsia="Arial" w:hAnsi="Arial"/>
          <w:sz w:val="18"/>
          <w:szCs w:val="18"/>
          <w:color w:val="auto"/>
        </w:rPr>
        <w:t xml:space="preserve"> I</w:t>
      </w:r>
      <w:r>
        <w:rPr>
          <w:rFonts w:ascii="Arial" w:cs="Arial" w:eastAsia="Arial" w:hAnsi="Arial"/>
          <w:sz w:val="11"/>
          <w:szCs w:val="11"/>
          <w:color w:val="auto"/>
        </w:rPr>
        <w:t>NDENTURES</w:t>
      </w:r>
    </w:p>
    <w:p>
      <w:pPr>
        <w:spacing w:after="0" w:line="100"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83" w:lineRule="exact"/>
        <w:rPr>
          <w:sz w:val="20"/>
          <w:szCs w:val="20"/>
          <w:color w:val="auto"/>
        </w:rPr>
      </w:pPr>
    </w:p>
    <w:p>
      <w:pPr>
        <w:ind w:right="680" w:firstLine="227"/>
        <w:spacing w:after="0" w:line="265" w:lineRule="auto"/>
        <w:tabs>
          <w:tab w:leader="none" w:pos="46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73" w:lineRule="exact"/>
        <w:rPr>
          <w:rFonts w:ascii="Arial" w:cs="Arial" w:eastAsia="Arial" w:hAnsi="Arial"/>
          <w:sz w:val="18"/>
          <w:szCs w:val="18"/>
          <w:color w:val="auto"/>
        </w:rPr>
      </w:pPr>
    </w:p>
    <w:p>
      <w:pPr>
        <w:jc w:val="both"/>
        <w:ind w:right="20" w:firstLine="227"/>
        <w:spacing w:after="0" w:line="252" w:lineRule="auto"/>
        <w:tabs>
          <w:tab w:leader="none" w:pos="4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79" w:name="page180"/>
    <w:bookmarkEnd w:id="179"/>
    <w:p>
      <w:pPr>
        <w:ind w:left="460" w:hanging="233"/>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11" w:lineRule="exact"/>
        <w:rPr>
          <w:rFonts w:ascii="Arial" w:cs="Arial" w:eastAsia="Arial" w:hAnsi="Arial"/>
          <w:sz w:val="18"/>
          <w:szCs w:val="18"/>
          <w:color w:val="auto"/>
        </w:rPr>
      </w:pPr>
    </w:p>
    <w:p>
      <w:pPr>
        <w:ind w:right="20" w:firstLine="227"/>
        <w:spacing w:after="0" w:line="255" w:lineRule="auto"/>
        <w:tabs>
          <w:tab w:leader="none" w:pos="4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82" w:lineRule="exact"/>
        <w:rPr>
          <w:rFonts w:ascii="Arial" w:cs="Arial" w:eastAsia="Arial" w:hAnsi="Arial"/>
          <w:sz w:val="18"/>
          <w:szCs w:val="18"/>
          <w:color w:val="auto"/>
        </w:rPr>
      </w:pPr>
    </w:p>
    <w:p>
      <w:pPr>
        <w:ind w:left="460" w:hanging="233"/>
        <w:spacing w:after="0"/>
        <w:tabs>
          <w:tab w:leader="none" w:pos="4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comply with any requirements of the Commission in connection with the qualification of this Indenture under the Trust Indenture Act of 1939;</w:t>
      </w:r>
    </w:p>
    <w:p>
      <w:pPr>
        <w:spacing w:after="0" w:line="122" w:lineRule="exact"/>
        <w:rPr>
          <w:rFonts w:ascii="Arial" w:cs="Arial" w:eastAsia="Arial" w:hAnsi="Arial"/>
          <w:sz w:val="17"/>
          <w:szCs w:val="17"/>
          <w:color w:val="auto"/>
        </w:rPr>
      </w:pPr>
    </w:p>
    <w:p>
      <w:pPr>
        <w:ind w:left="440" w:hanging="213"/>
        <w:spacing w:after="0"/>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provide for uncertificated or Unregistered Securities and to make all appropriate changes for such purpose;</w:t>
      </w:r>
    </w:p>
    <w:p>
      <w:pPr>
        <w:spacing w:after="0" w:line="111" w:lineRule="exact"/>
        <w:rPr>
          <w:rFonts w:ascii="Arial" w:cs="Arial" w:eastAsia="Arial" w:hAnsi="Arial"/>
          <w:sz w:val="18"/>
          <w:szCs w:val="18"/>
          <w:color w:val="auto"/>
        </w:rPr>
      </w:pPr>
    </w:p>
    <w:p>
      <w:pPr>
        <w:ind w:left="480" w:hanging="253"/>
        <w:spacing w:after="0"/>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11" w:lineRule="exact"/>
        <w:rPr>
          <w:rFonts w:ascii="Arial" w:cs="Arial" w:eastAsia="Arial" w:hAnsi="Arial"/>
          <w:sz w:val="18"/>
          <w:szCs w:val="18"/>
          <w:color w:val="auto"/>
        </w:rPr>
      </w:pPr>
    </w:p>
    <w:p>
      <w:pPr>
        <w:ind w:left="480" w:hanging="253"/>
        <w:spacing w:after="0"/>
        <w:tabs>
          <w:tab w:leader="none" w:pos="4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 provided by or pursuant to a Board Resolution or indenture supplemental hereto establishing the terms of one or more series of Securities;</w:t>
      </w:r>
    </w:p>
    <w:p>
      <w:pPr>
        <w:spacing w:after="0" w:line="122" w:lineRule="exact"/>
        <w:rPr>
          <w:rFonts w:ascii="Arial" w:cs="Arial" w:eastAsia="Arial" w:hAnsi="Arial"/>
          <w:sz w:val="17"/>
          <w:szCs w:val="17"/>
          <w:color w:val="auto"/>
        </w:rPr>
      </w:pPr>
    </w:p>
    <w:p>
      <w:pPr>
        <w:ind w:firstLine="227"/>
        <w:spacing w:after="0" w:line="266" w:lineRule="auto"/>
        <w:tabs>
          <w:tab w:leader="none" w:pos="43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74" w:lineRule="exact"/>
        <w:rPr>
          <w:rFonts w:ascii="Arial" w:cs="Arial" w:eastAsia="Arial" w:hAnsi="Arial"/>
          <w:sz w:val="17"/>
          <w:szCs w:val="17"/>
          <w:color w:val="auto"/>
        </w:rPr>
      </w:pPr>
    </w:p>
    <w:p>
      <w:pPr>
        <w:ind w:left="440" w:hanging="213"/>
        <w:spacing w:after="0"/>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make any change so long as no Securities are Outstanding.</w:t>
      </w:r>
    </w:p>
    <w:p>
      <w:pPr>
        <w:spacing w:after="0" w:line="111" w:lineRule="exact"/>
        <w:rPr>
          <w:sz w:val="20"/>
          <w:szCs w:val="20"/>
          <w:color w:val="auto"/>
        </w:rPr>
      </w:pPr>
    </w:p>
    <w:p>
      <w:pPr>
        <w:ind w:right="40" w:firstLine="218"/>
        <w:spacing w:after="0" w:line="252"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80" w:name="page181"/>
    <w:bookmarkEnd w:id="180"/>
    <w:p>
      <w:pPr>
        <w:ind w:right="180" w:firstLine="211"/>
        <w:spacing w:after="0" w:line="265"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73"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Supplemental Indentures With Consent of Securityholders</w:t>
      </w:r>
      <w:r>
        <w:rPr>
          <w:rFonts w:ascii="Arial" w:cs="Arial" w:eastAsia="Arial" w:hAnsi="Arial"/>
          <w:sz w:val="17"/>
          <w:szCs w:val="17"/>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7"/>
          <w:szCs w:val="17"/>
          <w:i w:val="1"/>
          <w:iCs w:val="1"/>
          <w:color w:val="auto"/>
        </w:rPr>
        <w:t>provided</w:t>
      </w:r>
      <w:r>
        <w:rPr>
          <w:rFonts w:ascii="Arial" w:cs="Arial" w:eastAsia="Arial" w:hAnsi="Arial"/>
          <w:sz w:val="17"/>
          <w:szCs w:val="17"/>
          <w:color w:val="auto"/>
        </w:rPr>
        <w:t>, that no such supplemental indenture shall without the consent of each Holder affected thereby:</w:t>
      </w:r>
    </w:p>
    <w:p>
      <w:pPr>
        <w:spacing w:after="0" w:line="74" w:lineRule="exact"/>
        <w:rPr>
          <w:sz w:val="20"/>
          <w:szCs w:val="20"/>
          <w:color w:val="auto"/>
        </w:rPr>
      </w:pPr>
    </w:p>
    <w:p>
      <w:pPr>
        <w:ind w:left="660" w:hanging="205"/>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sinking fund obligation or any installment of interest on, such Holder’s Security;</w:t>
      </w:r>
    </w:p>
    <w:p>
      <w:pPr>
        <w:spacing w:after="0" w:line="111" w:lineRule="exact"/>
        <w:rPr>
          <w:rFonts w:ascii="Arial" w:cs="Arial" w:eastAsia="Arial" w:hAnsi="Arial"/>
          <w:sz w:val="18"/>
          <w:szCs w:val="18"/>
          <w:color w:val="auto"/>
        </w:rPr>
      </w:pPr>
    </w:p>
    <w:p>
      <w:pPr>
        <w:ind w:left="720" w:hanging="265"/>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Principal thereof or the rate of interest thereon, or any premium payable with respect thereto;</w:t>
      </w:r>
    </w:p>
    <w:p>
      <w:pPr>
        <w:spacing w:after="0" w:line="111" w:lineRule="exact"/>
        <w:rPr>
          <w:rFonts w:ascii="Arial" w:cs="Arial" w:eastAsia="Arial" w:hAnsi="Arial"/>
          <w:sz w:val="18"/>
          <w:szCs w:val="18"/>
          <w:color w:val="auto"/>
        </w:rPr>
      </w:pPr>
    </w:p>
    <w:p>
      <w:pPr>
        <w:ind w:left="760" w:hanging="305"/>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Security or any premium or the interest thereon is payable;</w:t>
      </w:r>
    </w:p>
    <w:p>
      <w:pPr>
        <w:spacing w:after="0" w:line="111" w:lineRule="exact"/>
        <w:rPr>
          <w:rFonts w:ascii="Arial" w:cs="Arial" w:eastAsia="Arial" w:hAnsi="Arial"/>
          <w:sz w:val="18"/>
          <w:szCs w:val="18"/>
          <w:color w:val="auto"/>
        </w:rPr>
      </w:pPr>
    </w:p>
    <w:p>
      <w:pPr>
        <w:ind w:left="760" w:hanging="305"/>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provisions for calculating the optional redemption price, including the definitions relating thereto;</w:t>
      </w:r>
    </w:p>
    <w:p>
      <w:pPr>
        <w:spacing w:after="0" w:line="111" w:lineRule="exact"/>
        <w:rPr>
          <w:rFonts w:ascii="Arial" w:cs="Arial" w:eastAsia="Arial" w:hAnsi="Arial"/>
          <w:sz w:val="18"/>
          <w:szCs w:val="18"/>
          <w:color w:val="auto"/>
        </w:rPr>
      </w:pPr>
    </w:p>
    <w:p>
      <w:pPr>
        <w:ind w:left="700" w:hanging="245"/>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change to Section 4.07 or 4.10 (except to include other provisions subject to Section 4.10);</w:t>
      </w:r>
    </w:p>
    <w:p>
      <w:pPr>
        <w:spacing w:after="0" w:line="111" w:lineRule="exact"/>
        <w:rPr>
          <w:rFonts w:ascii="Arial" w:cs="Arial" w:eastAsia="Arial" w:hAnsi="Arial"/>
          <w:sz w:val="18"/>
          <w:szCs w:val="18"/>
          <w:color w:val="auto"/>
        </w:rPr>
      </w:pPr>
    </w:p>
    <w:p>
      <w:pPr>
        <w:jc w:val="both"/>
        <w:ind w:left="240" w:right="440" w:firstLine="215"/>
        <w:spacing w:after="0" w:line="255" w:lineRule="auto"/>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82" w:lineRule="exact"/>
        <w:rPr>
          <w:rFonts w:ascii="Arial" w:cs="Arial" w:eastAsia="Arial" w:hAnsi="Arial"/>
          <w:sz w:val="18"/>
          <w:szCs w:val="18"/>
          <w:color w:val="auto"/>
        </w:rPr>
      </w:pPr>
    </w:p>
    <w:p>
      <w:pPr>
        <w:ind w:left="800" w:hanging="345"/>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alter or impair the right to convert any Security at the rate and upon the terms provided in Article 13;</w:t>
      </w:r>
    </w:p>
    <w:p>
      <w:pPr>
        <w:spacing w:after="0" w:line="111" w:lineRule="exact"/>
        <w:rPr>
          <w:rFonts w:ascii="Arial" w:cs="Arial" w:eastAsia="Arial" w:hAnsi="Arial"/>
          <w:sz w:val="18"/>
          <w:szCs w:val="18"/>
          <w:color w:val="auto"/>
        </w:rPr>
      </w:pPr>
    </w:p>
    <w:p>
      <w:pPr>
        <w:ind w:left="240" w:right="40" w:firstLine="215"/>
        <w:spacing w:after="0" w:line="265" w:lineRule="auto"/>
        <w:tabs>
          <w:tab w:leader="none" w:pos="8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interest on any Security of such Holder (except pursuant to a rescission of acceleration pursuant to Section 4.01);</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23" w:right="339" w:bottom="1440" w:gutter="0" w:footer="0" w:header="0"/>
        </w:sectPr>
      </w:pPr>
    </w:p>
    <w:bookmarkStart w:id="181" w:name="page182"/>
    <w:bookmarkEnd w:id="181"/>
    <w:p>
      <w:pPr>
        <w:ind w:left="240" w:right="300" w:firstLine="215"/>
        <w:spacing w:after="0" w:line="265" w:lineRule="auto"/>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adversely affect the rights of such Holder under any mandatory redemption or repurchase provision or any right of redemption or repurchase at the option of such Holder;</w:t>
      </w:r>
    </w:p>
    <w:p>
      <w:pPr>
        <w:spacing w:after="0" w:line="73" w:lineRule="exact"/>
        <w:rPr>
          <w:rFonts w:ascii="Arial" w:cs="Arial" w:eastAsia="Arial" w:hAnsi="Arial"/>
          <w:sz w:val="18"/>
          <w:szCs w:val="18"/>
          <w:color w:val="auto"/>
        </w:rPr>
      </w:pPr>
    </w:p>
    <w:p>
      <w:pPr>
        <w:ind w:left="240" w:right="240" w:firstLine="215"/>
        <w:spacing w:after="0" w:line="265"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73" w:lineRule="exact"/>
        <w:rPr>
          <w:rFonts w:ascii="Arial" w:cs="Arial" w:eastAsia="Arial" w:hAnsi="Arial"/>
          <w:sz w:val="18"/>
          <w:szCs w:val="18"/>
          <w:color w:val="auto"/>
        </w:rPr>
      </w:pPr>
    </w:p>
    <w:p>
      <w:pPr>
        <w:ind w:left="240" w:right="300" w:firstLine="215"/>
        <w:spacing w:after="0" w:line="265" w:lineRule="auto"/>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 or waive any provision that, pursuant to a board resolution or indenture supplemental hereto establishing the terms of one or more series of Securities, is prohibited to be so changed or waived.</w:t>
      </w:r>
    </w:p>
    <w:p>
      <w:pPr>
        <w:spacing w:after="0" w:line="73"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71"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73" w:lineRule="exact"/>
        <w:rPr>
          <w:sz w:val="20"/>
          <w:szCs w:val="20"/>
          <w:color w:val="auto"/>
        </w:rPr>
      </w:pPr>
    </w:p>
    <w:p>
      <w:pPr>
        <w:ind w:right="140" w:firstLine="221"/>
        <w:spacing w:after="0" w:line="271"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72" w:lineRule="exact"/>
        <w:rPr>
          <w:sz w:val="20"/>
          <w:szCs w:val="20"/>
          <w:color w:val="auto"/>
        </w:rPr>
      </w:pPr>
    </w:p>
    <w:p>
      <w:pPr>
        <w:ind w:right="40" w:firstLine="221"/>
        <w:spacing w:after="0" w:line="318"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i w:val="1"/>
          <w:iCs w:val="1"/>
          <w:color w:val="auto"/>
        </w:rPr>
        <w:t>Effect of Supplemental Indenture.</w:t>
      </w:r>
      <w:r>
        <w:rPr>
          <w:rFonts w:ascii="Arial" w:cs="Arial" w:eastAsia="Arial" w:hAnsi="Arial"/>
          <w:sz w:val="15"/>
          <w:szCs w:val="15"/>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deemed to be part of the terms and conditions of this Indenture for any and all purposes.</w:t>
      </w:r>
    </w:p>
    <w:p>
      <w:pPr>
        <w:spacing w:after="0" w:line="111"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83" w:lineRule="exact"/>
        <w:rPr>
          <w:sz w:val="20"/>
          <w:szCs w:val="20"/>
          <w:color w:val="auto"/>
        </w:rPr>
      </w:pPr>
    </w:p>
    <w:p>
      <w:pPr>
        <w:ind w:right="140" w:firstLine="221"/>
        <w:spacing w:after="0" w:line="312"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Notation on Securities in Respect of Supplemental Indentures</w:t>
      </w:r>
      <w:r>
        <w:rPr>
          <w:rFonts w:ascii="Arial" w:cs="Arial" w:eastAsia="Arial" w:hAnsi="Arial"/>
          <w:sz w:val="15"/>
          <w:szCs w:val="15"/>
          <w:color w:val="auto"/>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ONSOLIDATION</w:t>
      </w:r>
      <w:r>
        <w:rPr>
          <w:rFonts w:ascii="Arial" w:cs="Arial" w:eastAsia="Arial" w:hAnsi="Arial"/>
          <w:sz w:val="18"/>
          <w:szCs w:val="18"/>
          <w:color w:val="auto"/>
        </w:rPr>
        <w:t>, M</w:t>
      </w:r>
      <w:r>
        <w:rPr>
          <w:rFonts w:ascii="Arial" w:cs="Arial" w:eastAsia="Arial" w:hAnsi="Arial"/>
          <w:sz w:val="11"/>
          <w:szCs w:val="11"/>
          <w:color w:val="auto"/>
        </w:rPr>
        <w:t>ERGER</w:t>
      </w:r>
      <w:r>
        <w:rPr>
          <w:rFonts w:ascii="Arial" w:cs="Arial" w:eastAsia="Arial" w:hAnsi="Arial"/>
          <w:sz w:val="18"/>
          <w:szCs w:val="18"/>
          <w:color w:val="auto"/>
        </w:rPr>
        <w:t>, S</w:t>
      </w:r>
      <w:r>
        <w:rPr>
          <w:rFonts w:ascii="Arial" w:cs="Arial" w:eastAsia="Arial" w:hAnsi="Arial"/>
          <w:sz w:val="11"/>
          <w:szCs w:val="11"/>
          <w:color w:val="auto"/>
        </w:rPr>
        <w:t>ALE OR</w:t>
      </w:r>
      <w:r>
        <w:rPr>
          <w:rFonts w:ascii="Arial" w:cs="Arial" w:eastAsia="Arial" w:hAnsi="Arial"/>
          <w:sz w:val="18"/>
          <w:szCs w:val="18"/>
          <w:color w:val="auto"/>
        </w:rPr>
        <w:t xml:space="preserve"> C</w:t>
      </w:r>
      <w:r>
        <w:rPr>
          <w:rFonts w:ascii="Arial" w:cs="Arial" w:eastAsia="Arial" w:hAnsi="Arial"/>
          <w:sz w:val="11"/>
          <w:szCs w:val="11"/>
          <w:color w:val="auto"/>
        </w:rPr>
        <w:t>ONVEYANCE</w:t>
      </w:r>
    </w:p>
    <w:p>
      <w:pPr>
        <w:spacing w:after="0" w:line="100" w:lineRule="exact"/>
        <w:rPr>
          <w:sz w:val="20"/>
          <w:szCs w:val="20"/>
          <w:color w:val="auto"/>
        </w:rPr>
      </w:pPr>
    </w:p>
    <w:p>
      <w:pPr>
        <w:ind w:firstLine="221"/>
        <w:spacing w:after="0" w:line="30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Issuer May Consolidate, etc., on Certain Terms.</w:t>
      </w:r>
      <w:r>
        <w:rPr>
          <w:rFonts w:ascii="Arial" w:cs="Arial" w:eastAsia="Arial" w:hAnsi="Arial"/>
          <w:sz w:val="15"/>
          <w:szCs w:val="15"/>
          <w:color w:val="auto"/>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connection with any such merger of the Issuer with a Wholly-Owned Subsidiary, no consideration (other than common stock) in the surviving person or the Issuer shall be issued or distributed to the stockholders of the 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(ii) immediately after giving effect to such transaction, no default or Event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83" w:name="page184"/>
    <w:bookmarkEnd w:id="183"/>
    <w:p>
      <w:pPr>
        <w:ind w:right="20"/>
        <w:spacing w:after="0" w:line="249" w:lineRule="auto"/>
        <w:rPr>
          <w:sz w:val="20"/>
          <w:szCs w:val="20"/>
          <w:color w:val="auto"/>
        </w:rPr>
      </w:pPr>
      <w:r>
        <w:rPr>
          <w:rFonts w:ascii="Arial" w:cs="Arial" w:eastAsia="Arial" w:hAnsi="Arial"/>
          <w:sz w:val="18"/>
          <w:szCs w:val="18"/>
          <w:color w:val="auto"/>
        </w:rPr>
        <w:t xml:space="preserve">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such transaction shall not have as one of its purposes the evasion of the foregoing limitations.</w:t>
      </w:r>
    </w:p>
    <w:p>
      <w:pPr>
        <w:spacing w:after="0" w:line="90" w:lineRule="exact"/>
        <w:rPr>
          <w:sz w:val="20"/>
          <w:szCs w:val="20"/>
          <w:color w:val="auto"/>
        </w:rPr>
      </w:pPr>
    </w:p>
    <w:p>
      <w:pPr>
        <w:ind w:firstLine="221"/>
        <w:spacing w:after="0" w:line="304"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Successor Corporation Substituted.</w:t>
      </w:r>
      <w:r>
        <w:rPr>
          <w:rFonts w:ascii="Arial" w:cs="Arial" w:eastAsia="Arial" w:hAnsi="Arial"/>
          <w:sz w:val="15"/>
          <w:szCs w:val="15"/>
          <w:color w:val="auto"/>
        </w:rPr>
        <w:t xml:space="preserve">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49"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73"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Upon the assumption by the successor Person in the manner described in this Article, the Issuer shall be discharged from all obligations and covenants under this Indenture and the Securities.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ISCHARGE OF</w:t>
      </w:r>
      <w:r>
        <w:rPr>
          <w:rFonts w:ascii="Arial" w:cs="Arial" w:eastAsia="Arial" w:hAnsi="Arial"/>
          <w:sz w:val="18"/>
          <w:szCs w:val="18"/>
          <w:color w:val="auto"/>
        </w:rPr>
        <w:t xml:space="preserve"> I</w:t>
      </w:r>
      <w:r>
        <w:rPr>
          <w:rFonts w:ascii="Arial" w:cs="Arial" w:eastAsia="Arial" w:hAnsi="Arial"/>
          <w:sz w:val="11"/>
          <w:szCs w:val="11"/>
          <w:color w:val="auto"/>
        </w:rPr>
        <w:t>NDENTURE</w:t>
      </w:r>
    </w:p>
    <w:p>
      <w:pPr>
        <w:spacing w:after="0" w:line="100" w:lineRule="exact"/>
        <w:rPr>
          <w:sz w:val="20"/>
          <w:szCs w:val="20"/>
          <w:color w:val="auto"/>
        </w:rPr>
      </w:pPr>
    </w:p>
    <w:p>
      <w:pPr>
        <w:ind w:right="340" w:firstLine="221"/>
        <w:spacing w:after="0" w:line="26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Defeasance Within One Year of Payment</w:t>
      </w:r>
      <w:r>
        <w:rPr>
          <w:rFonts w:ascii="Arial" w:cs="Arial" w:eastAsia="Arial" w:hAnsi="Arial"/>
          <w:sz w:val="18"/>
          <w:szCs w:val="18"/>
          <w:color w:val="auto"/>
        </w:rPr>
        <w:t>. Except as otherwise provided in this Section 9.01, the Issuer may terminate its obligations and the obligations of the Cable Guarantors under the Securities of any series,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Cable Guarantees with respect to Securities of such series and this Indenture with respect to Securities of such series if:</w:t>
      </w:r>
    </w:p>
    <w:p>
      <w:pPr>
        <w:spacing w:after="0" w:line="111" w:lineRule="exact"/>
        <w:rPr>
          <w:sz w:val="20"/>
          <w:szCs w:val="20"/>
          <w:color w:val="auto"/>
        </w:rPr>
      </w:pPr>
    </w:p>
    <w:p>
      <w:pPr>
        <w:ind w:left="240" w:firstLine="215"/>
        <w:spacing w:after="0" w:line="252" w:lineRule="auto"/>
        <w:tabs>
          <w:tab w:leader="none" w:pos="6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85" w:lineRule="exact"/>
        <w:rPr>
          <w:rFonts w:ascii="Arial" w:cs="Arial" w:eastAsia="Arial" w:hAnsi="Arial"/>
          <w:sz w:val="18"/>
          <w:szCs w:val="18"/>
          <w:color w:val="auto"/>
        </w:rPr>
      </w:pPr>
    </w:p>
    <w:p>
      <w:pPr>
        <w:ind w:left="240" w:right="20" w:firstLine="215"/>
        <w:spacing w:after="0" w:line="305" w:lineRule="auto"/>
        <w:tabs>
          <w:tab w:leader="none" w:pos="721"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50" w:lineRule="exact"/>
        <w:rPr>
          <w:sz w:val="20"/>
          <w:szCs w:val="20"/>
          <w:color w:val="auto"/>
        </w:rPr>
      </w:pPr>
    </w:p>
    <w:p>
      <w:pPr>
        <w:ind w:right="60" w:firstLine="218"/>
        <w:spacing w:after="0" w:line="312" w:lineRule="auto"/>
        <w:rPr>
          <w:sz w:val="20"/>
          <w:szCs w:val="20"/>
          <w:color w:val="auto"/>
        </w:rPr>
      </w:pPr>
      <w:r>
        <w:rPr>
          <w:rFonts w:ascii="Arial" w:cs="Arial" w:eastAsia="Arial" w:hAnsi="Arial"/>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46"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Defeasance</w:t>
      </w:r>
      <w:r>
        <w:rPr>
          <w:rFonts w:ascii="Arial" w:cs="Arial" w:eastAsia="Arial" w:hAnsi="Arial"/>
          <w:sz w:val="18"/>
          <w:szCs w:val="18"/>
          <w:color w:val="auto"/>
        </w:rPr>
        <w:t>. Except as provided below, the Issuer will be deemed to have paid and will be discharged from any and all obligations in respect of the Securities of any series and the provisions of this Indenture and the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85" w:name="page186"/>
    <w:bookmarkEnd w:id="185"/>
    <w:p>
      <w:pPr>
        <w:ind w:right="100"/>
        <w:spacing w:after="0" w:line="366" w:lineRule="auto"/>
        <w:rPr>
          <w:sz w:val="20"/>
          <w:szCs w:val="20"/>
          <w:color w:val="auto"/>
        </w:rPr>
      </w:pPr>
      <w:r>
        <w:rPr>
          <w:rFonts w:ascii="Arial" w:cs="Arial" w:eastAsia="Arial" w:hAnsi="Arial"/>
          <w:sz w:val="15"/>
          <w:szCs w:val="15"/>
          <w:color w:val="auto"/>
        </w:rPr>
        <w:t xml:space="preserve">Cable Guarantees will no longer be in effect with respect to the Securities of such series (and the Trustee, at the expense of the Issuer, shall execute instruments in form and substance satisfactory to the Issuer and the Trustee acknowledging the same);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following conditions shall have been satisfied:</w:t>
      </w:r>
    </w:p>
    <w:p>
      <w:pPr>
        <w:spacing w:after="0" w:line="4" w:lineRule="exact"/>
        <w:rPr>
          <w:sz w:val="20"/>
          <w:szCs w:val="20"/>
          <w:color w:val="auto"/>
        </w:rPr>
      </w:pPr>
    </w:p>
    <w:p>
      <w:pPr>
        <w:ind w:left="240" w:right="160" w:firstLine="215"/>
        <w:spacing w:after="0" w:line="249" w:lineRule="auto"/>
        <w:tabs>
          <w:tab w:leader="none" w:pos="67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87" w:lineRule="exact"/>
        <w:rPr>
          <w:rFonts w:ascii="Arial" w:cs="Arial" w:eastAsia="Arial" w:hAnsi="Arial"/>
          <w:sz w:val="18"/>
          <w:szCs w:val="18"/>
          <w:color w:val="auto"/>
        </w:rPr>
      </w:pPr>
    </w:p>
    <w:p>
      <w:pPr>
        <w:ind w:left="240" w:right="640" w:firstLine="215"/>
        <w:spacing w:after="0" w:line="265" w:lineRule="auto"/>
        <w:tabs>
          <w:tab w:leader="none" w:pos="7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73" w:lineRule="exact"/>
        <w:rPr>
          <w:rFonts w:ascii="Arial" w:cs="Arial" w:eastAsia="Arial" w:hAnsi="Arial"/>
          <w:sz w:val="18"/>
          <w:szCs w:val="18"/>
          <w:color w:val="auto"/>
        </w:rPr>
      </w:pPr>
    </w:p>
    <w:p>
      <w:pPr>
        <w:ind w:left="760" w:hanging="305"/>
        <w:spacing w:after="0"/>
        <w:tabs>
          <w:tab w:leader="none" w:pos="7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w:t>
      </w:r>
    </w:p>
    <w:p>
      <w:pPr>
        <w:spacing w:after="0" w:line="122" w:lineRule="exact"/>
        <w:rPr>
          <w:rFonts w:ascii="Arial" w:cs="Arial" w:eastAsia="Arial" w:hAnsi="Arial"/>
          <w:sz w:val="17"/>
          <w:szCs w:val="17"/>
          <w:color w:val="auto"/>
        </w:rPr>
      </w:pPr>
    </w:p>
    <w:p>
      <w:pPr>
        <w:ind w:left="240" w:firstLine="215"/>
        <w:spacing w:after="0" w:line="267" w:lineRule="auto"/>
        <w:tabs>
          <w:tab w:leader="none" w:pos="7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spacing w:after="0" w:line="74" w:lineRule="exact"/>
        <w:rPr>
          <w:rFonts w:ascii="Arial" w:cs="Arial" w:eastAsia="Arial" w:hAnsi="Arial"/>
          <w:sz w:val="17"/>
          <w:szCs w:val="17"/>
          <w:color w:val="auto"/>
        </w:rPr>
      </w:pPr>
    </w:p>
    <w:p>
      <w:pPr>
        <w:ind w:left="240" w:right="200" w:firstLine="215"/>
        <w:spacing w:after="0" w:line="265"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in each case stating that all conditions precedent provided for herein relating to the defeasance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86" w:name="page187"/>
    <w:bookmarkEnd w:id="186"/>
    <w:p>
      <w:pPr>
        <w:ind w:left="240"/>
        <w:spacing w:after="0"/>
        <w:rPr>
          <w:sz w:val="20"/>
          <w:szCs w:val="20"/>
          <w:color w:val="auto"/>
        </w:rPr>
      </w:pPr>
      <w:r>
        <w:rPr>
          <w:rFonts w:ascii="Arial" w:cs="Arial" w:eastAsia="Arial" w:hAnsi="Arial"/>
          <w:sz w:val="18"/>
          <w:szCs w:val="18"/>
          <w:color w:val="auto"/>
        </w:rPr>
        <w:t>contemplated by this Section 9.02 of the Securities of such series have been complied with.</w:t>
      </w:r>
    </w:p>
    <w:p>
      <w:pPr>
        <w:spacing w:after="0" w:line="111" w:lineRule="exact"/>
        <w:rPr>
          <w:sz w:val="20"/>
          <w:szCs w:val="20"/>
          <w:color w:val="auto"/>
        </w:rPr>
      </w:pPr>
    </w:p>
    <w:p>
      <w:pPr>
        <w:ind w:right="20" w:firstLine="218"/>
        <w:spacing w:after="0" w:line="265" w:lineRule="auto"/>
        <w:rPr>
          <w:sz w:val="20"/>
          <w:szCs w:val="20"/>
          <w:color w:val="auto"/>
        </w:rPr>
      </w:pPr>
      <w:r>
        <w:rPr>
          <w:rFonts w:ascii="Arial" w:cs="Arial" w:eastAsia="Arial" w:hAnsi="Arial"/>
          <w:sz w:val="18"/>
          <w:szCs w:val="18"/>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73" w:lineRule="exact"/>
        <w:rPr>
          <w:sz w:val="20"/>
          <w:szCs w:val="20"/>
          <w:color w:val="auto"/>
        </w:rPr>
      </w:pPr>
    </w:p>
    <w:p>
      <w:pPr>
        <w:jc w:val="both"/>
        <w:ind w:firstLine="221"/>
        <w:spacing w:after="0" w:line="252"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Covenant Defeasance</w:t>
      </w:r>
      <w:r>
        <w:rPr>
          <w:rFonts w:ascii="Arial" w:cs="Arial" w:eastAsia="Arial" w:hAnsi="Arial"/>
          <w:sz w:val="18"/>
          <w:szCs w:val="18"/>
          <w:color w:val="auto"/>
        </w:rPr>
        <w:t>.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respect to the outstanding Securities of such series if:</w:t>
      </w:r>
    </w:p>
    <w:p>
      <w:pPr>
        <w:spacing w:after="0" w:line="85" w:lineRule="exact"/>
        <w:rPr>
          <w:sz w:val="20"/>
          <w:szCs w:val="20"/>
          <w:color w:val="auto"/>
        </w:rPr>
      </w:pPr>
    </w:p>
    <w:p>
      <w:pPr>
        <w:ind w:left="240" w:right="40" w:firstLine="215"/>
        <w:spacing w:after="0" w:line="309" w:lineRule="auto"/>
        <w:tabs>
          <w:tab w:leader="none" w:pos="67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46" w:lineRule="exact"/>
        <w:rPr>
          <w:rFonts w:ascii="Arial" w:cs="Arial" w:eastAsia="Arial" w:hAnsi="Arial"/>
          <w:sz w:val="15"/>
          <w:szCs w:val="15"/>
          <w:color w:val="auto"/>
        </w:rPr>
      </w:pPr>
    </w:p>
    <w:p>
      <w:pPr>
        <w:ind w:left="240" w:right="680" w:firstLine="215"/>
        <w:spacing w:after="0" w:line="265" w:lineRule="auto"/>
        <w:tabs>
          <w:tab w:leader="none" w:pos="72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73" w:lineRule="exact"/>
        <w:rPr>
          <w:rFonts w:ascii="Arial" w:cs="Arial" w:eastAsia="Arial" w:hAnsi="Arial"/>
          <w:sz w:val="18"/>
          <w:szCs w:val="18"/>
          <w:color w:val="auto"/>
        </w:rPr>
      </w:pPr>
    </w:p>
    <w:p>
      <w:pPr>
        <w:ind w:left="760" w:hanging="305"/>
        <w:spacing w:after="0"/>
        <w:tabs>
          <w:tab w:leader="none" w:pos="7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w:t>
      </w:r>
    </w:p>
    <w:p>
      <w:pPr>
        <w:spacing w:after="0" w:line="122" w:lineRule="exact"/>
        <w:rPr>
          <w:rFonts w:ascii="Arial" w:cs="Arial" w:eastAsia="Arial" w:hAnsi="Arial"/>
          <w:sz w:val="17"/>
          <w:szCs w:val="17"/>
          <w:color w:val="auto"/>
        </w:rPr>
      </w:pPr>
    </w:p>
    <w:p>
      <w:pPr>
        <w:ind w:left="240" w:right="300" w:firstLine="215"/>
        <w:spacing w:after="0" w:line="277" w:lineRule="auto"/>
        <w:tabs>
          <w:tab w:leader="none" w:pos="7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87" w:name="page188"/>
    <w:bookmarkEnd w:id="187"/>
    <w:p>
      <w:pPr>
        <w:ind w:left="240"/>
        <w:spacing w:after="0"/>
        <w:rPr>
          <w:sz w:val="20"/>
          <w:szCs w:val="20"/>
          <w:color w:val="auto"/>
        </w:rPr>
      </w:pPr>
      <w:r>
        <w:rPr>
          <w:rFonts w:ascii="Arial" w:cs="Arial" w:eastAsia="Arial" w:hAnsi="Arial"/>
          <w:sz w:val="18"/>
          <w:szCs w:val="18"/>
          <w:color w:val="auto"/>
        </w:rPr>
        <w:t>amount and in the same manner and at the same times as would have been the case if such deposit and defeasance had not occurred; and</w:t>
      </w:r>
    </w:p>
    <w:p>
      <w:pPr>
        <w:spacing w:after="0" w:line="111" w:lineRule="exact"/>
        <w:rPr>
          <w:sz w:val="20"/>
          <w:szCs w:val="20"/>
          <w:color w:val="auto"/>
        </w:rPr>
      </w:pPr>
    </w:p>
    <w:p>
      <w:pPr>
        <w:ind w:left="240" w:right="200" w:firstLine="215"/>
        <w:spacing w:after="0" w:line="366" w:lineRule="auto"/>
        <w:tabs>
          <w:tab w:leader="none" w:pos="711"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4"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88" w:lineRule="exact"/>
        <w:rPr>
          <w:sz w:val="20"/>
          <w:szCs w:val="20"/>
          <w:color w:val="auto"/>
        </w:rPr>
      </w:pPr>
    </w:p>
    <w:p>
      <w:pPr>
        <w:ind w:right="80" w:firstLine="221"/>
        <w:spacing w:after="0" w:line="264"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Repayment to Issuer</w:t>
      </w:r>
      <w:r>
        <w:rPr>
          <w:rFonts w:ascii="Arial" w:cs="Arial" w:eastAsia="Arial" w:hAnsi="Arial"/>
          <w:sz w:val="17"/>
          <w:szCs w:val="17"/>
          <w:color w:val="auto"/>
        </w:rPr>
        <w:t xml:space="preserve">.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color w:val="auto"/>
        </w:rPr>
        <w:t>ARTICLE 10</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ISCELLANEOUS</w:t>
      </w:r>
      <w:r>
        <w:rPr>
          <w:rFonts w:ascii="Arial" w:cs="Arial" w:eastAsia="Arial" w:hAnsi="Arial"/>
          <w:sz w:val="18"/>
          <w:szCs w:val="18"/>
          <w:color w:val="auto"/>
        </w:rPr>
        <w:t xml:space="preserve"> P</w:t>
      </w:r>
      <w:r>
        <w:rPr>
          <w:rFonts w:ascii="Arial" w:cs="Arial" w:eastAsia="Arial" w:hAnsi="Arial"/>
          <w:sz w:val="11"/>
          <w:szCs w:val="11"/>
          <w:color w:val="auto"/>
        </w:rPr>
        <w:t>ROVISIONS</w:t>
      </w:r>
    </w:p>
    <w:p>
      <w:pPr>
        <w:spacing w:after="0" w:line="100" w:lineRule="exact"/>
        <w:rPr>
          <w:sz w:val="20"/>
          <w:szCs w:val="20"/>
          <w:color w:val="auto"/>
        </w:rPr>
      </w:pPr>
    </w:p>
    <w:p>
      <w:pPr>
        <w:ind w:right="140" w:firstLine="221"/>
        <w:spacing w:after="0" w:line="309"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i w:val="1"/>
          <w:iCs w:val="1"/>
          <w:color w:val="auto"/>
        </w:rPr>
        <w:t>Incorporators, Stockholders, Officers and Directors Exempt from Individual Liability</w:t>
      </w:r>
      <w:r>
        <w:rPr>
          <w:rFonts w:ascii="Arial" w:cs="Arial" w:eastAsia="Arial" w:hAnsi="Arial"/>
          <w:sz w:val="15"/>
          <w:szCs w:val="15"/>
          <w:color w:val="auto"/>
        </w:rPr>
        <w:t>.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46"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Provisions of Indenture for the Sole Benefit of Parties and Securityholders</w:t>
      </w:r>
      <w:r>
        <w:rPr>
          <w:rFonts w:ascii="Arial" w:cs="Arial" w:eastAsia="Arial" w:hAnsi="Arial"/>
          <w:sz w:val="17"/>
          <w:szCs w:val="17"/>
          <w:color w:val="auto"/>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72"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All the covenants, stipulations, promises and agreements in this Indenture contained by or in behalf of the Issuer shall bind its successors and assigns, whether so expressed or not.</w:t>
      </w:r>
    </w:p>
    <w:p>
      <w:pPr>
        <w:spacing w:after="0" w:line="73"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Notices and Demands on Issuer, Trustee and Securityholders</w:t>
      </w:r>
      <w:r>
        <w:rPr>
          <w:rFonts w:ascii="Arial" w:cs="Arial" w:eastAsia="Arial" w:hAnsi="Arial"/>
          <w:sz w:val="15"/>
          <w:szCs w:val="15"/>
          <w:color w:val="auto"/>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 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46"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Where this Indenture provides for notice to Holders, such notice shall be sufficiently given (unless otherwise herein expressly provided) if in writing and mailed, first-class postage prepaid, to each Holder entitled thereto, at his last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9" w:name="page190"/>
    <w:bookmarkEnd w:id="189"/>
    <w:p>
      <w:pPr>
        <w:ind w:right="160"/>
        <w:spacing w:after="0" w:line="250" w:lineRule="auto"/>
        <w:rPr>
          <w:sz w:val="20"/>
          <w:szCs w:val="20"/>
          <w:color w:val="auto"/>
        </w:rPr>
      </w:pPr>
      <w:r>
        <w:rPr>
          <w:rFonts w:ascii="Arial" w:cs="Arial" w:eastAsia="Arial" w:hAnsi="Arial"/>
          <w:sz w:val="18"/>
          <w:szCs w:val="18"/>
          <w:color w:val="auto"/>
        </w:rPr>
        <w:t>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89"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83" w:lineRule="exact"/>
        <w:rPr>
          <w:sz w:val="20"/>
          <w:szCs w:val="20"/>
          <w:color w:val="auto"/>
        </w:rPr>
      </w:pPr>
    </w:p>
    <w:p>
      <w:pPr>
        <w:ind w:right="100" w:firstLine="221"/>
        <w:spacing w:after="0" w:line="24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90"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90" w:lineRule="exact"/>
        <w:rPr>
          <w:sz w:val="20"/>
          <w:szCs w:val="20"/>
          <w:color w:val="auto"/>
        </w:rPr>
      </w:pPr>
    </w:p>
    <w:p>
      <w:pPr>
        <w:ind w:right="340" w:firstLine="211"/>
        <w:spacing w:after="0" w:line="255" w:lineRule="auto"/>
        <w:rPr>
          <w:sz w:val="20"/>
          <w:szCs w:val="20"/>
          <w:color w:val="auto"/>
        </w:rPr>
      </w:pPr>
      <w:r>
        <w:rPr>
          <w:rFonts w:ascii="Arial" w:cs="Arial" w:eastAsia="Arial" w:hAnsi="Arial"/>
          <w:sz w:val="18"/>
          <w:szCs w:val="18"/>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190" w:name="page191"/>
    <w:bookmarkEnd w:id="190"/>
    <w:p>
      <w:pPr>
        <w:spacing w:after="0" w:line="318" w:lineRule="auto"/>
        <w:rPr>
          <w:sz w:val="20"/>
          <w:szCs w:val="20"/>
          <w:color w:val="auto"/>
        </w:rPr>
      </w:pPr>
      <w:r>
        <w:rPr>
          <w:rFonts w:ascii="Arial" w:cs="Arial" w:eastAsia="Arial" w:hAnsi="Arial"/>
          <w:sz w:val="15"/>
          <w:szCs w:val="15"/>
          <w:color w:val="auto"/>
        </w:rPr>
        <w:t>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40" w:lineRule="exact"/>
        <w:rPr>
          <w:sz w:val="20"/>
          <w:szCs w:val="20"/>
          <w:color w:val="auto"/>
        </w:rPr>
      </w:pPr>
    </w:p>
    <w:p>
      <w:pPr>
        <w:ind w:right="80" w:firstLine="211"/>
        <w:spacing w:after="0" w:line="271"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certificate or opinion of any independent firm of public accountants filed with the Trustee shall contain a statement that such firm is independent.</w:t>
      </w:r>
    </w:p>
    <w:p>
      <w:pPr>
        <w:spacing w:after="0" w:line="123"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85" w:lineRule="exact"/>
        <w:rPr>
          <w:sz w:val="20"/>
          <w:szCs w:val="20"/>
          <w:color w:val="auto"/>
        </w:rPr>
      </w:pPr>
    </w:p>
    <w:p>
      <w:pPr>
        <w:ind w:right="380" w:firstLine="221"/>
        <w:spacing w:after="0" w:line="255"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If and to the extent that any provision of this Indenture limits, qualifies or conflicts with another provision included in this Indenture by operation of Sections 310 to 317, inclusive, of the Trust Indenture Act of 1939 (an “</w:t>
      </w:r>
      <w:r>
        <w:rPr>
          <w:rFonts w:ascii="Arial" w:cs="Arial" w:eastAsia="Arial" w:hAnsi="Arial"/>
          <w:sz w:val="18"/>
          <w:szCs w:val="18"/>
          <w:b w:val="1"/>
          <w:bCs w:val="1"/>
          <w:color w:val="auto"/>
        </w:rPr>
        <w:t>incorporated provision</w:t>
      </w:r>
      <w:r>
        <w:rPr>
          <w:rFonts w:ascii="Arial" w:cs="Arial" w:eastAsia="Arial" w:hAnsi="Arial"/>
          <w:sz w:val="18"/>
          <w:szCs w:val="18"/>
          <w:color w:val="auto"/>
        </w:rPr>
        <w:t>”), such incorporated provision shall control.</w:t>
      </w:r>
    </w:p>
    <w:p>
      <w:pPr>
        <w:spacing w:after="0" w:line="8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This Indenture, including any Cable Guarantee, and each Security shall be deemed to be a contract under the laws of the State of New York, and for all purposes shall be construed in accordance with the laws of such State.</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1" w:name="page192"/>
    <w:bookmarkEnd w:id="191"/>
    <w:p>
      <w:pPr>
        <w:ind w:right="560" w:firstLine="221"/>
        <w:spacing w:after="0" w:line="265"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Effect of Headings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EDEMPTION OF</w:t>
      </w:r>
      <w:r>
        <w:rPr>
          <w:rFonts w:ascii="Arial" w:cs="Arial" w:eastAsia="Arial" w:hAnsi="Arial"/>
          <w:sz w:val="18"/>
          <w:szCs w:val="18"/>
          <w:color w:val="auto"/>
        </w:rPr>
        <w:t xml:space="preserve"> S</w:t>
      </w:r>
      <w:r>
        <w:rPr>
          <w:rFonts w:ascii="Arial" w:cs="Arial" w:eastAsia="Arial" w:hAnsi="Arial"/>
          <w:sz w:val="11"/>
          <w:szCs w:val="11"/>
          <w:color w:val="auto"/>
        </w:rPr>
        <w:t>ECURITIES AND</w:t>
      </w:r>
      <w:r>
        <w:rPr>
          <w:rFonts w:ascii="Arial" w:cs="Arial" w:eastAsia="Arial" w:hAnsi="Arial"/>
          <w:sz w:val="18"/>
          <w:szCs w:val="18"/>
          <w:color w:val="auto"/>
        </w:rPr>
        <w:t xml:space="preserve"> S</w:t>
      </w:r>
      <w:r>
        <w:rPr>
          <w:rFonts w:ascii="Arial" w:cs="Arial" w:eastAsia="Arial" w:hAnsi="Arial"/>
          <w:sz w:val="11"/>
          <w:szCs w:val="11"/>
          <w:color w:val="auto"/>
        </w:rPr>
        <w:t>INKING</w:t>
      </w:r>
      <w:r>
        <w:rPr>
          <w:rFonts w:ascii="Arial" w:cs="Arial" w:eastAsia="Arial" w:hAnsi="Arial"/>
          <w:sz w:val="18"/>
          <w:szCs w:val="18"/>
          <w:color w:val="auto"/>
        </w:rPr>
        <w:t xml:space="preserve"> F</w:t>
      </w:r>
      <w:r>
        <w:rPr>
          <w:rFonts w:ascii="Arial" w:cs="Arial" w:eastAsia="Arial" w:hAnsi="Arial"/>
          <w:sz w:val="11"/>
          <w:szCs w:val="11"/>
          <w:color w:val="auto"/>
        </w:rPr>
        <w:t>UNDS</w:t>
      </w:r>
    </w:p>
    <w:p>
      <w:pPr>
        <w:spacing w:after="0" w:line="100" w:lineRule="exact"/>
        <w:rPr>
          <w:sz w:val="20"/>
          <w:szCs w:val="20"/>
          <w:color w:val="auto"/>
        </w:rPr>
      </w:pPr>
    </w:p>
    <w:p>
      <w:pPr>
        <w:ind w:right="220" w:firstLine="221"/>
        <w:spacing w:after="0" w:line="255"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83" w:lineRule="exact"/>
        <w:rPr>
          <w:sz w:val="20"/>
          <w:szCs w:val="20"/>
          <w:color w:val="auto"/>
        </w:rPr>
      </w:pPr>
    </w:p>
    <w:p>
      <w:pPr>
        <w:ind w:right="220" w:firstLine="221"/>
        <w:spacing w:after="0" w:line="303"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Notice of Redemption; Partial Redemptions</w:t>
      </w:r>
      <w:r>
        <w:rPr>
          <w:rFonts w:ascii="Arial" w:cs="Arial" w:eastAsia="Arial" w:hAnsi="Arial"/>
          <w:sz w:val="15"/>
          <w:szCs w:val="15"/>
          <w:color w:val="auto"/>
        </w:rPr>
        <w:t>. Notice of redemption to the Holders of Securities of any series to be redeemed as a whole or in part at the option of the Issuer shall be given by mailing notice of such redemption by first class mail, postage prepaid, at least 30 days and not more than</w:t>
      </w:r>
    </w:p>
    <w:p>
      <w:pPr>
        <w:spacing w:after="0" w:line="247" w:lineRule="auto"/>
        <w:rPr>
          <w:sz w:val="20"/>
          <w:szCs w:val="20"/>
          <w:color w:val="auto"/>
        </w:rPr>
      </w:pPr>
      <w:r>
        <w:rPr>
          <w:rFonts w:ascii="Arial" w:cs="Arial" w:eastAsia="Arial" w:hAnsi="Arial"/>
          <w:sz w:val="18"/>
          <w:szCs w:val="18"/>
          <w:color w:val="auto"/>
        </w:rPr>
        <w:t>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91" w:lineRule="exact"/>
        <w:rPr>
          <w:sz w:val="20"/>
          <w:szCs w:val="20"/>
          <w:color w:val="auto"/>
        </w:rPr>
      </w:pPr>
    </w:p>
    <w:p>
      <w:pPr>
        <w:jc w:val="both"/>
        <w:ind w:firstLine="218"/>
        <w:spacing w:after="0" w:line="297" w:lineRule="auto"/>
        <w:rPr>
          <w:sz w:val="20"/>
          <w:szCs w:val="20"/>
          <w:color w:val="auto"/>
        </w:rPr>
      </w:pPr>
      <w:r>
        <w:rPr>
          <w:rFonts w:ascii="Arial" w:cs="Arial" w:eastAsia="Arial" w:hAnsi="Arial"/>
          <w:sz w:val="15"/>
          <w:szCs w:val="15"/>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92" w:name="page193"/>
    <w:bookmarkEnd w:id="192"/>
    <w:p>
      <w:pPr>
        <w:ind w:right="200" w:firstLine="218"/>
        <w:spacing w:after="0" w:line="265"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73" w:lineRule="exact"/>
        <w:rPr>
          <w:sz w:val="20"/>
          <w:szCs w:val="20"/>
          <w:color w:val="auto"/>
        </w:rPr>
      </w:pPr>
    </w:p>
    <w:p>
      <w:pPr>
        <w:ind w:right="220" w:firstLine="221"/>
        <w:spacing w:after="0" w:line="267" w:lineRule="auto"/>
        <w:rPr>
          <w:sz w:val="20"/>
          <w:szCs w:val="20"/>
          <w:color w:val="auto"/>
        </w:rPr>
      </w:pPr>
      <w:r>
        <w:rPr>
          <w:rFonts w:ascii="Arial" w:cs="Arial" w:eastAsia="Arial" w:hAnsi="Arial"/>
          <w:sz w:val="17"/>
          <w:szCs w:val="17"/>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74" w:lineRule="exact"/>
        <w:rPr>
          <w:sz w:val="20"/>
          <w:szCs w:val="20"/>
          <w:color w:val="auto"/>
        </w:rPr>
      </w:pPr>
    </w:p>
    <w:p>
      <w:pPr>
        <w:ind w:right="500" w:firstLine="221"/>
        <w:spacing w:after="0" w:line="265" w:lineRule="auto"/>
        <w:rPr>
          <w:sz w:val="20"/>
          <w:szCs w:val="20"/>
          <w:color w:val="auto"/>
        </w:rPr>
      </w:pPr>
      <w:r>
        <w:rPr>
          <w:rFonts w:ascii="Arial" w:cs="Arial" w:eastAsia="Arial" w:hAnsi="Arial"/>
          <w:sz w:val="18"/>
          <w:szCs w:val="18"/>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73"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46"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3" w:name="page194"/>
    <w:bookmarkEnd w:id="193"/>
    <w:p>
      <w:pPr>
        <w:spacing w:after="0" w:line="250" w:lineRule="auto"/>
        <w:rPr>
          <w:sz w:val="20"/>
          <w:szCs w:val="20"/>
          <w:color w:val="auto"/>
        </w:rPr>
      </w:pPr>
      <w:r>
        <w:rPr>
          <w:rFonts w:ascii="Arial" w:cs="Arial" w:eastAsia="Arial" w:hAnsi="Arial"/>
          <w:sz w:val="18"/>
          <w:szCs w:val="18"/>
          <w:color w:val="auto"/>
        </w:rPr>
        <w:t>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89" w:lineRule="exact"/>
        <w:rPr>
          <w:sz w:val="20"/>
          <w:szCs w:val="20"/>
          <w:color w:val="auto"/>
        </w:rPr>
      </w:pPr>
    </w:p>
    <w:p>
      <w:pPr>
        <w:ind w:right="140" w:firstLine="221"/>
        <w:spacing w:after="0" w:line="366" w:lineRule="auto"/>
        <w:rPr>
          <w:sz w:val="20"/>
          <w:szCs w:val="20"/>
          <w:color w:val="auto"/>
        </w:rPr>
      </w:pPr>
      <w:r>
        <w:rPr>
          <w:rFonts w:ascii="Arial" w:cs="Arial" w:eastAsia="Arial" w:hAnsi="Arial"/>
          <w:sz w:val="15"/>
          <w:szCs w:val="15"/>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4" w:lineRule="exact"/>
        <w:rPr>
          <w:sz w:val="20"/>
          <w:szCs w:val="20"/>
          <w:color w:val="auto"/>
        </w:rPr>
      </w:pPr>
    </w:p>
    <w:p>
      <w:pPr>
        <w:ind w:right="460" w:firstLine="221"/>
        <w:spacing w:after="0" w:line="255"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83" w:lineRule="exact"/>
        <w:rPr>
          <w:sz w:val="20"/>
          <w:szCs w:val="20"/>
          <w:color w:val="auto"/>
        </w:rPr>
      </w:pPr>
    </w:p>
    <w:p>
      <w:pPr>
        <w:ind w:right="180" w:firstLine="221"/>
        <w:spacing w:after="0" w:line="250"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89"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lieu of making all or any part of any mandatory sinking fund payment with respect to any series of Securities in cash, the Issuer may at its option</w:t>
      </w:r>
    </w:p>
    <w:p>
      <w:pPr>
        <w:spacing w:after="0" w:line="28" w:lineRule="exact"/>
        <w:rPr>
          <w:sz w:val="20"/>
          <w:szCs w:val="20"/>
          <w:color w:val="auto"/>
        </w:rPr>
      </w:pPr>
    </w:p>
    <w:p>
      <w:pPr>
        <w:ind w:right="40" w:firstLine="6"/>
        <w:spacing w:after="0" w:line="251" w:lineRule="auto"/>
        <w:tabs>
          <w:tab w:leader="none" w:pos="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deliver to the Trustee Securities of such series theretofore purchased or otherwise acquired (except upon redemption pursuant to the mandatory sinking fund) by the Issuer or receive credit for Securities of such series (not previously so credited)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94" w:name="page195"/>
    <w:bookmarkEnd w:id="194"/>
    <w:p>
      <w:pPr>
        <w:ind w:right="60"/>
        <w:spacing w:after="0" w:line="271" w:lineRule="auto"/>
        <w:rPr>
          <w:sz w:val="20"/>
          <w:szCs w:val="20"/>
          <w:color w:val="auto"/>
        </w:rPr>
      </w:pPr>
      <w:r>
        <w:rPr>
          <w:rFonts w:ascii="Arial" w:cs="Arial" w:eastAsia="Arial" w:hAnsi="Arial"/>
          <w:sz w:val="17"/>
          <w:szCs w:val="17"/>
          <w:color w:val="auto"/>
        </w:rPr>
        <w:t>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or before the sixtieth day next preceding each sinking fund payment date for any series, the Issuer will deliver to the Trustee an Officers’ Certificate</w:t>
      </w:r>
    </w:p>
    <w:p>
      <w:pPr>
        <w:spacing w:after="0" w:line="51" w:lineRule="exact"/>
        <w:rPr>
          <w:sz w:val="20"/>
          <w:szCs w:val="20"/>
          <w:color w:val="auto"/>
        </w:rPr>
      </w:pPr>
    </w:p>
    <w:p>
      <w:pPr>
        <w:ind w:firstLine="6"/>
        <w:spacing w:after="0" w:line="300" w:lineRule="auto"/>
        <w:tabs>
          <w:tab w:leader="none" w:pos="24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265" w:lineRule="exact"/>
        <w:rPr>
          <w:sz w:val="20"/>
          <w:szCs w:val="20"/>
          <w:color w:val="auto"/>
        </w:rPr>
      </w:pPr>
    </w:p>
    <w:p>
      <w:pPr>
        <w:ind w:right="60" w:firstLine="221"/>
        <w:spacing w:after="0" w:line="318" w:lineRule="auto"/>
        <w:rPr>
          <w:sz w:val="20"/>
          <w:szCs w:val="20"/>
          <w:color w:val="auto"/>
        </w:rPr>
      </w:pPr>
      <w:r>
        <w:rPr>
          <w:rFonts w:ascii="Arial" w:cs="Arial" w:eastAsia="Arial" w:hAnsi="Arial"/>
          <w:sz w:val="15"/>
          <w:szCs w:val="15"/>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95" w:name="page196"/>
    <w:bookmarkEnd w:id="195"/>
    <w:p>
      <w:pPr>
        <w:spacing w:after="0" w:line="301" w:lineRule="auto"/>
        <w:rPr>
          <w:sz w:val="20"/>
          <w:szCs w:val="20"/>
          <w:color w:val="auto"/>
        </w:rPr>
      </w:pPr>
      <w:r>
        <w:rPr>
          <w:rFonts w:ascii="Arial" w:cs="Arial" w:eastAsia="Arial" w:hAnsi="Arial"/>
          <w:sz w:val="15"/>
          <w:szCs w:val="15"/>
          <w:color w:val="auto"/>
        </w:rPr>
        <w:t>Issuer makes no such request then it shall be carried over until a sum in excess of $50,000 is available together with accrued interest to the date fixed for redemption. The Trustee shall select, in the manner provided in Section 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68" w:lineRule="exact"/>
        <w:rPr>
          <w:sz w:val="20"/>
          <w:szCs w:val="20"/>
          <w:color w:val="auto"/>
        </w:rPr>
      </w:pPr>
    </w:p>
    <w:p>
      <w:pPr>
        <w:ind w:right="100" w:firstLine="211"/>
        <w:spacing w:after="0" w:line="294" w:lineRule="auto"/>
        <w:rPr>
          <w:sz w:val="20"/>
          <w:szCs w:val="20"/>
          <w:color w:val="auto"/>
        </w:rPr>
      </w:pPr>
      <w:r>
        <w:rPr>
          <w:rFonts w:ascii="Arial" w:cs="Arial" w:eastAsia="Arial" w:hAnsi="Arial"/>
          <w:sz w:val="17"/>
          <w:szCs w:val="17"/>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51" w:lineRule="exact"/>
        <w:rPr>
          <w:sz w:val="20"/>
          <w:szCs w:val="20"/>
          <w:color w:val="auto"/>
        </w:rPr>
      </w:pPr>
    </w:p>
    <w:p>
      <w:pPr>
        <w:ind w:right="20" w:firstLine="218"/>
        <w:spacing w:after="0" w:line="266"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6" w:name="page197"/>
    <w:bookmarkEnd w:id="196"/>
    <w:p>
      <w:pPr>
        <w:spacing w:after="0" w:line="252" w:lineRule="auto"/>
        <w:rPr>
          <w:sz w:val="20"/>
          <w:szCs w:val="20"/>
          <w:color w:val="auto"/>
        </w:rPr>
      </w:pPr>
      <w:r>
        <w:rPr>
          <w:rFonts w:ascii="Arial" w:cs="Arial" w:eastAsia="Arial" w:hAnsi="Arial"/>
          <w:sz w:val="18"/>
          <w:szCs w:val="18"/>
          <w:color w:val="auto"/>
        </w:rPr>
        <w:t>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85" w:lineRule="exact"/>
        <w:rPr>
          <w:sz w:val="20"/>
          <w:szCs w:val="20"/>
          <w:color w:val="auto"/>
        </w:rPr>
      </w:pPr>
    </w:p>
    <w:p>
      <w:pPr>
        <w:ind w:right="20" w:firstLine="221"/>
        <w:spacing w:after="0" w:line="299" w:lineRule="auto"/>
        <w:rPr>
          <w:sz w:val="20"/>
          <w:szCs w:val="20"/>
          <w:color w:val="auto"/>
        </w:rPr>
      </w:pPr>
      <w:r>
        <w:rPr>
          <w:rFonts w:ascii="Arial" w:cs="Arial" w:eastAsia="Arial" w:hAnsi="Arial"/>
          <w:sz w:val="15"/>
          <w:szCs w:val="15"/>
          <w:color w:val="auto"/>
        </w:rPr>
        <w:t xml:space="preserve">Section 11.06. </w:t>
      </w:r>
      <w:r>
        <w:rPr>
          <w:rFonts w:ascii="Arial" w:cs="Arial" w:eastAsia="Arial" w:hAnsi="Arial"/>
          <w:sz w:val="15"/>
          <w:szCs w:val="15"/>
          <w:i w:val="1"/>
          <w:iCs w:val="1"/>
          <w:color w:val="auto"/>
        </w:rPr>
        <w:t>Conversion Arrangement on Call for Redemption</w:t>
      </w:r>
      <w:r>
        <w:rPr>
          <w:rFonts w:ascii="Arial" w:cs="Arial" w:eastAsia="Arial" w:hAnsi="Arial"/>
          <w:sz w:val="15"/>
          <w:szCs w:val="15"/>
          <w:color w:val="auto"/>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13)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color w:val="auto"/>
        </w:rPr>
        <w:t>ARTICLE 12</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UBORDINATION OF</w:t>
      </w:r>
      <w:r>
        <w:rPr>
          <w:rFonts w:ascii="Arial" w:cs="Arial" w:eastAsia="Arial" w:hAnsi="Arial"/>
          <w:sz w:val="18"/>
          <w:szCs w:val="18"/>
          <w:color w:val="auto"/>
        </w:rPr>
        <w:t xml:space="preserve"> S</w:t>
      </w:r>
      <w:r>
        <w:rPr>
          <w:rFonts w:ascii="Arial" w:cs="Arial" w:eastAsia="Arial" w:hAnsi="Arial"/>
          <w:sz w:val="11"/>
          <w:szCs w:val="11"/>
          <w:color w:val="auto"/>
        </w:rPr>
        <w:t>ECURITIES</w:t>
      </w:r>
    </w:p>
    <w:p>
      <w:pPr>
        <w:spacing w:after="0" w:line="100"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Agreement of Subordination</w:t>
      </w:r>
      <w:r>
        <w:rPr>
          <w:rFonts w:ascii="Arial" w:cs="Arial" w:eastAsia="Arial" w:hAnsi="Arial"/>
          <w:sz w:val="18"/>
          <w:szCs w:val="18"/>
          <w:color w:val="auto"/>
        </w:rPr>
        <w:t>. The Issuer covenants and agrees, and each holder of Securities issued hereunder by his acceptance thereof likewise covenants and agrees, that all Securities shall be issued subject to the provisions of this Article 12; and each Securityholder, whether upon original issue or upon transfer or assignment thereof, accepts and agrees to be bound by such provisions.</w:t>
      </w:r>
    </w:p>
    <w:p>
      <w:pPr>
        <w:spacing w:after="0" w:line="83" w:lineRule="exact"/>
        <w:rPr>
          <w:sz w:val="20"/>
          <w:szCs w:val="20"/>
          <w:color w:val="auto"/>
        </w:rPr>
      </w:pPr>
    </w:p>
    <w:p>
      <w:pPr>
        <w:ind w:right="20" w:firstLine="218"/>
        <w:spacing w:after="0" w:line="255" w:lineRule="auto"/>
        <w:rPr>
          <w:sz w:val="20"/>
          <w:szCs w:val="20"/>
          <w:color w:val="auto"/>
        </w:rPr>
      </w:pPr>
      <w:r>
        <w:rPr>
          <w:rFonts w:ascii="Arial" w:cs="Arial" w:eastAsia="Arial" w:hAnsi="Arial"/>
          <w:sz w:val="18"/>
          <w:szCs w:val="18"/>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83" w:lineRule="exact"/>
        <w:rPr>
          <w:sz w:val="20"/>
          <w:szCs w:val="20"/>
          <w:color w:val="auto"/>
        </w:rPr>
      </w:pPr>
    </w:p>
    <w:p>
      <w:pPr>
        <w:ind w:right="360" w:firstLine="218"/>
        <w:spacing w:after="0" w:line="255" w:lineRule="auto"/>
        <w:rPr>
          <w:sz w:val="20"/>
          <w:szCs w:val="20"/>
          <w:color w:val="auto"/>
        </w:rPr>
      </w:pPr>
      <w:r>
        <w:rPr>
          <w:rFonts w:ascii="Arial" w:cs="Arial" w:eastAsia="Arial" w:hAnsi="Arial"/>
          <w:sz w:val="18"/>
          <w:szCs w:val="18"/>
          <w:color w:val="auto"/>
        </w:rPr>
        <w:t>The provisions of this Article 12 define the subordination of the Securities, as obligations of the Company, with respect to Senior Indebtedness of the Company, as defined for the Company. All such provisions shall also be deemed to apply in the same way (mutatis mutandis) to each Cable Guarantor, with appropriate corresponding references to the Senior Indebtedness of such Cable Guarantor.</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provision of this Article 12 shall prevent the occurrence of any default or Event of Default hereunder.</w:t>
      </w:r>
    </w:p>
    <w:p>
      <w:pPr>
        <w:spacing w:after="0" w:line="111" w:lineRule="exact"/>
        <w:rPr>
          <w:sz w:val="20"/>
          <w:szCs w:val="20"/>
          <w:color w:val="auto"/>
        </w:rPr>
      </w:pPr>
    </w:p>
    <w:p>
      <w:pPr>
        <w:ind w:right="40" w:firstLine="221"/>
        <w:spacing w:after="0" w:line="249"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Payments to Securityholders</w:t>
      </w:r>
      <w:r>
        <w:rPr>
          <w:rFonts w:ascii="Arial" w:cs="Arial" w:eastAsia="Arial" w:hAnsi="Arial"/>
          <w:sz w:val="18"/>
          <w:szCs w:val="18"/>
          <w:color w:val="auto"/>
        </w:rPr>
        <w:t>.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premium, if any, or interest on the Securities, except sinking fund payments made by the acquisition of Securities under Section 11.05 prior to the happening of such default and payments made pursuant to Article 9 hereof from monies deposited with the Trustee pursuant thereto prior to the happening of such default.</w:t>
      </w:r>
    </w:p>
    <w:p>
      <w:pPr>
        <w:spacing w:after="0" w:line="90"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98" w:name="page199"/>
    <w:bookmarkEnd w:id="198"/>
    <w:p>
      <w:pPr>
        <w:spacing w:after="0" w:line="263" w:lineRule="auto"/>
        <w:rPr>
          <w:sz w:val="20"/>
          <w:szCs w:val="20"/>
          <w:color w:val="auto"/>
        </w:rPr>
      </w:pPr>
      <w:r>
        <w:rPr>
          <w:rFonts w:ascii="Arial" w:cs="Arial" w:eastAsia="Arial" w:hAnsi="Arial"/>
          <w:sz w:val="17"/>
          <w:szCs w:val="17"/>
          <w:color w:val="auto"/>
        </w:rPr>
        <w:t>principal (and premium, if any) or interest on the Securities (except payments made pursuant to Article 9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and kind or character, whether in cash, property or securities, to which the holders of the Securities or the Trustee would be entitled, except for the provisions of this Article 12,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83" w:lineRule="exact"/>
        <w:rPr>
          <w:sz w:val="20"/>
          <w:szCs w:val="20"/>
          <w:color w:val="auto"/>
        </w:rPr>
      </w:pPr>
    </w:p>
    <w:p>
      <w:pPr>
        <w:ind w:right="20" w:firstLine="221"/>
        <w:spacing w:after="0" w:line="265" w:lineRule="auto"/>
        <w:rPr>
          <w:sz w:val="20"/>
          <w:szCs w:val="20"/>
          <w:color w:val="auto"/>
        </w:rPr>
      </w:pPr>
      <w:r>
        <w:rPr>
          <w:rFonts w:ascii="Arial" w:cs="Arial" w:eastAsia="Arial" w:hAnsi="Arial"/>
          <w:sz w:val="17"/>
          <w:szCs w:val="17"/>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77"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 xml:space="preserve">For purposes of this Article 12,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12 with respect to the Securities to the payment of all Senior Indebtedness of the Issuer which may at the time be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Senior Indebtedness of the Issuer is assumed 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9" w:name="page200"/>
    <w:bookmarkEnd w:id="199"/>
    <w:p>
      <w:pPr>
        <w:ind w:right="160"/>
        <w:spacing w:after="0" w:line="266" w:lineRule="auto"/>
        <w:rPr>
          <w:sz w:val="20"/>
          <w:szCs w:val="20"/>
          <w:color w:val="auto"/>
        </w:rPr>
      </w:pPr>
      <w:r>
        <w:rPr>
          <w:rFonts w:ascii="Arial" w:cs="Arial" w:eastAsia="Arial" w:hAnsi="Arial"/>
          <w:sz w:val="17"/>
          <w:szCs w:val="17"/>
          <w:color w:val="auto"/>
        </w:rPr>
        <w:t>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8 hereof. Nothing in this Section 12.02 shall apply to claims of, or payments to, the Trustee under or pursuant to Section 5.06.</w:t>
      </w:r>
    </w:p>
    <w:p>
      <w:pPr>
        <w:spacing w:after="0" w:line="75" w:lineRule="exact"/>
        <w:rPr>
          <w:sz w:val="20"/>
          <w:szCs w:val="20"/>
          <w:color w:val="auto"/>
        </w:rPr>
      </w:pPr>
    </w:p>
    <w:p>
      <w:pPr>
        <w:ind w:firstLine="221"/>
        <w:spacing w:after="0" w:line="298"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Subrogation of Securities</w:t>
      </w:r>
      <w:r>
        <w:rPr>
          <w:rFonts w:ascii="Arial" w:cs="Arial" w:eastAsia="Arial" w:hAnsi="Arial"/>
          <w:sz w:val="15"/>
          <w:szCs w:val="15"/>
          <w:color w:val="auto"/>
        </w:rPr>
        <w:t>.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premium, if any) and interest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12 no payment over pursuant to the provisions of this</w:t>
      </w:r>
    </w:p>
    <w:p>
      <w:pPr>
        <w:spacing w:after="0" w:line="1"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Article 12,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12 are and are intended solely for the purpose of defining the relative rights of the holders of the Securities, on the one hand, and the holders of the Senior Indebtedness of the Issuer, on the other hand.</w:t>
      </w:r>
    </w:p>
    <w:p>
      <w:pPr>
        <w:spacing w:after="0" w:line="44" w:lineRule="exact"/>
        <w:rPr>
          <w:sz w:val="20"/>
          <w:szCs w:val="20"/>
          <w:color w:val="auto"/>
        </w:rPr>
      </w:pPr>
    </w:p>
    <w:p>
      <w:pPr>
        <w:ind w:right="100" w:firstLine="221"/>
        <w:spacing w:after="0" w:line="309" w:lineRule="auto"/>
        <w:rPr>
          <w:sz w:val="20"/>
          <w:szCs w:val="20"/>
          <w:color w:val="auto"/>
        </w:rPr>
      </w:pPr>
      <w:r>
        <w:rPr>
          <w:rFonts w:ascii="Arial" w:cs="Arial" w:eastAsia="Arial" w:hAnsi="Arial"/>
          <w:sz w:val="15"/>
          <w:szCs w:val="15"/>
          <w:color w:val="auto"/>
        </w:rPr>
        <w:t>Nothing contained in this Article 12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12 of the holders of Senior Indebtedness of the Issuer in respect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of cash, property or securities of the Issuer received upon the exercise of any such remedy.</w:t>
      </w:r>
    </w:p>
    <w:p>
      <w:pPr>
        <w:spacing w:after="0" w:line="111"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Upon any payment or distribution of assets of the Issuer referred to in this Article 12,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12.</w:t>
      </w:r>
    </w:p>
    <w:p>
      <w:pPr>
        <w:spacing w:after="0" w:line="74"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Each holder of a Security by his acceptance thereof authorizes and directs the Trustee in his behalf to take such action as may be necessary or appropriate to effectuate the subordination provided in this Article 12 appoints the Trustee his attorney-in-fact for any and all such purposes.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12.05. </w:t>
      </w:r>
      <w:r>
        <w:rPr>
          <w:rFonts w:ascii="Arial" w:cs="Arial" w:eastAsia="Arial" w:hAnsi="Arial"/>
          <w:sz w:val="15"/>
          <w:szCs w:val="15"/>
          <w:i w:val="1"/>
          <w:iCs w:val="1"/>
          <w:color w:val="auto"/>
        </w:rPr>
        <w:t>Notice to Trustee</w:t>
      </w:r>
      <w:r>
        <w:rPr>
          <w:rFonts w:ascii="Arial" w:cs="Arial" w:eastAsia="Arial" w:hAnsi="Arial"/>
          <w:sz w:val="15"/>
          <w:szCs w:val="15"/>
          <w:color w:val="auto"/>
        </w:rPr>
        <w:t>. The Issuer shall give promptly written notice to a Responsible Officer of the Trustee of any fact known to the Issuer which</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would prohibit the making of any payment of monies to or by the Trustee in respect of the Securities pursuant to the provisions of this Article 12.</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provisions of this Article 12 or any other provision of this Indenture, the Trustee shall not be charged with knowledge of the existence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any facts which would prohibit the making of any payment of monies to or by the Trustee in respect of the Securities pursuant to the provisions of this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Article 12, unless and until a Responsible Officer of the Trustee shall have received written notice thereof at the Corporate Trust Office of the Trustee from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Issuer or a holder or holders of Senior Indebtedness or from any trustee therefor; and before the receipt of any such written notice, the Trustee, subject to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provisions of Section 5.01, shall be entitled in all respects to assume that no such facts exist;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on a date not fewer than three Business Days prior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the date upon which by the terms hereof any such monies may become payable for any purpose (including, without limitation, the payment of the principal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(or premium, if any) or interest on any Security) the Trustee shall not have received, with respect to such monies, the notice provided for in this Section 12.05,</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then, anything herein contained to the contrary notwithstanding, the Trustee shall have full power and authority to receive such monies and to apply the same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purpose for which they were received, and shall not be affected by any notice to the contrary which may be received by it on or after such prior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01" w:name="page202"/>
    <w:bookmarkEnd w:id="201"/>
    <w:p>
      <w:pPr>
        <w:ind w:right="240" w:firstLine="221"/>
        <w:spacing w:after="0" w:line="330" w:lineRule="auto"/>
        <w:rPr>
          <w:sz w:val="20"/>
          <w:szCs w:val="20"/>
          <w:color w:val="auto"/>
        </w:rPr>
      </w:pPr>
      <w:r>
        <w:rPr>
          <w:rFonts w:ascii="Arial" w:cs="Arial" w:eastAsia="Arial" w:hAnsi="Arial"/>
          <w:sz w:val="15"/>
          <w:szCs w:val="15"/>
          <w:color w:val="auto"/>
        </w:rPr>
        <w:t>Notwithstanding anything to the contrary hereinbefore set forth, nothing shall prevent any payment by the Issuer or the Trustee to the Securityholders of monies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spacing w:after="0" w:line="31"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12,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12, and if such evidence is not furnished the Trustee may defer any payment to such Person pending judicial determination as to the right of such Person to receive such payment.</w:t>
      </w:r>
    </w:p>
    <w:p>
      <w:pPr>
        <w:spacing w:after="0" w:line="77"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The Trustee in its individual capacity shall be entitled to all the rights set forth in this Article 12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83" w:lineRule="exact"/>
        <w:rPr>
          <w:sz w:val="20"/>
          <w:szCs w:val="20"/>
          <w:color w:val="auto"/>
        </w:rPr>
      </w:pPr>
    </w:p>
    <w:p>
      <w:pPr>
        <w:ind w:right="40" w:firstLine="218"/>
        <w:spacing w:after="0" w:line="312" w:lineRule="auto"/>
        <w:rPr>
          <w:sz w:val="20"/>
          <w:szCs w:val="20"/>
          <w:color w:val="auto"/>
        </w:rPr>
      </w:pPr>
      <w:r>
        <w:rPr>
          <w:rFonts w:ascii="Arial" w:cs="Arial" w:eastAsia="Arial" w:hAnsi="Arial"/>
          <w:sz w:val="15"/>
          <w:szCs w:val="15"/>
          <w:color w:val="auto"/>
        </w:rPr>
        <w:t>With respect to the holders of Senior Indebtedness of the Issuer, the Trustee undertakes to perform or to observe only such of its covenants and obligations as are specifically set forth in this Article 12,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12 or otherwise.</w:t>
      </w:r>
    </w:p>
    <w:p>
      <w:pPr>
        <w:spacing w:after="0" w:line="46" w:lineRule="exact"/>
        <w:rPr>
          <w:sz w:val="20"/>
          <w:szCs w:val="20"/>
          <w:color w:val="auto"/>
        </w:rPr>
      </w:pPr>
    </w:p>
    <w:p>
      <w:pPr>
        <w:ind w:right="120" w:firstLine="221"/>
        <w:spacing w:after="0" w:line="366" w:lineRule="auto"/>
        <w:rPr>
          <w:sz w:val="20"/>
          <w:szCs w:val="20"/>
          <w:color w:val="auto"/>
        </w:rPr>
      </w:pPr>
      <w:r>
        <w:rPr>
          <w:rFonts w:ascii="Arial" w:cs="Arial" w:eastAsia="Arial" w:hAnsi="Arial"/>
          <w:sz w:val="15"/>
          <w:szCs w:val="15"/>
          <w:color w:val="auto"/>
        </w:rPr>
        <w:t xml:space="preserve">Section 12.07. </w:t>
      </w:r>
      <w:r>
        <w:rPr>
          <w:rFonts w:ascii="Arial" w:cs="Arial" w:eastAsia="Arial" w:hAnsi="Arial"/>
          <w:sz w:val="15"/>
          <w:szCs w:val="15"/>
          <w:i w:val="1"/>
          <w:iCs w:val="1"/>
          <w:color w:val="auto"/>
        </w:rPr>
        <w:t>No Impairment of Subordination</w:t>
      </w:r>
      <w:r>
        <w:rPr>
          <w:rFonts w:ascii="Arial" w:cs="Arial" w:eastAsia="Arial" w:hAnsi="Arial"/>
          <w:sz w:val="15"/>
          <w:szCs w:val="15"/>
          <w:color w:val="auto"/>
        </w:rPr>
        <w:t>. No right of any present or future holder of any Senior Indebtedness to enforce subordination as herein provided shall at any time in any way be prejudiced or impaired by any act or failure to act on the part of the Issuer or by any act or failure to act, in good faith,</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202" w:name="page203"/>
    <w:bookmarkEnd w:id="202"/>
    <w:p>
      <w:pPr>
        <w:ind w:right="460"/>
        <w:spacing w:after="0" w:line="265" w:lineRule="auto"/>
        <w:rPr>
          <w:sz w:val="20"/>
          <w:szCs w:val="20"/>
          <w:color w:val="auto"/>
        </w:rPr>
      </w:pPr>
      <w:r>
        <w:rPr>
          <w:rFonts w:ascii="Arial" w:cs="Arial" w:eastAsia="Arial" w:hAnsi="Arial"/>
          <w:sz w:val="18"/>
          <w:szCs w:val="18"/>
          <w:color w:val="auto"/>
        </w:rPr>
        <w:t>by any such holder, or by any noncompliance by the Issuer with the terms, provisions and covenants of this Indenture, regardless of any knowledge thereof which any such holder may have or otherwise be charge with.</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12.08. </w:t>
      </w:r>
      <w:r>
        <w:rPr>
          <w:rFonts w:ascii="Arial" w:cs="Arial" w:eastAsia="Arial" w:hAnsi="Arial"/>
          <w:sz w:val="17"/>
          <w:szCs w:val="17"/>
          <w:i w:val="1"/>
          <w:iCs w:val="1"/>
          <w:color w:val="auto"/>
        </w:rPr>
        <w:t>Rights of Trustee</w:t>
      </w:r>
      <w:r>
        <w:rPr>
          <w:rFonts w:ascii="Arial" w:cs="Arial" w:eastAsia="Arial" w:hAnsi="Arial"/>
          <w:sz w:val="17"/>
          <w:szCs w:val="17"/>
          <w:color w:val="auto"/>
        </w:rPr>
        <w:t>. Nothing in this Article 12 shall apply to claims of or payments to, the Trustee pursuant to Section 5.06 or 9.04.</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ONVERSION OF</w:t>
      </w:r>
      <w:r>
        <w:rPr>
          <w:rFonts w:ascii="Arial" w:cs="Arial" w:eastAsia="Arial" w:hAnsi="Arial"/>
          <w:sz w:val="18"/>
          <w:szCs w:val="18"/>
          <w:color w:val="auto"/>
        </w:rPr>
        <w:t xml:space="preserve"> S</w:t>
      </w:r>
      <w:r>
        <w:rPr>
          <w:rFonts w:ascii="Arial" w:cs="Arial" w:eastAsia="Arial" w:hAnsi="Arial"/>
          <w:sz w:val="11"/>
          <w:szCs w:val="11"/>
          <w:color w:val="auto"/>
        </w:rPr>
        <w:t>ECURITIES</w:t>
      </w:r>
    </w:p>
    <w:p>
      <w:pPr>
        <w:spacing w:after="0" w:line="100" w:lineRule="exact"/>
        <w:rPr>
          <w:sz w:val="20"/>
          <w:szCs w:val="20"/>
          <w:color w:val="auto"/>
        </w:rPr>
      </w:pPr>
    </w:p>
    <w:p>
      <w:pPr>
        <w:ind w:firstLine="221"/>
        <w:spacing w:after="0" w:line="309"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13.01. </w:t>
      </w:r>
      <w:r>
        <w:rPr>
          <w:rFonts w:ascii="Arial" w:cs="Arial" w:eastAsia="Arial" w:hAnsi="Arial"/>
          <w:sz w:val="15"/>
          <w:szCs w:val="15"/>
          <w:i w:val="1"/>
          <w:iCs w:val="1"/>
          <w:color w:val="auto"/>
        </w:rPr>
        <w:t>Applicability of Article</w:t>
      </w:r>
      <w:r>
        <w:rPr>
          <w:rFonts w:ascii="Arial" w:cs="Arial" w:eastAsia="Arial" w:hAnsi="Arial"/>
          <w:sz w:val="15"/>
          <w:szCs w:val="15"/>
          <w:color w:val="auto"/>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13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13 shall be applied separately to each such series.</w:t>
      </w:r>
    </w:p>
    <w:p>
      <w:pPr>
        <w:spacing w:after="0" w:line="46"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13.02. </w:t>
      </w:r>
      <w:r>
        <w:rPr>
          <w:rFonts w:ascii="Arial" w:cs="Arial" w:eastAsia="Arial" w:hAnsi="Arial"/>
          <w:sz w:val="15"/>
          <w:szCs w:val="15"/>
          <w:i w:val="1"/>
          <w:iCs w:val="1"/>
          <w:color w:val="auto"/>
        </w:rPr>
        <w:t>Right of Securityholders to Convert Securities</w:t>
      </w:r>
      <w:r>
        <w:rPr>
          <w:rFonts w:ascii="Arial" w:cs="Arial" w:eastAsia="Arial" w:hAnsi="Arial"/>
          <w:sz w:val="15"/>
          <w:szCs w:val="15"/>
          <w:color w:val="auto"/>
        </w:rPr>
        <w:t>. Subject to and upon compliance with the terms of the Securities and the provisions of Section 11.06 and this Article 13,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13.05, then at the applicable conversion rate as so adjusted, upon surrender of the Security or Securities, the principal amount of which is so to be converted, to the Issuer at any time during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03" w:name="page204"/>
    <w:bookmarkEnd w:id="203"/>
    <w:p>
      <w:pPr>
        <w:ind w:right="20"/>
        <w:spacing w:after="0" w:line="250" w:lineRule="auto"/>
        <w:rPr>
          <w:sz w:val="20"/>
          <w:szCs w:val="20"/>
          <w:color w:val="auto"/>
        </w:rPr>
      </w:pPr>
      <w:r>
        <w:rPr>
          <w:rFonts w:ascii="Arial" w:cs="Arial" w:eastAsia="Arial" w:hAnsi="Arial"/>
          <w:sz w:val="18"/>
          <w:szCs w:val="18"/>
          <w:color w:val="auto"/>
        </w:rPr>
        <w:t>usual business hours at the office or agency to be maintained by it in accordance with the provisions of Section 3.02, accompanied by a written notice of election to convert as provided in Section 13.03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89" w:lineRule="exact"/>
        <w:rPr>
          <w:sz w:val="20"/>
          <w:szCs w:val="20"/>
          <w:color w:val="auto"/>
        </w:rPr>
      </w:pPr>
    </w:p>
    <w:p>
      <w:pPr>
        <w:jc w:val="both"/>
        <w:ind w:right="60" w:firstLine="218"/>
        <w:spacing w:after="0" w:line="330" w:lineRule="auto"/>
        <w:rPr>
          <w:sz w:val="20"/>
          <w:szCs w:val="20"/>
          <w:color w:val="auto"/>
        </w:rPr>
      </w:pPr>
      <w:r>
        <w:rPr>
          <w:rFonts w:ascii="Arial" w:cs="Arial" w:eastAsia="Arial" w:hAnsi="Arial"/>
          <w:sz w:val="15"/>
          <w:szCs w:val="15"/>
          <w:color w:val="auto"/>
        </w:rPr>
        <w:t>The initial conversion price or conversion rate in respect of a series of Securities shall be as specified in the Securities of such series. The conversion price or conversion rate will be subject to adjustment on the terms set forth in Section 13.05 or such other or different terms, if any, as may be specified by Section 2.03 for Securities of such series. Provisions of this Indenture that apply to conversion of all of a Security also apply to conversion of a portion of it.</w:t>
      </w:r>
    </w:p>
    <w:p>
      <w:pPr>
        <w:spacing w:after="0" w:line="31" w:lineRule="exact"/>
        <w:rPr>
          <w:sz w:val="20"/>
          <w:szCs w:val="20"/>
          <w:color w:val="auto"/>
        </w:rPr>
      </w:pPr>
    </w:p>
    <w:p>
      <w:pPr>
        <w:ind w:firstLine="221"/>
        <w:spacing w:after="0" w:line="301"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13.03. </w:t>
      </w:r>
      <w:r>
        <w:rPr>
          <w:rFonts w:ascii="Arial" w:cs="Arial" w:eastAsia="Arial" w:hAnsi="Arial"/>
          <w:sz w:val="15"/>
          <w:szCs w:val="15"/>
          <w:i w:val="1"/>
          <w:iCs w:val="1"/>
          <w:color w:val="auto"/>
        </w:rPr>
        <w:t>Issuance of Shares of Capital Stock on Conversion</w:t>
      </w:r>
      <w:r>
        <w:rPr>
          <w:rFonts w:ascii="Arial" w:cs="Arial" w:eastAsia="Arial" w:hAnsi="Arial"/>
          <w:sz w:val="15"/>
          <w:szCs w:val="15"/>
          <w:color w:val="auto"/>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13.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04" w:name="page205"/>
    <w:bookmarkEnd w:id="204"/>
    <w:p>
      <w:pPr>
        <w:ind w:right="60" w:firstLine="221"/>
        <w:spacing w:after="0" w:line="265" w:lineRule="auto"/>
        <w:rPr>
          <w:sz w:val="20"/>
          <w:szCs w:val="20"/>
          <w:color w:val="auto"/>
        </w:rPr>
      </w:pPr>
      <w:r>
        <w:rPr>
          <w:rFonts w:ascii="Arial" w:cs="Arial" w:eastAsia="Arial" w:hAnsi="Arial"/>
          <w:sz w:val="18"/>
          <w:szCs w:val="18"/>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73"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83"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13.04 . </w:t>
      </w:r>
      <w:r>
        <w:rPr>
          <w:rFonts w:ascii="Arial" w:cs="Arial" w:eastAsia="Arial" w:hAnsi="Arial"/>
          <w:sz w:val="15"/>
          <w:szCs w:val="15"/>
          <w:i w:val="1"/>
          <w:iCs w:val="1"/>
          <w:color w:val="auto"/>
        </w:rPr>
        <w:t>No Payment or Adjustment for Interest or Dividends</w:t>
      </w:r>
      <w:r>
        <w:rPr>
          <w:rFonts w:ascii="Arial" w:cs="Arial" w:eastAsia="Arial" w:hAnsi="Arial"/>
          <w:sz w:val="15"/>
          <w:szCs w:val="15"/>
          <w:color w:val="auto"/>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269"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ECTION</w:t>
      </w:r>
      <w:r>
        <w:rPr>
          <w:rFonts w:ascii="Arial" w:cs="Arial" w:eastAsia="Arial" w:hAnsi="Arial"/>
          <w:sz w:val="18"/>
          <w:szCs w:val="18"/>
          <w:color w:val="auto"/>
        </w:rPr>
        <w:t xml:space="preserve"> 13.05. </w:t>
      </w:r>
      <w:r>
        <w:rPr>
          <w:rFonts w:ascii="Arial" w:cs="Arial" w:eastAsia="Arial" w:hAnsi="Arial"/>
          <w:sz w:val="18"/>
          <w:szCs w:val="18"/>
          <w:i w:val="1"/>
          <w:iCs w:val="1"/>
          <w:color w:val="auto"/>
        </w:rPr>
        <w:t>Adjustment of Conversion Rate</w:t>
      </w:r>
      <w:r>
        <w:rPr>
          <w:rFonts w:ascii="Arial" w:cs="Arial" w:eastAsia="Arial" w:hAnsi="Arial"/>
          <w:sz w:val="18"/>
          <w:szCs w:val="18"/>
          <w:color w:val="auto"/>
        </w:rPr>
        <w:t>. Unless otherwise specified as contemplated by Section 2.03 for Securities of such series, the conversion rate for Securities in effect at any time shall be subject to adjustment as follows:</w:t>
      </w:r>
    </w:p>
    <w:p>
      <w:pPr>
        <w:spacing w:after="0" w:line="73" w:lineRule="exact"/>
        <w:rPr>
          <w:sz w:val="20"/>
          <w:szCs w:val="20"/>
          <w:color w:val="auto"/>
        </w:rPr>
      </w:pPr>
    </w:p>
    <w:p>
      <w:pPr>
        <w:jc w:val="both"/>
        <w:ind w:right="120" w:firstLine="227"/>
        <w:spacing w:after="0" w:line="252" w:lineRule="auto"/>
        <w:tabs>
          <w:tab w:leader="none" w:pos="4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05" w:name="page206"/>
    <w:bookmarkEnd w:id="205"/>
    <w:p>
      <w:pPr>
        <w:spacing w:after="0" w:line="312" w:lineRule="auto"/>
        <w:rPr>
          <w:sz w:val="20"/>
          <w:szCs w:val="20"/>
          <w:color w:val="auto"/>
        </w:rPr>
      </w:pPr>
      <w:r>
        <w:rPr>
          <w:rFonts w:ascii="Arial" w:cs="Arial" w:eastAsia="Arial" w:hAnsi="Arial"/>
          <w:sz w:val="15"/>
          <w:szCs w:val="15"/>
          <w:color w:val="auto"/>
        </w:rPr>
        <w:t>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46" w:lineRule="exact"/>
        <w:rPr>
          <w:sz w:val="20"/>
          <w:szCs w:val="20"/>
          <w:color w:val="auto"/>
        </w:rPr>
      </w:pPr>
    </w:p>
    <w:p>
      <w:pPr>
        <w:ind w:firstLine="227"/>
        <w:spacing w:after="0" w:line="300" w:lineRule="auto"/>
        <w:tabs>
          <w:tab w:leader="none" w:pos="471"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Arial" w:cs="Arial" w:eastAsia="Arial" w:hAnsi="Arial"/>
          <w:sz w:val="15"/>
          <w:szCs w:val="15"/>
          <w:b w:val="1"/>
          <w:bCs w:val="1"/>
          <w:color w:val="auto"/>
        </w:rPr>
        <w:t>Determination Date</w:t>
      </w:r>
      <w:r>
        <w:rPr>
          <w:rFonts w:ascii="Arial" w:cs="Arial" w:eastAsia="Arial" w:hAnsi="Arial"/>
          <w:sz w:val="15"/>
          <w:szCs w:val="15"/>
          <w:color w:val="auto"/>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06" w:name="page207"/>
    <w:bookmarkEnd w:id="206"/>
    <w:p>
      <w:pPr>
        <w:spacing w:after="0" w:line="265" w:lineRule="auto"/>
        <w:rPr>
          <w:sz w:val="20"/>
          <w:szCs w:val="20"/>
          <w:color w:val="auto"/>
        </w:rPr>
      </w:pPr>
      <w:r>
        <w:rPr>
          <w:rFonts w:ascii="Arial" w:cs="Arial" w:eastAsia="Arial" w:hAnsi="Arial"/>
          <w:sz w:val="17"/>
          <w:szCs w:val="17"/>
          <w:color w:val="auto"/>
        </w:rPr>
        <w:t>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77" w:lineRule="exact"/>
        <w:rPr>
          <w:sz w:val="20"/>
          <w:szCs w:val="20"/>
          <w:color w:val="auto"/>
        </w:rPr>
      </w:pPr>
    </w:p>
    <w:p>
      <w:pPr>
        <w:ind w:firstLine="227"/>
        <w:spacing w:after="0" w:line="300" w:lineRule="auto"/>
        <w:tabs>
          <w:tab w:leader="none" w:pos="46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the conversion rate which would then be in effect if such record date had not been fixed.</w:t>
      </w:r>
    </w:p>
    <w:p>
      <w:pPr>
        <w:spacing w:after="0" w:line="111" w:lineRule="exact"/>
        <w:rPr>
          <w:sz w:val="20"/>
          <w:szCs w:val="20"/>
          <w:color w:val="auto"/>
        </w:rPr>
      </w:pPr>
    </w:p>
    <w:p>
      <w:pPr>
        <w:ind w:firstLine="227"/>
        <w:spacing w:after="0" w:line="299" w:lineRule="auto"/>
        <w:tabs>
          <w:tab w:leader="none" w:pos="47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13.05(d) (as adjusted to reflect subdivisions or combinations of the Capital Stock), and (B) 3.75% of the current market price of the Capital Stock (determined as provided in Section 13.05(e)) on the date of declaration of such dividend and (y)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13.05(e)) on the record date less the amount of cash so distributed (and not excluded as provided above) applicable to one share of Capital Stock and the numerator shall be such current market price of the Capital Stock (determined as provided in Section 13.05(e)), such adjusted to be effective immediately prior to the opening of business on the day following the record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event the portion of the cash so distributed applicable to one share of Capital Stock is equal to or greater than the current market price of the Capital Stock (determined as provided in Section 13.05(e))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271" w:lineRule="exact"/>
        <w:rPr>
          <w:rFonts w:ascii="Arial" w:cs="Arial" w:eastAsia="Arial" w:hAnsi="Arial"/>
          <w:sz w:val="15"/>
          <w:szCs w:val="15"/>
          <w:color w:val="auto"/>
        </w:rPr>
      </w:pPr>
    </w:p>
    <w:p>
      <w:pPr>
        <w:jc w:val="both"/>
        <w:ind w:right="40" w:firstLine="227"/>
        <w:spacing w:after="0" w:line="255" w:lineRule="auto"/>
        <w:tabs>
          <w:tab w:leader="none" w:pos="46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the purpose of any computation under subsections (b) and (d) above and Section 13.06, the current market price per share of the Capital Stock on any date as of which such price is to be computed shall mean the average of the Closing Prices for the 30 consecutive Business Days commencing 45 Business Days before such date.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208" w:name="page209"/>
    <w:bookmarkEnd w:id="208"/>
    <w:p>
      <w:pPr>
        <w:ind w:firstLine="227"/>
        <w:spacing w:after="0" w:line="304" w:lineRule="auto"/>
        <w:tabs>
          <w:tab w:leader="none" w:pos="44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13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13 shall be made to the nearest cent or to the nearest one-thousandth of a share, as the case may be. Anything in this Section 13.05 to the contrary notwithstanding, the Issuer shall be entitled to make such adjustments in the conversion rate, in addition to those required by this Section 13.05,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49" w:lineRule="exact"/>
        <w:rPr>
          <w:rFonts w:ascii="Arial" w:cs="Arial" w:eastAsia="Arial" w:hAnsi="Arial"/>
          <w:sz w:val="15"/>
          <w:szCs w:val="15"/>
          <w:color w:val="auto"/>
        </w:rPr>
      </w:pPr>
    </w:p>
    <w:p>
      <w:pPr>
        <w:ind w:right="40" w:firstLine="227"/>
        <w:spacing w:after="0" w:line="265" w:lineRule="auto"/>
        <w:tabs>
          <w:tab w:leader="none" w:pos="46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76" w:lineRule="exact"/>
        <w:rPr>
          <w:rFonts w:ascii="Arial" w:cs="Arial" w:eastAsia="Arial" w:hAnsi="Arial"/>
          <w:sz w:val="17"/>
          <w:szCs w:val="17"/>
          <w:color w:val="auto"/>
        </w:rPr>
      </w:pPr>
    </w:p>
    <w:p>
      <w:pPr>
        <w:ind w:right="100" w:firstLine="227"/>
        <w:spacing w:after="0" w:line="249" w:lineRule="auto"/>
        <w:tabs>
          <w:tab w:leader="none" w:pos="4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09" w:name="page210"/>
    <w:bookmarkEnd w:id="209"/>
    <w:p>
      <w:pPr>
        <w:ind w:right="140"/>
        <w:spacing w:after="0" w:line="294" w:lineRule="auto"/>
        <w:rPr>
          <w:sz w:val="20"/>
          <w:szCs w:val="20"/>
          <w:color w:val="auto"/>
        </w:rPr>
      </w:pPr>
      <w:r>
        <w:rPr>
          <w:rFonts w:ascii="Arial" w:cs="Arial" w:eastAsia="Arial" w:hAnsi="Arial"/>
          <w:sz w:val="17"/>
          <w:szCs w:val="17"/>
          <w:color w:val="auto"/>
        </w:rPr>
        <w:t>the Securities of such series are convertible contained in subsections (a) to (f), inclusive, above, and the provisions of this Article 13 with respect to the class of Capital Stock into which the Securities of such series are convertible shall apply on like terms to any such other shares.</w:t>
      </w:r>
    </w:p>
    <w:p>
      <w:pPr>
        <w:spacing w:after="0" w:line="51" w:lineRule="exact"/>
        <w:rPr>
          <w:sz w:val="20"/>
          <w:szCs w:val="20"/>
          <w:color w:val="auto"/>
        </w:rPr>
      </w:pPr>
    </w:p>
    <w:p>
      <w:pPr>
        <w:ind w:right="200" w:firstLine="227"/>
        <w:spacing w:after="0" w:line="265" w:lineRule="auto"/>
        <w:tabs>
          <w:tab w:leader="none" w:pos="42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73" w:lineRule="exact"/>
        <w:rPr>
          <w:rFonts w:ascii="Arial" w:cs="Arial" w:eastAsia="Arial" w:hAnsi="Arial"/>
          <w:sz w:val="18"/>
          <w:szCs w:val="18"/>
          <w:color w:val="auto"/>
        </w:rPr>
      </w:pPr>
    </w:p>
    <w:p>
      <w:pPr>
        <w:ind w:right="440" w:firstLine="227"/>
        <w:spacing w:after="0" w:line="265" w:lineRule="auto"/>
        <w:tabs>
          <w:tab w:leader="none" w:pos="4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that the Securities of any series are convertible into more than one class of Capital Stock, the provisions of this Section 13.05 shall apply separately to events affecting each such class.</w:t>
      </w:r>
    </w:p>
    <w:p>
      <w:pPr>
        <w:spacing w:after="0" w:line="73" w:lineRule="exact"/>
        <w:rPr>
          <w:sz w:val="20"/>
          <w:szCs w:val="20"/>
          <w:color w:val="auto"/>
        </w:rPr>
      </w:pPr>
    </w:p>
    <w:p>
      <w:pPr>
        <w:ind w:right="220" w:firstLine="221"/>
        <w:spacing w:after="0" w:line="309"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13.06 . </w:t>
      </w:r>
      <w:r>
        <w:rPr>
          <w:rFonts w:ascii="Arial" w:cs="Arial" w:eastAsia="Arial" w:hAnsi="Arial"/>
          <w:sz w:val="15"/>
          <w:szCs w:val="15"/>
          <w:i w:val="1"/>
          <w:iCs w:val="1"/>
          <w:color w:val="auto"/>
        </w:rPr>
        <w:t>No Fractional Shares to Be Issued</w:t>
      </w:r>
      <w:r>
        <w:rPr>
          <w:rFonts w:ascii="Arial" w:cs="Arial" w:eastAsia="Arial" w:hAnsi="Arial"/>
          <w:sz w:val="15"/>
          <w:szCs w:val="15"/>
          <w:color w:val="auto"/>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13.05) per share of Capital Stock on the Business Day next preceding the day of conversion.</w:t>
      </w:r>
    </w:p>
    <w:p>
      <w:pPr>
        <w:spacing w:after="0" w:line="46" w:lineRule="exact"/>
        <w:rPr>
          <w:sz w:val="20"/>
          <w:szCs w:val="20"/>
          <w:color w:val="auto"/>
        </w:rPr>
      </w:pPr>
    </w:p>
    <w:p>
      <w:pPr>
        <w:ind w:firstLine="221"/>
        <w:spacing w:after="0" w:line="304"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13.07 . </w:t>
      </w:r>
      <w:r>
        <w:rPr>
          <w:rFonts w:ascii="Arial" w:cs="Arial" w:eastAsia="Arial" w:hAnsi="Arial"/>
          <w:sz w:val="15"/>
          <w:szCs w:val="15"/>
          <w:i w:val="1"/>
          <w:iCs w:val="1"/>
          <w:color w:val="auto"/>
        </w:rPr>
        <w:t>Preservation of Conversion Rights Upon Consolidation, Merger, Sale or Conveyance</w:t>
      </w:r>
      <w:r>
        <w:rPr>
          <w:rFonts w:ascii="Arial" w:cs="Arial" w:eastAsia="Arial" w:hAnsi="Arial"/>
          <w:sz w:val="15"/>
          <w:szCs w:val="15"/>
          <w:color w:val="auto"/>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10" w:name="page211"/>
    <w:bookmarkEnd w:id="210"/>
    <w:p>
      <w:pPr>
        <w:ind w:right="40"/>
        <w:spacing w:after="0" w:line="305" w:lineRule="auto"/>
        <w:rPr>
          <w:sz w:val="20"/>
          <w:szCs w:val="20"/>
          <w:color w:val="auto"/>
        </w:rPr>
      </w:pPr>
      <w:r>
        <w:rPr>
          <w:rFonts w:ascii="Arial" w:cs="Arial" w:eastAsia="Arial" w:hAnsi="Arial"/>
          <w:sz w:val="15"/>
          <w:szCs w:val="15"/>
          <w:color w:val="auto"/>
        </w:rPr>
        <w:t>practicable to the adjustments provided for in this Article 13.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13.07 shall similarly apply to successive consolidations, mergers, sales or transfers.</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w:t>
      </w:r>
      <w:r>
        <w:rPr>
          <w:rFonts w:ascii="Arial" w:cs="Arial" w:eastAsia="Arial" w:hAnsi="Arial"/>
          <w:sz w:val="10"/>
          <w:szCs w:val="10"/>
          <w:color w:val="auto"/>
        </w:rPr>
        <w:t>ECTION</w:t>
      </w:r>
      <w:r>
        <w:rPr>
          <w:rFonts w:ascii="Arial" w:cs="Arial" w:eastAsia="Arial" w:hAnsi="Arial"/>
          <w:sz w:val="17"/>
          <w:szCs w:val="17"/>
          <w:color w:val="auto"/>
        </w:rPr>
        <w:t xml:space="preserve"> 13.08 . </w:t>
      </w:r>
      <w:r>
        <w:rPr>
          <w:rFonts w:ascii="Arial" w:cs="Arial" w:eastAsia="Arial" w:hAnsi="Arial"/>
          <w:sz w:val="17"/>
          <w:szCs w:val="17"/>
          <w:i w:val="1"/>
          <w:iCs w:val="1"/>
          <w:color w:val="auto"/>
        </w:rPr>
        <w:t>Notice to Security Holders of a Series Prior to Taking Certain Types of Action.</w:t>
      </w:r>
      <w:r>
        <w:rPr>
          <w:rFonts w:ascii="Arial" w:cs="Arial" w:eastAsia="Arial" w:hAnsi="Arial"/>
          <w:sz w:val="17"/>
          <w:szCs w:val="17"/>
          <w:color w:val="auto"/>
        </w:rPr>
        <w:t xml:space="preserve"> With respect to the Securities of any series, in case:</w:t>
      </w:r>
    </w:p>
    <w:p>
      <w:pPr>
        <w:spacing w:after="0" w:line="123" w:lineRule="exact"/>
        <w:rPr>
          <w:sz w:val="20"/>
          <w:szCs w:val="20"/>
          <w:color w:val="auto"/>
        </w:rPr>
      </w:pPr>
    </w:p>
    <w:p>
      <w:pPr>
        <w:ind w:right="140" w:firstLine="227"/>
        <w:spacing w:after="0" w:line="265" w:lineRule="auto"/>
        <w:tabs>
          <w:tab w:leader="none" w:pos="4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73" w:lineRule="exact"/>
        <w:rPr>
          <w:rFonts w:ascii="Arial" w:cs="Arial" w:eastAsia="Arial" w:hAnsi="Arial"/>
          <w:sz w:val="18"/>
          <w:szCs w:val="18"/>
          <w:color w:val="auto"/>
        </w:rPr>
      </w:pPr>
    </w:p>
    <w:p>
      <w:pPr>
        <w:ind w:right="60" w:firstLine="227"/>
        <w:spacing w:after="0" w:line="265" w:lineRule="auto"/>
        <w:tabs>
          <w:tab w:leader="none" w:pos="4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13.05(c));</w:t>
      </w:r>
    </w:p>
    <w:p>
      <w:pPr>
        <w:spacing w:after="0" w:line="73" w:lineRule="exact"/>
        <w:rPr>
          <w:rFonts w:ascii="Arial" w:cs="Arial" w:eastAsia="Arial" w:hAnsi="Arial"/>
          <w:sz w:val="18"/>
          <w:szCs w:val="18"/>
          <w:color w:val="auto"/>
        </w:rPr>
      </w:pPr>
    </w:p>
    <w:p>
      <w:pPr>
        <w:ind w:firstLine="227"/>
        <w:spacing w:after="0" w:line="255" w:lineRule="auto"/>
        <w:tabs>
          <w:tab w:leader="none" w:pos="4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82" w:lineRule="exact"/>
        <w:rPr>
          <w:rFonts w:ascii="Arial" w:cs="Arial" w:eastAsia="Arial" w:hAnsi="Arial"/>
          <w:sz w:val="18"/>
          <w:szCs w:val="18"/>
          <w:color w:val="auto"/>
        </w:rPr>
      </w:pPr>
    </w:p>
    <w:p>
      <w:pPr>
        <w:jc w:val="both"/>
        <w:ind w:right="40" w:firstLine="227"/>
        <w:spacing w:after="0" w:line="318" w:lineRule="auto"/>
        <w:tabs>
          <w:tab w:leader="none" w:pos="47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 up of the Issuer; 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11" w:name="page212"/>
    <w:bookmarkEnd w:id="211"/>
    <w:p>
      <w:pPr>
        <w:ind w:right="120"/>
        <w:spacing w:after="0" w:line="307" w:lineRule="auto"/>
        <w:rPr>
          <w:sz w:val="20"/>
          <w:szCs w:val="20"/>
          <w:color w:val="auto"/>
        </w:rPr>
      </w:pPr>
      <w:r>
        <w:rPr>
          <w:rFonts w:ascii="Arial" w:cs="Arial" w:eastAsia="Arial" w:hAnsi="Arial"/>
          <w:sz w:val="15"/>
          <w:szCs w:val="15"/>
          <w:color w:val="auto"/>
        </w:rPr>
        <w:t>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13.08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47" w:lineRule="exact"/>
        <w:rPr>
          <w:sz w:val="20"/>
          <w:szCs w:val="20"/>
          <w:color w:val="auto"/>
        </w:rPr>
      </w:pPr>
    </w:p>
    <w:p>
      <w:pPr>
        <w:ind w:right="20" w:firstLine="221"/>
        <w:spacing w:after="0" w:line="309"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13.09 . </w:t>
      </w:r>
      <w:r>
        <w:rPr>
          <w:rFonts w:ascii="Arial" w:cs="Arial" w:eastAsia="Arial" w:hAnsi="Arial"/>
          <w:sz w:val="15"/>
          <w:szCs w:val="15"/>
          <w:i w:val="1"/>
          <w:iCs w:val="1"/>
          <w:color w:val="auto"/>
        </w:rPr>
        <w:t>Covenant to Reserve Shares for Issuance on Conversion of Securities</w:t>
      </w:r>
      <w:r>
        <w:rPr>
          <w:rFonts w:ascii="Arial" w:cs="Arial" w:eastAsia="Arial" w:hAnsi="Arial"/>
          <w:sz w:val="15"/>
          <w:szCs w:val="15"/>
          <w:color w:val="auto"/>
        </w:rPr>
        <w:t>.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46"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S</w:t>
      </w:r>
      <w:r>
        <w:rPr>
          <w:rFonts w:ascii="Arial" w:cs="Arial" w:eastAsia="Arial" w:hAnsi="Arial"/>
          <w:sz w:val="10"/>
          <w:szCs w:val="10"/>
          <w:color w:val="auto"/>
        </w:rPr>
        <w:t>ECTION</w:t>
      </w:r>
      <w:r>
        <w:rPr>
          <w:rFonts w:ascii="Arial" w:cs="Arial" w:eastAsia="Arial" w:hAnsi="Arial"/>
          <w:sz w:val="17"/>
          <w:szCs w:val="17"/>
          <w:color w:val="auto"/>
        </w:rPr>
        <w:t xml:space="preserve"> 13.10 . </w:t>
      </w:r>
      <w:r>
        <w:rPr>
          <w:rFonts w:ascii="Arial" w:cs="Arial" w:eastAsia="Arial" w:hAnsi="Arial"/>
          <w:sz w:val="17"/>
          <w:szCs w:val="17"/>
          <w:i w:val="1"/>
          <w:iCs w:val="1"/>
          <w:color w:val="auto"/>
        </w:rPr>
        <w:t>Compliance with Governmental Requirements</w:t>
      </w:r>
      <w:r>
        <w:rPr>
          <w:rFonts w:ascii="Arial" w:cs="Arial" w:eastAsia="Arial" w:hAnsi="Arial"/>
          <w:sz w:val="17"/>
          <w:szCs w:val="17"/>
          <w:color w:val="auto"/>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71" w:lineRule="exact"/>
        <w:rPr>
          <w:sz w:val="20"/>
          <w:szCs w:val="20"/>
          <w:color w:val="auto"/>
        </w:rPr>
      </w:pPr>
    </w:p>
    <w:p>
      <w:pPr>
        <w:ind w:right="240" w:firstLine="221"/>
        <w:spacing w:after="0" w:line="330"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13.11 . </w:t>
      </w:r>
      <w:r>
        <w:rPr>
          <w:rFonts w:ascii="Arial" w:cs="Arial" w:eastAsia="Arial" w:hAnsi="Arial"/>
          <w:sz w:val="15"/>
          <w:szCs w:val="15"/>
          <w:i w:val="1"/>
          <w:iCs w:val="1"/>
          <w:color w:val="auto"/>
        </w:rPr>
        <w:t>Payment of Taxes Upon Certificates for Shares Issued Upon Conversion</w:t>
      </w:r>
      <w:r>
        <w:rPr>
          <w:rFonts w:ascii="Arial" w:cs="Arial" w:eastAsia="Arial" w:hAnsi="Arial"/>
          <w:sz w:val="15"/>
          <w:szCs w:val="15"/>
          <w:color w:val="auto"/>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12" w:name="page213"/>
    <w:bookmarkEnd w:id="212"/>
    <w:p>
      <w:pPr>
        <w:spacing w:after="0" w:line="271" w:lineRule="auto"/>
        <w:rPr>
          <w:sz w:val="20"/>
          <w:szCs w:val="20"/>
          <w:color w:val="auto"/>
        </w:rPr>
      </w:pPr>
      <w:r>
        <w:rPr>
          <w:rFonts w:ascii="Arial" w:cs="Arial" w:eastAsia="Arial" w:hAnsi="Arial"/>
          <w:sz w:val="17"/>
          <w:szCs w:val="17"/>
          <w:color w:val="auto"/>
        </w:rPr>
        <w:t>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72" w:lineRule="exact"/>
        <w:rPr>
          <w:sz w:val="20"/>
          <w:szCs w:val="20"/>
          <w:color w:val="auto"/>
        </w:rPr>
      </w:pPr>
    </w:p>
    <w:p>
      <w:pPr>
        <w:ind w:right="20" w:firstLine="221"/>
        <w:spacing w:after="0" w:line="264" w:lineRule="auto"/>
        <w:rPr>
          <w:sz w:val="20"/>
          <w:szCs w:val="20"/>
          <w:color w:val="auto"/>
        </w:rPr>
      </w:pPr>
      <w:r>
        <w:rPr>
          <w:rFonts w:ascii="Arial" w:cs="Arial" w:eastAsia="Arial" w:hAnsi="Arial"/>
          <w:sz w:val="17"/>
          <w:szCs w:val="17"/>
          <w:color w:val="auto"/>
        </w:rPr>
        <w:t>S</w:t>
      </w:r>
      <w:r>
        <w:rPr>
          <w:rFonts w:ascii="Arial" w:cs="Arial" w:eastAsia="Arial" w:hAnsi="Arial"/>
          <w:sz w:val="10"/>
          <w:szCs w:val="10"/>
          <w:color w:val="auto"/>
        </w:rPr>
        <w:t>ECTION</w:t>
      </w:r>
      <w:r>
        <w:rPr>
          <w:rFonts w:ascii="Arial" w:cs="Arial" w:eastAsia="Arial" w:hAnsi="Arial"/>
          <w:sz w:val="17"/>
          <w:szCs w:val="17"/>
          <w:color w:val="auto"/>
        </w:rPr>
        <w:t xml:space="preserve"> 13.12 . </w:t>
      </w:r>
      <w:r>
        <w:rPr>
          <w:rFonts w:ascii="Arial" w:cs="Arial" w:eastAsia="Arial" w:hAnsi="Arial"/>
          <w:sz w:val="17"/>
          <w:szCs w:val="17"/>
          <w:i w:val="1"/>
          <w:iCs w:val="1"/>
          <w:color w:val="auto"/>
        </w:rPr>
        <w:t>Trustee’s Duties with Respect to Conversion Provisions</w:t>
      </w:r>
      <w:r>
        <w:rPr>
          <w:rFonts w:ascii="Arial" w:cs="Arial" w:eastAsia="Arial" w:hAnsi="Arial"/>
          <w:sz w:val="17"/>
          <w:szCs w:val="17"/>
          <w:color w:val="auto"/>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13.</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w:t>
      </w:r>
      <w:r>
        <w:rPr>
          <w:rFonts w:ascii="Arial" w:cs="Arial" w:eastAsia="Arial" w:hAnsi="Arial"/>
          <w:sz w:val="11"/>
          <w:szCs w:val="11"/>
          <w:color w:val="auto"/>
        </w:rPr>
        <w:t>UARANTEES</w:t>
      </w:r>
    </w:p>
    <w:p>
      <w:pPr>
        <w:spacing w:after="0" w:line="100" w:lineRule="exact"/>
        <w:rPr>
          <w:sz w:val="20"/>
          <w:szCs w:val="20"/>
          <w:color w:val="auto"/>
        </w:rPr>
      </w:pPr>
    </w:p>
    <w:p>
      <w:pPr>
        <w:ind w:right="60" w:firstLine="221"/>
        <w:spacing w:after="0" w:line="267"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i w:val="1"/>
          <w:iCs w:val="1"/>
          <w:color w:val="auto"/>
        </w:rPr>
        <w:t>The Cable Guarantees</w:t>
      </w:r>
      <w:r>
        <w:rPr>
          <w:rFonts w:ascii="Arial" w:cs="Arial" w:eastAsia="Arial" w:hAnsi="Arial"/>
          <w:sz w:val="17"/>
          <w:szCs w:val="17"/>
          <w:color w:val="auto"/>
        </w:rPr>
        <w:t>. Subject to the provisions of this Article, each Cable Guarantor hereby irrevocably, fully and unconditionally guarantees, jointly and severally, on an unsecured subordinated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Cable Guarantor shall forthwith on demand pay the amount not so paid at the place and in the manner specified in the Indenture. The obligations of each Cable Guarantor under its Cable Guarantee are junior and subordinated in right of payment to the Senior Indebtedness of such Cable Guarantor in the same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manner and to the same extent as the Securities are subordinated to the Senior Indebtedness of the Issuer.</w:t>
      </w:r>
    </w:p>
    <w:p>
      <w:pPr>
        <w:spacing w:after="0" w:line="111" w:lineRule="exact"/>
        <w:rPr>
          <w:sz w:val="20"/>
          <w:szCs w:val="20"/>
          <w:color w:val="auto"/>
        </w:rPr>
      </w:pPr>
    </w:p>
    <w:p>
      <w:pPr>
        <w:ind w:right="520" w:firstLine="221"/>
        <w:spacing w:after="0" w:line="265" w:lineRule="auto"/>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Guarantee Unconditional</w:t>
      </w:r>
      <w:r>
        <w:rPr>
          <w:rFonts w:ascii="Arial" w:cs="Arial" w:eastAsia="Arial" w:hAnsi="Arial"/>
          <w:sz w:val="18"/>
          <w:szCs w:val="18"/>
          <w:color w:val="auto"/>
        </w:rPr>
        <w:t>. The obligations of each Cable Guarantor hereunder are unconditional and absolute and, without limiting the generality of the foregoing, will not be released, discharged or otherwise affected by</w:t>
      </w:r>
    </w:p>
    <w:p>
      <w:pPr>
        <w:spacing w:after="0" w:line="73" w:lineRule="exact"/>
        <w:rPr>
          <w:sz w:val="20"/>
          <w:szCs w:val="20"/>
          <w:color w:val="auto"/>
        </w:rPr>
      </w:pPr>
    </w:p>
    <w:p>
      <w:pPr>
        <w:ind w:right="480" w:firstLine="227"/>
        <w:spacing w:after="0" w:line="265" w:lineRule="auto"/>
        <w:tabs>
          <w:tab w:leader="none" w:pos="46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any Security, by operation of law or otherwise;</w:t>
      </w:r>
    </w:p>
    <w:p>
      <w:pPr>
        <w:spacing w:after="0" w:line="73" w:lineRule="exact"/>
        <w:rPr>
          <w:rFonts w:ascii="Arial" w:cs="Arial" w:eastAsia="Arial" w:hAnsi="Arial"/>
          <w:sz w:val="18"/>
          <w:szCs w:val="18"/>
          <w:color w:val="auto"/>
        </w:rPr>
      </w:pPr>
    </w:p>
    <w:p>
      <w:pPr>
        <w:ind w:left="480" w:hanging="253"/>
        <w:spacing w:after="0"/>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Security;</w:t>
      </w:r>
    </w:p>
    <w:p>
      <w:pPr>
        <w:spacing w:after="0" w:line="111" w:lineRule="exact"/>
        <w:rPr>
          <w:rFonts w:ascii="Arial" w:cs="Arial" w:eastAsia="Arial" w:hAnsi="Arial"/>
          <w:sz w:val="18"/>
          <w:szCs w:val="18"/>
          <w:color w:val="auto"/>
        </w:rPr>
      </w:pPr>
    </w:p>
    <w:p>
      <w:pPr>
        <w:ind w:right="360" w:firstLine="227"/>
        <w:spacing w:after="0" w:line="366" w:lineRule="auto"/>
        <w:tabs>
          <w:tab w:leader="none" w:pos="46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4" w:lineRule="exact"/>
        <w:rPr>
          <w:rFonts w:ascii="Arial" w:cs="Arial" w:eastAsia="Arial" w:hAnsi="Arial"/>
          <w:sz w:val="15"/>
          <w:szCs w:val="15"/>
          <w:color w:val="auto"/>
        </w:rPr>
      </w:pPr>
    </w:p>
    <w:p>
      <w:pPr>
        <w:ind w:left="480" w:hanging="253"/>
        <w:spacing w:after="0"/>
        <w:tabs>
          <w:tab w:leader="none" w:pos="4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existence of any claim, set-off or other rights which any Cable Guarantor may have at any time against the Issuer, the Trustee, any other Cable</w:t>
      </w:r>
    </w:p>
    <w:p>
      <w:pPr>
        <w:spacing w:after="0" w:line="50" w:lineRule="exact"/>
        <w:rPr>
          <w:rFonts w:ascii="Arial" w:cs="Arial" w:eastAsia="Arial" w:hAnsi="Arial"/>
          <w:sz w:val="15"/>
          <w:szCs w:val="15"/>
          <w:color w:val="auto"/>
        </w:rPr>
      </w:pPr>
    </w:p>
    <w:p>
      <w:pPr>
        <w:ind w:right="40"/>
        <w:spacing w:after="0" w:line="251" w:lineRule="auto"/>
        <w:rPr>
          <w:rFonts w:ascii="Arial" w:cs="Arial" w:eastAsia="Arial" w:hAnsi="Arial"/>
          <w:sz w:val="15"/>
          <w:szCs w:val="15"/>
          <w:color w:val="auto"/>
        </w:rPr>
      </w:pPr>
      <w:r>
        <w:rPr>
          <w:rFonts w:ascii="Arial" w:cs="Arial" w:eastAsia="Arial" w:hAnsi="Arial"/>
          <w:sz w:val="18"/>
          <w:szCs w:val="18"/>
          <w:color w:val="auto"/>
        </w:rPr>
        <w:t>Guarantor or any other Person, whether in connection with the Indenture or an unrelated transactions, provided that nothing herein prevents the assertion of any such claim by separate suit or compulsory counterclaim;</w:t>
      </w:r>
    </w:p>
    <w:p>
      <w:pPr>
        <w:spacing w:after="0" w:line="86" w:lineRule="exact"/>
        <w:rPr>
          <w:rFonts w:ascii="Arial" w:cs="Arial" w:eastAsia="Arial" w:hAnsi="Arial"/>
          <w:sz w:val="15"/>
          <w:szCs w:val="15"/>
          <w:color w:val="auto"/>
        </w:rPr>
      </w:pPr>
    </w:p>
    <w:p>
      <w:pPr>
        <w:ind w:left="460" w:hanging="233"/>
        <w:spacing w:after="0"/>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invalidity, irregularity or unenforceability relating to or against the Issuer for any reason of the Indenture or any Security, or any provision of</w:t>
      </w:r>
    </w:p>
    <w:p>
      <w:pPr>
        <w:spacing w:after="0" w:line="28" w:lineRule="exact"/>
        <w:rPr>
          <w:rFonts w:ascii="Arial" w:cs="Arial" w:eastAsia="Arial" w:hAnsi="Arial"/>
          <w:sz w:val="17"/>
          <w:szCs w:val="17"/>
          <w:color w:val="auto"/>
        </w:rPr>
      </w:pPr>
    </w:p>
    <w:p>
      <w:pPr>
        <w:ind w:right="140"/>
        <w:spacing w:after="0" w:line="251" w:lineRule="auto"/>
        <w:rPr>
          <w:rFonts w:ascii="Arial" w:cs="Arial" w:eastAsia="Arial" w:hAnsi="Arial"/>
          <w:sz w:val="17"/>
          <w:szCs w:val="17"/>
          <w:color w:val="auto"/>
        </w:rPr>
      </w:pPr>
      <w:r>
        <w:rPr>
          <w:rFonts w:ascii="Arial" w:cs="Arial" w:eastAsia="Arial" w:hAnsi="Arial"/>
          <w:sz w:val="18"/>
          <w:szCs w:val="18"/>
          <w:color w:val="auto"/>
        </w:rPr>
        <w:t>applicable law or regulation purporting to prohibit the payment by the Issuer of the principal of or interest on any Security or any other amount payable by the Issuer under the Indenture; or</w:t>
      </w:r>
    </w:p>
    <w:p>
      <w:pPr>
        <w:spacing w:after="0" w:line="86" w:lineRule="exact"/>
        <w:rPr>
          <w:rFonts w:ascii="Arial" w:cs="Arial" w:eastAsia="Arial" w:hAnsi="Arial"/>
          <w:sz w:val="17"/>
          <w:szCs w:val="17"/>
          <w:color w:val="auto"/>
        </w:rPr>
      </w:pPr>
    </w:p>
    <w:p>
      <w:pPr>
        <w:ind w:firstLine="227"/>
        <w:spacing w:after="0" w:line="294" w:lineRule="auto"/>
        <w:tabs>
          <w:tab w:leader="none" w:pos="44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51"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i w:val="1"/>
          <w:iCs w:val="1"/>
          <w:color w:val="auto"/>
        </w:rPr>
        <w:t>Discharge; Reinstatement</w:t>
      </w:r>
      <w:r>
        <w:rPr>
          <w:rFonts w:ascii="Arial" w:cs="Arial" w:eastAsia="Arial" w:hAnsi="Arial"/>
          <w:sz w:val="18"/>
          <w:szCs w:val="18"/>
          <w:color w:val="auto"/>
        </w:rPr>
        <w:t>.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3" w:right="319" w:bottom="1440" w:gutter="0" w:footer="0" w:header="0"/>
        </w:sectPr>
      </w:pPr>
    </w:p>
    <w:bookmarkStart w:id="214" w:name="page215"/>
    <w:bookmarkEnd w:id="214"/>
    <w:p>
      <w:pPr>
        <w:spacing w:after="0"/>
        <w:rPr>
          <w:sz w:val="20"/>
          <w:szCs w:val="20"/>
          <w:color w:val="auto"/>
        </w:rPr>
      </w:pPr>
      <w:r>
        <w:rPr>
          <w:rFonts w:ascii="Arial" w:cs="Arial" w:eastAsia="Arial" w:hAnsi="Arial"/>
          <w:sz w:val="15"/>
          <w:szCs w:val="15"/>
          <w:color w:val="auto"/>
        </w:rPr>
        <w:t>Cable Guarantor’s obligations hereunder with respect to such payment will be reinstated as though such payment had been due but not made at such time.</w:t>
      </w:r>
    </w:p>
    <w:p>
      <w:pPr>
        <w:spacing w:after="0" w:line="146" w:lineRule="exact"/>
        <w:rPr>
          <w:sz w:val="20"/>
          <w:szCs w:val="20"/>
          <w:color w:val="auto"/>
        </w:rPr>
      </w:pPr>
    </w:p>
    <w:p>
      <w:pPr>
        <w:ind w:right="240" w:firstLine="221"/>
        <w:spacing w:after="0" w:line="366" w:lineRule="auto"/>
        <w:rPr>
          <w:sz w:val="20"/>
          <w:szCs w:val="20"/>
          <w:color w:val="auto"/>
        </w:rPr>
      </w:pPr>
      <w:r>
        <w:rPr>
          <w:rFonts w:ascii="Arial" w:cs="Arial" w:eastAsia="Arial" w:hAnsi="Arial"/>
          <w:sz w:val="15"/>
          <w:szCs w:val="15"/>
          <w:color w:val="auto"/>
        </w:rPr>
        <w:t xml:space="preserve">Section 14.04. </w:t>
      </w:r>
      <w:r>
        <w:rPr>
          <w:rFonts w:ascii="Arial" w:cs="Arial" w:eastAsia="Arial" w:hAnsi="Arial"/>
          <w:sz w:val="15"/>
          <w:szCs w:val="15"/>
          <w:i w:val="1"/>
          <w:iCs w:val="1"/>
          <w:color w:val="auto"/>
        </w:rPr>
        <w:t>Waiver by the Cable Guarantors</w:t>
      </w:r>
      <w:r>
        <w:rPr>
          <w:rFonts w:ascii="Arial" w:cs="Arial" w:eastAsia="Arial" w:hAnsi="Arial"/>
          <w:sz w:val="15"/>
          <w:szCs w:val="15"/>
          <w:color w:val="auto"/>
        </w:rPr>
        <w:t>.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4" w:lineRule="exact"/>
        <w:rPr>
          <w:sz w:val="20"/>
          <w:szCs w:val="20"/>
          <w:color w:val="auto"/>
        </w:rPr>
      </w:pPr>
    </w:p>
    <w:p>
      <w:pPr>
        <w:jc w:val="both"/>
        <w:ind w:right="100" w:firstLine="221"/>
        <w:spacing w:after="0" w:line="271"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i w:val="1"/>
          <w:iCs w:val="1"/>
          <w:color w:val="auto"/>
        </w:rPr>
        <w:t>Subrogation and Contribution</w:t>
      </w:r>
      <w:r>
        <w:rPr>
          <w:rFonts w:ascii="Arial" w:cs="Arial" w:eastAsia="Arial" w:hAnsi="Arial"/>
          <w:sz w:val="17"/>
          <w:szCs w:val="17"/>
          <w:color w:val="auto"/>
        </w:rPr>
        <w:t>. Upon making any payment with respect to any obligation of the Issuer under this Article, the Cable Guarantor making such payment will be subrogated to the rights of the payee against the Issuer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72"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i w:val="1"/>
          <w:iCs w:val="1"/>
          <w:color w:val="auto"/>
        </w:rPr>
        <w:t>Stay of Acceleration</w:t>
      </w:r>
      <w:r>
        <w:rPr>
          <w:rFonts w:ascii="Arial" w:cs="Arial" w:eastAsia="Arial" w:hAnsi="Arial"/>
          <w:sz w:val="18"/>
          <w:szCs w:val="18"/>
          <w:color w:val="auto"/>
        </w:rPr>
        <w:t>.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83" w:lineRule="exact"/>
        <w:rPr>
          <w:sz w:val="20"/>
          <w:szCs w:val="20"/>
          <w:color w:val="auto"/>
        </w:rPr>
      </w:pPr>
    </w:p>
    <w:p>
      <w:pPr>
        <w:ind w:right="120" w:firstLine="221"/>
        <w:spacing w:after="0" w:line="309" w:lineRule="auto"/>
        <w:rPr>
          <w:sz w:val="20"/>
          <w:szCs w:val="20"/>
          <w:color w:val="auto"/>
        </w:rPr>
      </w:pPr>
      <w:r>
        <w:rPr>
          <w:rFonts w:ascii="Arial" w:cs="Arial" w:eastAsia="Arial" w:hAnsi="Arial"/>
          <w:sz w:val="15"/>
          <w:szCs w:val="15"/>
          <w:color w:val="auto"/>
        </w:rPr>
        <w:t xml:space="preserve">Section 14.07. </w:t>
      </w:r>
      <w:r>
        <w:rPr>
          <w:rFonts w:ascii="Arial" w:cs="Arial" w:eastAsia="Arial" w:hAnsi="Arial"/>
          <w:sz w:val="15"/>
          <w:szCs w:val="15"/>
          <w:i w:val="1"/>
          <w:iCs w:val="1"/>
          <w:color w:val="auto"/>
        </w:rPr>
        <w:t>Limitation on Amount of Cable Guarantee</w:t>
      </w:r>
      <w:r>
        <w:rPr>
          <w:rFonts w:ascii="Arial" w:cs="Arial" w:eastAsia="Arial" w:hAnsi="Arial"/>
          <w:sz w:val="15"/>
          <w:szCs w:val="15"/>
          <w:color w:val="auto"/>
        </w:rPr>
        <w:t>.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46"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Execution and Delivery of Cable Guarantee</w:t>
      </w:r>
      <w:r>
        <w:rPr>
          <w:rFonts w:ascii="Arial" w:cs="Arial" w:eastAsia="Arial" w:hAnsi="Arial"/>
          <w:sz w:val="18"/>
          <w:szCs w:val="18"/>
          <w:color w:val="auto"/>
        </w:rPr>
        <w:t>.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15" w:name="page216"/>
    <w:bookmarkEnd w:id="215"/>
    <w:p>
      <w:pPr>
        <w:ind w:left="220"/>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i w:val="1"/>
          <w:iCs w:val="1"/>
          <w:color w:val="auto"/>
        </w:rPr>
        <w:t>Release of Cable Guarantee</w:t>
      </w:r>
      <w:r>
        <w:rPr>
          <w:rFonts w:ascii="Arial" w:cs="Arial" w:eastAsia="Arial" w:hAnsi="Arial"/>
          <w:sz w:val="18"/>
          <w:szCs w:val="18"/>
          <w:color w:val="auto"/>
        </w:rPr>
        <w:t>. This Cable Guarantee of a Cable Guarantor will terminate upon</w:t>
      </w:r>
    </w:p>
    <w:p>
      <w:pPr>
        <w:spacing w:after="0" w:line="111" w:lineRule="exact"/>
        <w:rPr>
          <w:sz w:val="20"/>
          <w:szCs w:val="20"/>
          <w:color w:val="auto"/>
        </w:rPr>
      </w:pPr>
    </w:p>
    <w:p>
      <w:pPr>
        <w:ind w:firstLine="227"/>
        <w:spacing w:after="0" w:line="255" w:lineRule="auto"/>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82" w:lineRule="exact"/>
        <w:rPr>
          <w:rFonts w:ascii="Arial" w:cs="Arial" w:eastAsia="Arial" w:hAnsi="Arial"/>
          <w:sz w:val="18"/>
          <w:szCs w:val="18"/>
          <w:color w:val="auto"/>
        </w:rPr>
      </w:pPr>
    </w:p>
    <w:p>
      <w:pPr>
        <w:ind w:left="480" w:hanging="253"/>
        <w:spacing w:after="0"/>
        <w:tabs>
          <w:tab w:leader="none" w:pos="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Defeasance or discharge of the Securities, as provided in Article 9.</w:t>
      </w:r>
    </w:p>
    <w:p>
      <w:pPr>
        <w:spacing w:after="0" w:line="111" w:lineRule="exact"/>
        <w:rPr>
          <w:sz w:val="20"/>
          <w:szCs w:val="20"/>
          <w:color w:val="auto"/>
        </w:rPr>
      </w:pPr>
    </w:p>
    <w:p>
      <w:pPr>
        <w:ind w:right="640" w:firstLine="221"/>
        <w:spacing w:after="0" w:line="366" w:lineRule="auto"/>
        <w:rPr>
          <w:sz w:val="20"/>
          <w:szCs w:val="20"/>
          <w:color w:val="auto"/>
        </w:rPr>
      </w:pPr>
      <w:r>
        <w:rPr>
          <w:rFonts w:ascii="Arial" w:cs="Arial" w:eastAsia="Arial" w:hAnsi="Arial"/>
          <w:sz w:val="15"/>
          <w:szCs w:val="15"/>
          <w:color w:val="auto"/>
        </w:rPr>
        <w:t>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3" w:right="319" w:bottom="1440" w:gutter="0" w:footer="0" w:header="0"/>
        </w:sectPr>
      </w:pPr>
    </w:p>
    <w:bookmarkStart w:id="216" w:name="page217"/>
    <w:bookmarkEnd w:id="216"/>
    <w:p>
      <w:pPr>
        <w:ind w:firstLine="221"/>
        <w:spacing w:after="0" w:line="265" w:lineRule="auto"/>
        <w:rPr>
          <w:sz w:val="20"/>
          <w:szCs w:val="20"/>
          <w:color w:val="auto"/>
        </w:rPr>
      </w:pPr>
      <w:r>
        <w:rPr>
          <w:rFonts w:ascii="Arial" w:cs="Arial" w:eastAsia="Arial" w:hAnsi="Arial"/>
          <w:sz w:val="18"/>
          <w:szCs w:val="18"/>
          <w:color w:val="auto"/>
        </w:rPr>
        <w:t>IN WITNESS WHEREOF, the parties hereto have caused this Indenture to be duly executed, and their respective corporate seals to be hereunto affixed and attested, all as of the first date written above.</w:t>
      </w:r>
    </w:p>
    <w:p>
      <w:pPr>
        <w:spacing w:after="0" w:line="1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CORPORATION, as Issuer</w:t>
      </w: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923" w:right="439" w:bottom="1440" w:gutter="0" w:footer="0" w:header="0"/>
        </w:sectPr>
      </w:pPr>
    </w:p>
    <w:bookmarkStart w:id="217" w:name="page218"/>
    <w:bookmarkEnd w:id="217"/>
    <w:p>
      <w:pPr>
        <w:ind w:left="5700"/>
        <w:spacing w:after="0"/>
        <w:rPr>
          <w:sz w:val="20"/>
          <w:szCs w:val="20"/>
          <w:color w:val="auto"/>
        </w:rPr>
      </w:pPr>
      <w:r>
        <w:rPr>
          <w:rFonts w:ascii="Arial" w:cs="Arial" w:eastAsia="Arial" w:hAnsi="Arial"/>
          <w:sz w:val="18"/>
          <w:szCs w:val="18"/>
          <w:color w:val="auto"/>
        </w:rPr>
        <w:t>THE BANK OF NEW YORK, as Trustee</w:t>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CABLE COMMUNICATIONS, LLC</w:t>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COMCAST CABLE COMMUNICATIONS, HOLDINGS, INC.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135" w:right="1399" w:bottom="1440" w:gutter="0" w:footer="0" w:header="0"/>
        </w:sectPr>
      </w:pPr>
    </w:p>
    <w:bookmarkStart w:id="218" w:name="page219"/>
    <w:bookmarkEnd w:id="218"/>
    <w:p>
      <w:pPr>
        <w:ind w:left="5700"/>
        <w:spacing w:after="0"/>
        <w:rPr>
          <w:sz w:val="20"/>
          <w:szCs w:val="20"/>
          <w:color w:val="auto"/>
        </w:rPr>
      </w:pPr>
      <w:r>
        <w:rPr>
          <w:rFonts w:ascii="Arial" w:cs="Arial" w:eastAsia="Arial" w:hAnsi="Arial"/>
          <w:sz w:val="17"/>
          <w:szCs w:val="17"/>
          <w:color w:val="auto"/>
        </w:rPr>
        <w:t>COMCAST CABLE HOLDINGS,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MO GROUP, INC.</w:t>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COMCAST MO OF DELAWARE,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11430</wp:posOffset>
            </wp:positionV>
            <wp:extent cx="33254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31654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19"/>
          </w:cols>
          <w:pgMar w:left="240" w:top="1135"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1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March 27, 2006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 am Senior Vice President, General Counsel and Secretary of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have acted for the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Company in connection with the Company’s Registration Statement on Form S-3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filed on the date hereof with the Securities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Exchange Commission pursuant to the Securities Act of 1933, as amended, for the registration of the sale from time to time of the Company’s (i) senior debt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subordinated debt securities (together, the “</w:t>
      </w:r>
      <w:r>
        <w:rPr>
          <w:rFonts w:ascii="Arial" w:cs="Arial" w:eastAsia="Arial" w:hAnsi="Arial"/>
          <w:sz w:val="15"/>
          <w:szCs w:val="15"/>
          <w:b w:val="1"/>
          <w:bCs w:val="1"/>
          <w:color w:val="auto"/>
        </w:rPr>
        <w:t>Debt Securities</w:t>
      </w:r>
      <w:r>
        <w:rPr>
          <w:rFonts w:ascii="Arial" w:cs="Arial" w:eastAsia="Arial" w:hAnsi="Arial"/>
          <w:sz w:val="15"/>
          <w:szCs w:val="15"/>
          <w:color w:val="auto"/>
        </w:rPr>
        <w:t>”), that shall be fully and unconditionally guaranteed by each of Comcast Cable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LLC, Comcast Cable Communications Holdings, Inc., Comcast Cable Holdings, LLC, Comcast MO Group, Inc. and Comcast MO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Delaware, LLC (together, the “</w:t>
      </w:r>
      <w:r>
        <w:rPr>
          <w:rFonts w:ascii="Arial" w:cs="Arial" w:eastAsia="Arial" w:hAnsi="Arial"/>
          <w:sz w:val="15"/>
          <w:szCs w:val="15"/>
          <w:b w:val="1"/>
          <w:bCs w:val="1"/>
          <w:color w:val="auto"/>
        </w:rPr>
        <w:t>Cable Guarantors</w:t>
      </w:r>
      <w:r>
        <w:rPr>
          <w:rFonts w:ascii="Arial" w:cs="Arial" w:eastAsia="Arial" w:hAnsi="Arial"/>
          <w:sz w:val="15"/>
          <w:szCs w:val="15"/>
          <w:color w:val="auto"/>
        </w:rPr>
        <w:t>”), (ii) shares of preferred stock, without par value (the “</w:t>
      </w:r>
      <w:r>
        <w:rPr>
          <w:rFonts w:ascii="Arial" w:cs="Arial" w:eastAsia="Arial" w:hAnsi="Arial"/>
          <w:sz w:val="15"/>
          <w:szCs w:val="15"/>
          <w:b w:val="1"/>
          <w:bCs w:val="1"/>
          <w:color w:val="auto"/>
        </w:rPr>
        <w:t>Preferred Stock</w:t>
      </w:r>
      <w:r>
        <w:rPr>
          <w:rFonts w:ascii="Arial" w:cs="Arial" w:eastAsia="Arial" w:hAnsi="Arial"/>
          <w:sz w:val="15"/>
          <w:szCs w:val="15"/>
          <w:color w:val="auto"/>
        </w:rPr>
        <w:t>”), (iii) shares of Class A Common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Stock, $0.01 par value (the “</w:t>
      </w:r>
      <w:r>
        <w:rPr>
          <w:rFonts w:ascii="Arial" w:cs="Arial" w:eastAsia="Arial" w:hAnsi="Arial"/>
          <w:sz w:val="15"/>
          <w:szCs w:val="15"/>
          <w:b w:val="1"/>
          <w:bCs w:val="1"/>
          <w:color w:val="auto"/>
        </w:rPr>
        <w:t>Class A Common Stock</w:t>
      </w:r>
      <w:r>
        <w:rPr>
          <w:rFonts w:ascii="Arial" w:cs="Arial" w:eastAsia="Arial" w:hAnsi="Arial"/>
          <w:sz w:val="15"/>
          <w:szCs w:val="15"/>
          <w:color w:val="auto"/>
        </w:rPr>
        <w:t>”), (iv) shares of Class A Special Common Stock, $0.01 par value (the “</w:t>
      </w:r>
      <w:r>
        <w:rPr>
          <w:rFonts w:ascii="Arial" w:cs="Arial" w:eastAsia="Arial" w:hAnsi="Arial"/>
          <w:sz w:val="15"/>
          <w:szCs w:val="15"/>
          <w:b w:val="1"/>
          <w:bCs w:val="1"/>
          <w:color w:val="auto"/>
        </w:rPr>
        <w:t>Class A Special Common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w:t>
      </w:r>
      <w:r>
        <w:rPr>
          <w:rFonts w:ascii="Arial" w:cs="Arial" w:eastAsia="Arial" w:hAnsi="Arial"/>
          <w:sz w:val="15"/>
          <w:szCs w:val="15"/>
          <w:color w:val="auto"/>
        </w:rPr>
        <w:t>”), (v) warrants to purchase Debt Securities, Preferred Stock, Class A Common Stock, Class A Special Common Stock or other securities or rights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Warrants</w:t>
      </w:r>
      <w:r>
        <w:rPr>
          <w:rFonts w:ascii="Arial" w:cs="Arial" w:eastAsia="Arial" w:hAnsi="Arial"/>
          <w:sz w:val="15"/>
          <w:szCs w:val="15"/>
          <w:color w:val="auto"/>
        </w:rPr>
        <w:t>”), (vi) purchase contracts (the “</w:t>
      </w:r>
      <w:r>
        <w:rPr>
          <w:rFonts w:ascii="Arial" w:cs="Arial" w:eastAsia="Arial" w:hAnsi="Arial"/>
          <w:sz w:val="15"/>
          <w:szCs w:val="15"/>
          <w:b w:val="1"/>
          <w:bCs w:val="1"/>
          <w:color w:val="auto"/>
        </w:rPr>
        <w:t>Purchase Contracts</w:t>
      </w:r>
      <w:r>
        <w:rPr>
          <w:rFonts w:ascii="Arial" w:cs="Arial" w:eastAsia="Arial" w:hAnsi="Arial"/>
          <w:sz w:val="15"/>
          <w:szCs w:val="15"/>
          <w:color w:val="auto"/>
        </w:rPr>
        <w:t>”) requiring the holders thereof to purchase or sell (A) the Company’s securities or securities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an entity unaffiliated or affiliated with the Company, a basket of such securities, an index or indices of such securities or any combination of the above,</w:t>
      </w:r>
    </w:p>
    <w:p>
      <w:pPr>
        <w:spacing w:after="0" w:line="17" w:lineRule="exact"/>
        <w:rPr>
          <w:sz w:val="20"/>
          <w:szCs w:val="20"/>
          <w:color w:val="auto"/>
        </w:rPr>
      </w:pPr>
    </w:p>
    <w:p>
      <w:pPr>
        <w:ind w:firstLine="6"/>
        <w:spacing w:after="0" w:line="251" w:lineRule="auto"/>
        <w:tabs>
          <w:tab w:leader="none" w:pos="2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currencies or composite currencies or (C) commodities, (vii) units (the “</w:t>
      </w:r>
      <w:r>
        <w:rPr>
          <w:rFonts w:ascii="Arial" w:cs="Arial" w:eastAsia="Arial" w:hAnsi="Arial"/>
          <w:sz w:val="18"/>
          <w:szCs w:val="18"/>
          <w:b w:val="1"/>
          <w:bCs w:val="1"/>
          <w:color w:val="auto"/>
        </w:rPr>
        <w:t>Units</w:t>
      </w:r>
      <w:r>
        <w:rPr>
          <w:rFonts w:ascii="Arial" w:cs="Arial" w:eastAsia="Arial" w:hAnsi="Arial"/>
          <w:sz w:val="18"/>
          <w:szCs w:val="18"/>
          <w:color w:val="auto"/>
        </w:rPr>
        <w:t>”) consisting of Debt Securities, Warrants, Purchase Contracts, Preferred Stock, Class A Common Stock or Class A Special Common Stock or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20" w:name="page221"/>
    <w:bookmarkEnd w:id="220"/>
    <w:p>
      <w:pPr>
        <w:jc w:val="center"/>
        <w:ind w:right="-3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20" w:firstLine="227"/>
        <w:spacing w:after="0" w:line="263" w:lineRule="auto"/>
        <w:tabs>
          <w:tab w:leader="none" w:pos="61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guarantees (the “</w:t>
      </w:r>
      <w:r>
        <w:rPr>
          <w:rFonts w:ascii="Arial" w:cs="Arial" w:eastAsia="Arial" w:hAnsi="Arial"/>
          <w:sz w:val="17"/>
          <w:szCs w:val="17"/>
          <w:b w:val="1"/>
          <w:bCs w:val="1"/>
          <w:color w:val="auto"/>
        </w:rPr>
        <w:t>Cable Guarantees</w:t>
      </w:r>
      <w:r>
        <w:rPr>
          <w:rFonts w:ascii="Arial" w:cs="Arial" w:eastAsia="Arial" w:hAnsi="Arial"/>
          <w:sz w:val="17"/>
          <w:szCs w:val="17"/>
          <w:color w:val="auto"/>
        </w:rPr>
        <w:t>”) of the Debt Securities by the Cable Guarantors and (ix) guarantees (the “</w:t>
      </w:r>
      <w:r>
        <w:rPr>
          <w:rFonts w:ascii="Arial" w:cs="Arial" w:eastAsia="Arial" w:hAnsi="Arial"/>
          <w:sz w:val="17"/>
          <w:szCs w:val="17"/>
          <w:b w:val="1"/>
          <w:bCs w:val="1"/>
          <w:color w:val="auto"/>
        </w:rPr>
        <w:t>Additional Guarantees</w:t>
      </w:r>
      <w:r>
        <w:rPr>
          <w:rFonts w:ascii="Arial" w:cs="Arial" w:eastAsia="Arial" w:hAnsi="Arial"/>
          <w:sz w:val="17"/>
          <w:szCs w:val="17"/>
          <w:color w:val="auto"/>
        </w:rPr>
        <w:t>”) of Warrants, Purchase Contracts and Units or any combination of the foregoing by the Cable Guarantors. The Debt Securities, Preferred Stock, Class A Common Stock, Class A Special Common Stock, Warrants, Purchase Contracts, Units, Cable Guarantees and Additional Guarantees are herein collectively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The Debt Securities and the Preferred Stock may be convertible and/or exchangeable for Securities or other securities or rights. The senior Debt Securities are to be issued pursuant to an Indenture dated January 7, 2003, as amended by that First Supplemental Indenture, dated as of March 26, 2003 (together, the “</w:t>
      </w:r>
      <w:r>
        <w:rPr>
          <w:rFonts w:ascii="Arial" w:cs="Arial" w:eastAsia="Arial" w:hAnsi="Arial"/>
          <w:sz w:val="17"/>
          <w:szCs w:val="17"/>
          <w:b w:val="1"/>
          <w:bCs w:val="1"/>
          <w:color w:val="auto"/>
        </w:rPr>
        <w:t>Senior Indenture</w:t>
      </w:r>
      <w:r>
        <w:rPr>
          <w:rFonts w:ascii="Arial" w:cs="Arial" w:eastAsia="Arial" w:hAnsi="Arial"/>
          <w:sz w:val="17"/>
          <w:szCs w:val="17"/>
          <w:color w:val="auto"/>
        </w:rPr>
        <w:t>”), among the Company, the Cable Guarantors and The Bank of New York, as Trustee, substantially in the form included as exhibits to the Registration Statement. The subordinated Debt Securities are to be issued pursuant to an Indenture (the “</w:t>
      </w:r>
      <w:r>
        <w:rPr>
          <w:rFonts w:ascii="Arial" w:cs="Arial" w:eastAsia="Arial" w:hAnsi="Arial"/>
          <w:sz w:val="17"/>
          <w:szCs w:val="17"/>
          <w:b w:val="1"/>
          <w:bCs w:val="1"/>
          <w:color w:val="auto"/>
        </w:rPr>
        <w:t>Subordinated Indenture</w:t>
      </w:r>
      <w:r>
        <w:rPr>
          <w:rFonts w:ascii="Arial" w:cs="Arial" w:eastAsia="Arial" w:hAnsi="Arial"/>
          <w:sz w:val="17"/>
          <w:szCs w:val="17"/>
          <w:color w:val="auto"/>
        </w:rPr>
        <w:t>”) among the Company, the Cable Guarantors and The Bank of New York, as Trustee, substantially in the form incorporated as an exhibit to the Registration Statement. The Senior Indenture and the Subordinated Indenture are hereinafter referred to individually as an “</w:t>
      </w:r>
      <w:r>
        <w:rPr>
          <w:rFonts w:ascii="Arial" w:cs="Arial" w:eastAsia="Arial" w:hAnsi="Arial"/>
          <w:sz w:val="17"/>
          <w:szCs w:val="17"/>
          <w:b w:val="1"/>
          <w:bCs w:val="1"/>
          <w:color w:val="auto"/>
        </w:rPr>
        <w:t>Indenture</w:t>
      </w:r>
      <w:r>
        <w:rPr>
          <w:rFonts w:ascii="Arial" w:cs="Arial" w:eastAsia="Arial" w:hAnsi="Arial"/>
          <w:sz w:val="17"/>
          <w:szCs w:val="17"/>
          <w:color w:val="auto"/>
        </w:rPr>
        <w:t>” and collectively as the “</w:t>
      </w:r>
      <w:r>
        <w:rPr>
          <w:rFonts w:ascii="Arial" w:cs="Arial" w:eastAsia="Arial" w:hAnsi="Arial"/>
          <w:sz w:val="17"/>
          <w:szCs w:val="17"/>
          <w:b w:val="1"/>
          <w:bCs w:val="1"/>
          <w:color w:val="auto"/>
        </w:rPr>
        <w:t>Indentures</w:t>
      </w:r>
      <w:r>
        <w:rPr>
          <w:rFonts w:ascii="Arial" w:cs="Arial" w:eastAsia="Arial" w:hAnsi="Arial"/>
          <w:sz w:val="17"/>
          <w:szCs w:val="17"/>
          <w:color w:val="auto"/>
        </w:rPr>
        <w:t>”. The Company may offer Depositary Shares (the “</w:t>
      </w:r>
      <w:r>
        <w:rPr>
          <w:rFonts w:ascii="Arial" w:cs="Arial" w:eastAsia="Arial" w:hAnsi="Arial"/>
          <w:sz w:val="17"/>
          <w:szCs w:val="17"/>
          <w:b w:val="1"/>
          <w:bCs w:val="1"/>
          <w:color w:val="auto"/>
        </w:rPr>
        <w:t>Depositary Shares</w:t>
      </w:r>
      <w:r>
        <w:rPr>
          <w:rFonts w:ascii="Arial" w:cs="Arial" w:eastAsia="Arial" w:hAnsi="Arial"/>
          <w:sz w:val="17"/>
          <w:szCs w:val="17"/>
          <w:color w:val="auto"/>
        </w:rPr>
        <w:t>”) representing interests in Preferred Stock deposited with a Depositary and evidenced by Depositary Receipts, and such Depositary Shares are also covered by the Registration Statement. The Class A Common Stock and Class A Special Common Stock may be issued with associated rights under the Rights Agreement dated as of November 18, 2002, between the Company and EquiServe Trust Company, N.A., as Rights Agent.</w:t>
      </w:r>
    </w:p>
    <w:p>
      <w:pPr>
        <w:spacing w:after="0" w:line="85"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the basis of the foregoing, I am of the opinion that:</w:t>
      </w:r>
    </w:p>
    <w:p>
      <w:pPr>
        <w:spacing w:after="0" w:line="111" w:lineRule="exact"/>
        <w:rPr>
          <w:sz w:val="20"/>
          <w:szCs w:val="20"/>
          <w:color w:val="auto"/>
        </w:rPr>
      </w:pPr>
    </w:p>
    <w:p>
      <w:pPr>
        <w:jc w:val="both"/>
        <w:ind w:firstLine="227"/>
        <w:spacing w:after="0" w:line="309" w:lineRule="auto"/>
        <w:tabs>
          <w:tab w:leader="none" w:pos="398" w:val="left"/>
        </w:tabs>
        <w:numPr>
          <w:ilvl w:val="0"/>
          <w:numId w:val="148"/>
        </w:numPr>
        <w:rPr>
          <w:rFonts w:ascii="Arial" w:cs="Arial" w:eastAsia="Arial" w:hAnsi="Arial"/>
          <w:sz w:val="15"/>
          <w:szCs w:val="15"/>
          <w:color w:val="auto"/>
        </w:rPr>
      </w:pPr>
      <w:r>
        <w:rPr>
          <w:rFonts w:ascii="Arial" w:cs="Arial" w:eastAsia="Arial" w:hAnsi="Arial"/>
          <w:sz w:val="15"/>
          <w:szCs w:val="15"/>
          <w:color w:val="auto"/>
        </w:rPr>
        <w:t>Upon designation of the preferences and relative, participating, optional and other special rights, and qualifications, limitations or restrictions,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against payment therefor in accordance with the applicable underwriting or other agreement or upon conversion in accordance with the terms of any other Security that has been duly authorized, issued, paid for and delivered,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color w:val="auto"/>
        </w:rPr>
        <w:t>3</w:t>
      </w:r>
    </w:p>
    <w:p>
      <w:pPr>
        <w:spacing w:after="0" w:line="191" w:lineRule="exact"/>
        <w:rPr>
          <w:sz w:val="20"/>
          <w:szCs w:val="20"/>
          <w:color w:val="auto"/>
        </w:rPr>
      </w:pPr>
    </w:p>
    <w:p>
      <w:pPr>
        <w:ind w:left="400" w:hanging="173"/>
        <w:spacing w:after="0"/>
        <w:tabs>
          <w:tab w:leader="none" w:pos="4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When the specific terms of any offering or offerings of Class A Special Common Stock have been duly established by the Board of Directors of the</w:t>
      </w:r>
    </w:p>
    <w:p>
      <w:pPr>
        <w:spacing w:after="0" w:line="28" w:lineRule="exact"/>
        <w:rPr>
          <w:rFonts w:ascii="Arial" w:cs="Arial" w:eastAsia="Arial" w:hAnsi="Arial"/>
          <w:sz w:val="17"/>
          <w:szCs w:val="17"/>
          <w:color w:val="auto"/>
        </w:rPr>
      </w:pPr>
    </w:p>
    <w:p>
      <w:pPr>
        <w:spacing w:after="0" w:line="247" w:lineRule="auto"/>
        <w:rPr>
          <w:rFonts w:ascii="Arial" w:cs="Arial" w:eastAsia="Arial" w:hAnsi="Arial"/>
          <w:sz w:val="17"/>
          <w:szCs w:val="17"/>
          <w:color w:val="auto"/>
        </w:rPr>
      </w:pPr>
      <w:r>
        <w:rPr>
          <w:rFonts w:ascii="Arial" w:cs="Arial" w:eastAsia="Arial" w:hAnsi="Arial"/>
          <w:sz w:val="18"/>
          <w:szCs w:val="18"/>
          <w:color w:val="auto"/>
        </w:rPr>
        <w:t>Company and in accordance with provisions of any applicable underwriting agreement so as not to violate any applicable law or agreement or instrument then binding on the Company, and shares of the Class A Special Common Stock have been issued and sold against payment therefor in accordance with the applicable underwriting or other agreement or upon exchange in accordance with the terms of any Security that has been duly authorized, issued, paid for and delivered, such shares will be validly issued, fully paid and non-assessable.</w:t>
      </w:r>
    </w:p>
    <w:p>
      <w:pPr>
        <w:spacing w:after="0" w:line="91" w:lineRule="exact"/>
        <w:rPr>
          <w:rFonts w:ascii="Arial" w:cs="Arial" w:eastAsia="Arial" w:hAnsi="Arial"/>
          <w:sz w:val="17"/>
          <w:szCs w:val="17"/>
          <w:color w:val="auto"/>
        </w:rPr>
      </w:pPr>
    </w:p>
    <w:p>
      <w:pPr>
        <w:jc w:val="both"/>
        <w:ind w:right="60" w:firstLine="227"/>
        <w:spacing w:after="0" w:line="250" w:lineRule="auto"/>
        <w:tabs>
          <w:tab w:leader="none" w:pos="3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When the specific terms of any offering or offerings of Class A Common Stock have been duly established by the Board of Directors of the Company and in accordance with provisions of any applicable underwriting agreement so as not to violate any applicable law or agreement or instrument then binding on the Company, and shares of the Class A Common Stock have been issued and sold against payment therefor in accordance with the applicable underwriting or other agreement or upon exchange in accordance with the terms of any other Security that has been duly authorized, issued, paid for and delivered, such shares will be validly issued, fully paid and non-assessable.</w:t>
      </w:r>
    </w:p>
    <w:p>
      <w:pPr>
        <w:spacing w:after="0" w:line="88" w:lineRule="exact"/>
        <w:rPr>
          <w:rFonts w:ascii="Arial" w:cs="Arial" w:eastAsia="Arial" w:hAnsi="Arial"/>
          <w:sz w:val="18"/>
          <w:szCs w:val="18"/>
          <w:color w:val="auto"/>
        </w:rPr>
      </w:pPr>
    </w:p>
    <w:p>
      <w:pPr>
        <w:ind w:right="140" w:firstLine="227"/>
        <w:spacing w:after="0" w:line="255" w:lineRule="auto"/>
        <w:tabs>
          <w:tab w:leader="none" w:pos="3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83" w:lineRule="exact"/>
        <w:rPr>
          <w:sz w:val="20"/>
          <w:szCs w:val="20"/>
          <w:color w:val="auto"/>
        </w:rPr>
      </w:pPr>
    </w:p>
    <w:p>
      <w:pPr>
        <w:ind w:right="180" w:firstLine="221"/>
        <w:spacing w:after="0" w:line="309" w:lineRule="auto"/>
        <w:rPr>
          <w:sz w:val="20"/>
          <w:szCs w:val="20"/>
          <w:color w:val="auto"/>
        </w:rPr>
      </w:pPr>
      <w:r>
        <w:rPr>
          <w:rFonts w:ascii="Arial" w:cs="Arial" w:eastAsia="Arial" w:hAnsi="Arial"/>
          <w:sz w:val="15"/>
          <w:szCs w:val="15"/>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deemed or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46"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5360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22" w:name="page223"/>
    <w:bookmarkEnd w:id="222"/>
    <w:p>
      <w:pPr>
        <w:jc w:val="center"/>
        <w:ind w:right="-79"/>
        <w:spacing w:after="0"/>
        <w:rPr>
          <w:sz w:val="20"/>
          <w:szCs w:val="20"/>
          <w:color w:val="auto"/>
        </w:rPr>
      </w:pPr>
      <w:r>
        <w:rPr>
          <w:rFonts w:ascii="Arial" w:cs="Arial" w:eastAsia="Arial" w:hAnsi="Arial"/>
          <w:sz w:val="18"/>
          <w:szCs w:val="18"/>
          <w:color w:val="auto"/>
        </w:rPr>
        <w:t>4</w:t>
      </w:r>
    </w:p>
    <w:p>
      <w:pPr>
        <w:spacing w:after="0" w:line="191"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I hereby consent to the filing of this opinion as an exhibit to the Registration Statement. In addition, I consent to the reference to me under the caption “Legal Matters” in the prospectus, which is a part of the Registration Statement.</w:t>
      </w:r>
    </w:p>
    <w:p>
      <w:pPr>
        <w:spacing w:after="0" w:line="73"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340"/>
          </w:cols>
          <w:pgMar w:left="240" w:top="923"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217170</wp:posOffset>
            </wp:positionV>
            <wp:extent cx="6331585" cy="19704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31585"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tabs>
          <w:tab w:leader="none" w:pos="2680" w:val="left"/>
        </w:tabs>
        <w:rPr>
          <w:sz w:val="20"/>
          <w:szCs w:val="20"/>
          <w:color w:val="auto"/>
        </w:rPr>
      </w:pPr>
      <w:r>
        <w:rPr>
          <w:rFonts w:ascii="Arial" w:cs="Arial" w:eastAsia="Arial" w:hAnsi="Arial"/>
          <w:sz w:val="25"/>
          <w:szCs w:val="25"/>
          <w:color w:val="FFFFFF"/>
        </w:rPr>
        <w:t>1600 El Camino Real</w:t>
      </w:r>
      <w:r>
        <w:rPr>
          <w:sz w:val="20"/>
          <w:szCs w:val="20"/>
          <w:color w:val="auto"/>
        </w:rPr>
        <w:tab/>
      </w:r>
      <w:r>
        <w:rPr>
          <w:rFonts w:ascii="Arial" w:cs="Arial" w:eastAsia="Arial" w:hAnsi="Arial"/>
          <w:sz w:val="22"/>
          <w:szCs w:val="22"/>
          <w:color w:val="FFFFFF"/>
        </w:rPr>
        <w:t>Menlo Park, CA 94025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27, 2006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5" w:lineRule="exact"/>
        <w:rPr>
          <w:sz w:val="20"/>
          <w:szCs w:val="20"/>
          <w:color w:val="auto"/>
        </w:rPr>
      </w:pPr>
    </w:p>
    <w:p>
      <w:pPr>
        <w:ind w:right="100" w:firstLine="218"/>
        <w:spacing w:after="0" w:line="302" w:lineRule="auto"/>
        <w:rPr>
          <w:sz w:val="20"/>
          <w:szCs w:val="20"/>
          <w:color w:val="auto"/>
        </w:rPr>
      </w:pPr>
      <w:r>
        <w:rPr>
          <w:rFonts w:ascii="Arial" w:cs="Arial" w:eastAsia="Arial" w:hAnsi="Arial"/>
          <w:sz w:val="15"/>
          <w:szCs w:val="15"/>
          <w:color w:val="auto"/>
        </w:rPr>
        <w:t>We have acted as your counsel in connection with the Registration Statement on Form S-3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of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filed on the date hereof with the Securities and Exchange Commission pursuant to the Securities Act of 1933, as amended, for the registration of the sale from time to time of the Company’s (i) senior debt securities and subordinated debt securities (together,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that shall be fully and unconditionally guaranteed by each of Comcast Cable Communications, LLC, Comcast Cable Communications Holdings,</w:t>
      </w:r>
      <w:r>
        <w:rPr>
          <w:rFonts w:ascii="Arial" w:cs="Arial" w:eastAsia="Arial" w:hAnsi="Arial"/>
          <w:sz w:val="15"/>
          <w:szCs w:val="15"/>
          <w:b w:val="1"/>
          <w:bCs w:val="1"/>
          <w:color w:val="auto"/>
        </w:rPr>
        <w:t xml:space="preserve"> </w:t>
      </w:r>
      <w:r>
        <w:rPr>
          <w:rFonts w:ascii="Arial" w:cs="Arial" w:eastAsia="Arial" w:hAnsi="Arial"/>
          <w:sz w:val="15"/>
          <w:szCs w:val="15"/>
          <w:color w:val="auto"/>
        </w:rPr>
        <w:t>Inc., Comcast Cable Holdings, LLC, Comcast MO Group, Inc., and Comcast MO of Delaware, LLC. (collectively, the “</w:t>
      </w:r>
      <w:r>
        <w:rPr>
          <w:rFonts w:ascii="Arial" w:cs="Arial" w:eastAsia="Arial" w:hAnsi="Arial"/>
          <w:sz w:val="15"/>
          <w:szCs w:val="15"/>
          <w:b w:val="1"/>
          <w:bCs w:val="1"/>
          <w:color w:val="auto"/>
        </w:rPr>
        <w:t>Cable Guarantors</w:t>
      </w:r>
      <w:r>
        <w:rPr>
          <w:rFonts w:ascii="Arial" w:cs="Arial" w:eastAsia="Arial" w:hAnsi="Arial"/>
          <w:sz w:val="15"/>
          <w:szCs w:val="15"/>
          <w:color w:val="auto"/>
        </w:rPr>
        <w:t>”), (ii) shares of preferred stock, without par value (the “</w:t>
      </w:r>
      <w:r>
        <w:rPr>
          <w:rFonts w:ascii="Arial" w:cs="Arial" w:eastAsia="Arial" w:hAnsi="Arial"/>
          <w:sz w:val="15"/>
          <w:szCs w:val="15"/>
          <w:b w:val="1"/>
          <w:bCs w:val="1"/>
          <w:color w:val="auto"/>
        </w:rPr>
        <w:t>Preferred Stock</w:t>
      </w:r>
      <w:r>
        <w:rPr>
          <w:rFonts w:ascii="Arial" w:cs="Arial" w:eastAsia="Arial" w:hAnsi="Arial"/>
          <w:sz w:val="15"/>
          <w:szCs w:val="15"/>
          <w:color w:val="auto"/>
        </w:rPr>
        <w:t>”), (iii) shares of Class A Common Stock, $0.01 par value (the “</w:t>
      </w:r>
      <w:r>
        <w:rPr>
          <w:rFonts w:ascii="Arial" w:cs="Arial" w:eastAsia="Arial" w:hAnsi="Arial"/>
          <w:sz w:val="15"/>
          <w:szCs w:val="15"/>
          <w:b w:val="1"/>
          <w:bCs w:val="1"/>
          <w:color w:val="auto"/>
        </w:rPr>
        <w:t>Class A Common Stock</w:t>
      </w:r>
      <w:r>
        <w:rPr>
          <w:rFonts w:ascii="Arial" w:cs="Arial" w:eastAsia="Arial" w:hAnsi="Arial"/>
          <w:sz w:val="15"/>
          <w:szCs w:val="15"/>
          <w:color w:val="auto"/>
        </w:rPr>
        <w:t>”), (iv) shares of Class A Special Common Stock, $0.01 par value (the “</w:t>
      </w:r>
      <w:r>
        <w:rPr>
          <w:rFonts w:ascii="Arial" w:cs="Arial" w:eastAsia="Arial" w:hAnsi="Arial"/>
          <w:sz w:val="15"/>
          <w:szCs w:val="15"/>
          <w:b w:val="1"/>
          <w:bCs w:val="1"/>
          <w:color w:val="auto"/>
        </w:rPr>
        <w:t>Class A Special Common Stock</w:t>
      </w:r>
      <w:r>
        <w:rPr>
          <w:rFonts w:ascii="Arial" w:cs="Arial" w:eastAsia="Arial" w:hAnsi="Arial"/>
          <w:sz w:val="15"/>
          <w:szCs w:val="15"/>
          <w:color w:val="auto"/>
        </w:rPr>
        <w:t>”), (v) warrants to purchase Debt Securities, Preferred Stock, Class A Common Stock, Class A Special Common Stock or other securities or rights (the “</w:t>
      </w:r>
      <w:r>
        <w:rPr>
          <w:rFonts w:ascii="Arial" w:cs="Arial" w:eastAsia="Arial" w:hAnsi="Arial"/>
          <w:sz w:val="15"/>
          <w:szCs w:val="15"/>
          <w:b w:val="1"/>
          <w:bCs w:val="1"/>
          <w:color w:val="auto"/>
        </w:rPr>
        <w:t>Warrants</w:t>
      </w:r>
      <w:r>
        <w:rPr>
          <w:rFonts w:ascii="Arial" w:cs="Arial" w:eastAsia="Arial" w:hAnsi="Arial"/>
          <w:sz w:val="15"/>
          <w:szCs w:val="15"/>
          <w:color w:val="auto"/>
        </w:rPr>
        <w:t>”), (vi) purchase contracts (the “</w:t>
      </w:r>
      <w:r>
        <w:rPr>
          <w:rFonts w:ascii="Arial" w:cs="Arial" w:eastAsia="Arial" w:hAnsi="Arial"/>
          <w:sz w:val="15"/>
          <w:szCs w:val="15"/>
          <w:b w:val="1"/>
          <w:bCs w:val="1"/>
          <w:color w:val="auto"/>
        </w:rPr>
        <w:t>Purchase Contracts</w:t>
      </w:r>
      <w:r>
        <w:rPr>
          <w:rFonts w:ascii="Arial" w:cs="Arial" w:eastAsia="Arial" w:hAnsi="Arial"/>
          <w:sz w:val="15"/>
          <w:szCs w:val="15"/>
          <w:color w:val="auto"/>
        </w:rPr>
        <w: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(vii) units (the “</w:t>
      </w:r>
      <w:r>
        <w:rPr>
          <w:rFonts w:ascii="Arial" w:cs="Arial" w:eastAsia="Arial" w:hAnsi="Arial"/>
          <w:sz w:val="15"/>
          <w:szCs w:val="15"/>
          <w:b w:val="1"/>
          <w:bCs w:val="1"/>
          <w:color w:val="auto"/>
        </w:rPr>
        <w:t>Units</w:t>
      </w:r>
      <w:r>
        <w:rPr>
          <w:rFonts w:ascii="Arial" w:cs="Arial" w:eastAsia="Arial" w:hAnsi="Arial"/>
          <w:sz w:val="15"/>
          <w:szCs w:val="15"/>
          <w:color w:val="auto"/>
        </w:rPr>
        <w:t>”) consisting of Debt Securities, Warrants, Purchase Contracts, Preferred Stock, Class A Common Stock or Class A Special Common Stock or any combination of the foregoing, (viii) guarantees (the “</w:t>
      </w:r>
      <w:r>
        <w:rPr>
          <w:rFonts w:ascii="Arial" w:cs="Arial" w:eastAsia="Arial" w:hAnsi="Arial"/>
          <w:sz w:val="15"/>
          <w:szCs w:val="15"/>
          <w:b w:val="1"/>
          <w:bCs w:val="1"/>
          <w:color w:val="auto"/>
        </w:rPr>
        <w:t>Cable Guarantees</w:t>
      </w:r>
      <w:r>
        <w:rPr>
          <w:rFonts w:ascii="Arial" w:cs="Arial" w:eastAsia="Arial" w:hAnsi="Arial"/>
          <w:sz w:val="15"/>
          <w:szCs w:val="15"/>
          <w:color w:val="auto"/>
        </w:rPr>
        <w:t>”) of the Debt Securities by the Cable Guarantors and (ix) guarantees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725360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24" w:name="page225"/>
    <w:bookmarkEnd w:id="224"/>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Guarantees</w:t>
      </w:r>
      <w:r>
        <w:rPr>
          <w:rFonts w:ascii="Arial" w:cs="Arial" w:eastAsia="Arial" w:hAnsi="Arial"/>
          <w:sz w:val="15"/>
          <w:szCs w:val="15"/>
          <w:color w:val="auto"/>
        </w:rPr>
        <w:t>”) of Warrants, Purchase Contracts and Units or any combination of the foregoing by the Cable Guarantors. The Debt Securities,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Class A Common Stock, Class A Special Common Stock, Warrants, Purchase Contracts, Units, Cable Guarantees and Additional Guarantees are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herein collectively referred to as the “</w:t>
      </w:r>
      <w:r>
        <w:rPr>
          <w:rFonts w:ascii="Arial" w:cs="Arial" w:eastAsia="Arial" w:hAnsi="Arial"/>
          <w:sz w:val="15"/>
          <w:szCs w:val="15"/>
          <w:b w:val="1"/>
          <w:bCs w:val="1"/>
          <w:color w:val="auto"/>
        </w:rPr>
        <w:t>Securities</w:t>
      </w:r>
      <w:r>
        <w:rPr>
          <w:rFonts w:ascii="Arial" w:cs="Arial" w:eastAsia="Arial" w:hAnsi="Arial"/>
          <w:sz w:val="15"/>
          <w:szCs w:val="15"/>
          <w:color w:val="auto"/>
        </w:rPr>
        <w:t>.” The Debt Securities and the Preferred Stock may be convertible and/or exchangeable for Securities or other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securities or rights. The senior Debt Securities are to be issued pursuant to an Indenture, dated as of January 7, 2003, as amended by that First Supplemental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Indenture, dated as of March 26, 2003 (together, the “</w:t>
      </w:r>
      <w:r>
        <w:rPr>
          <w:rFonts w:ascii="Arial" w:cs="Arial" w:eastAsia="Arial" w:hAnsi="Arial"/>
          <w:sz w:val="15"/>
          <w:szCs w:val="15"/>
          <w:b w:val="1"/>
          <w:bCs w:val="1"/>
          <w:color w:val="auto"/>
        </w:rPr>
        <w:t>Senior Indenture</w:t>
      </w:r>
      <w:r>
        <w:rPr>
          <w:rFonts w:ascii="Arial" w:cs="Arial" w:eastAsia="Arial" w:hAnsi="Arial"/>
          <w:sz w:val="15"/>
          <w:szCs w:val="15"/>
          <w:color w:val="auto"/>
        </w:rPr>
        <w:t>”), among the Company, the Cable Guarantors and The Bank of New York, as Trustee.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subordinated Debt Securities are to be issued pursuant to an Indenture (the “</w:t>
      </w:r>
      <w:r>
        <w:rPr>
          <w:rFonts w:ascii="Arial" w:cs="Arial" w:eastAsia="Arial" w:hAnsi="Arial"/>
          <w:sz w:val="15"/>
          <w:szCs w:val="15"/>
          <w:b w:val="1"/>
          <w:bCs w:val="1"/>
          <w:color w:val="auto"/>
        </w:rPr>
        <w:t>Subordinated Indenture</w:t>
      </w:r>
      <w:r>
        <w:rPr>
          <w:rFonts w:ascii="Arial" w:cs="Arial" w:eastAsia="Arial" w:hAnsi="Arial"/>
          <w:sz w:val="15"/>
          <w:szCs w:val="15"/>
          <w:color w:val="auto"/>
        </w:rPr>
        <w:t>”) among the Company, the Cable Guarantors and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Bank of New York, as Trustee, substantially in the form attached as an exhibit to the Registration Statement. The Senior Indenture and the Subordinated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Indenture are hereinafter referred to individually as an “</w:t>
      </w:r>
      <w:r>
        <w:rPr>
          <w:rFonts w:ascii="Arial" w:cs="Arial" w:eastAsia="Arial" w:hAnsi="Arial"/>
          <w:sz w:val="15"/>
          <w:szCs w:val="15"/>
          <w:b w:val="1"/>
          <w:bCs w:val="1"/>
          <w:color w:val="auto"/>
        </w:rPr>
        <w:t>Indenture</w:t>
      </w:r>
      <w:r>
        <w:rPr>
          <w:rFonts w:ascii="Arial" w:cs="Arial" w:eastAsia="Arial" w:hAnsi="Arial"/>
          <w:sz w:val="15"/>
          <w:szCs w:val="15"/>
          <w:color w:val="auto"/>
        </w:rPr>
        <w:t>” and collectively as the “</w:t>
      </w:r>
      <w:r>
        <w:rPr>
          <w:rFonts w:ascii="Arial" w:cs="Arial" w:eastAsia="Arial" w:hAnsi="Arial"/>
          <w:sz w:val="15"/>
          <w:szCs w:val="15"/>
          <w:b w:val="1"/>
          <w:bCs w:val="1"/>
          <w:color w:val="auto"/>
        </w:rPr>
        <w:t>Indentures</w:t>
      </w:r>
      <w:r>
        <w:rPr>
          <w:rFonts w:ascii="Arial" w:cs="Arial" w:eastAsia="Arial" w:hAnsi="Arial"/>
          <w:sz w:val="15"/>
          <w:szCs w:val="15"/>
          <w:color w:val="auto"/>
        </w:rPr>
        <w:t>.” The Company may offer Depositary Shares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 Shares</w:t>
      </w:r>
      <w:r>
        <w:rPr>
          <w:rFonts w:ascii="Arial" w:cs="Arial" w:eastAsia="Arial" w:hAnsi="Arial"/>
          <w:sz w:val="15"/>
          <w:szCs w:val="15"/>
          <w:color w:val="auto"/>
        </w:rPr>
        <w:t>”) representing interests in Preferred Stock deposited with a Depositary and evidenced by Depositary Receipts, and such Depositary Shares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are also covered by the Registration Statement. The Class A Common Stock and Class A Special Common Stock may be issued with associated rights under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 dated as of November 18, 2002, between the Company and EquiServe Trust Company, N.A., as Rights Agent.</w:t>
      </w:r>
    </w:p>
    <w:p>
      <w:pPr>
        <w:spacing w:after="0" w:line="100" w:lineRule="exact"/>
        <w:rPr>
          <w:sz w:val="20"/>
          <w:szCs w:val="20"/>
          <w:color w:val="auto"/>
        </w:rPr>
      </w:pPr>
    </w:p>
    <w:p>
      <w:pPr>
        <w:ind w:right="600" w:firstLine="218"/>
        <w:spacing w:after="0" w:line="265"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the basis of the foregoing, we are of the opinion that:</w:t>
      </w:r>
    </w:p>
    <w:p>
      <w:pPr>
        <w:spacing w:after="0" w:line="111" w:lineRule="exact"/>
        <w:rPr>
          <w:sz w:val="20"/>
          <w:szCs w:val="20"/>
          <w:color w:val="auto"/>
        </w:rPr>
      </w:pPr>
    </w:p>
    <w:p>
      <w:pPr>
        <w:ind w:left="240" w:firstLine="215"/>
        <w:spacing w:after="0" w:line="249"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When the Indentures have been duly authorized, executed and delivered (or with respect to the Senior Indenture, assuming the Senior Indenture has been duly authorized, executed and delivered by the Trustee and the Company) by the Trustee, the Company and the Cable Guarantors, the specific terms of a particular Debt Security have been duly authorized and established in accordance with the applicable Indenture and such Debt Security has been duly authorized, executed, authenticated, issued and delivered in accordance with the applicable Indenture and the applicable underwriting or other agreement, such Debt Security will constitute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87" w:lineRule="exact"/>
        <w:rPr>
          <w:rFonts w:ascii="Arial" w:cs="Arial" w:eastAsia="Arial" w:hAnsi="Arial"/>
          <w:sz w:val="18"/>
          <w:szCs w:val="18"/>
          <w:color w:val="auto"/>
        </w:rPr>
      </w:pPr>
    </w:p>
    <w:p>
      <w:pPr>
        <w:ind w:left="240" w:right="360" w:firstLine="215"/>
        <w:spacing w:after="0" w:line="366" w:lineRule="auto"/>
        <w:tabs>
          <w:tab w:leader="none" w:pos="63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When the Indentures have been duly authorized, executed and delivered (or with respect to the Senior Indenture, assuming the Senior Indenture has been duly authorized, executed and delivered by the Trustee and the Company) by the Trustee, the Company and the Cable Guarantors, the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25360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25" w:name="page226"/>
    <w:bookmarkEnd w:id="225"/>
    <w:p>
      <w:pPr>
        <w:ind w:right="40"/>
        <w:spacing w:after="0" w:line="269" w:lineRule="auto"/>
        <w:rPr>
          <w:sz w:val="20"/>
          <w:szCs w:val="20"/>
          <w:color w:val="auto"/>
        </w:rPr>
      </w:pPr>
      <w:r>
        <w:rPr>
          <w:rFonts w:ascii="Arial" w:cs="Arial" w:eastAsia="Arial" w:hAnsi="Arial"/>
          <w:sz w:val="17"/>
          <w:szCs w:val="17"/>
          <w:color w:val="auto"/>
        </w:rPr>
        <w:t>terms of a particular Debt Security have been authorized and established in accordance with the applicable Indenture and such Debt Security has been duly authorized, executed, authenticated, issued and delivered in accordance with the applicable Indenture and the applicable underwriting or other agreement, the Cable Guarantees relating to such Debt Security will be valid and binding obligations of the Cable Guarantors, enforceable in accordance with their terms (subject, as to enforcement of remedies, to applicable bankruptcy, reorganization, insolvency, fraudulent conveyance, moratorium or other similar law affecting creditors’ rights generally from time to time in effect and to general equity principles).</w:t>
      </w:r>
    </w:p>
    <w:p>
      <w:pPr>
        <w:spacing w:after="0" w:line="71" w:lineRule="exact"/>
        <w:rPr>
          <w:sz w:val="20"/>
          <w:szCs w:val="20"/>
          <w:color w:val="auto"/>
        </w:rPr>
      </w:pPr>
    </w:p>
    <w:p>
      <w:pPr>
        <w:ind w:right="200" w:firstLine="215"/>
        <w:spacing w:after="0" w:line="267" w:lineRule="auto"/>
        <w:tabs>
          <w:tab w:leader="none" w:pos="39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such Warrants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74" w:lineRule="exact"/>
        <w:rPr>
          <w:rFonts w:ascii="Arial" w:cs="Arial" w:eastAsia="Arial" w:hAnsi="Arial"/>
          <w:sz w:val="17"/>
          <w:szCs w:val="17"/>
          <w:color w:val="auto"/>
        </w:rPr>
      </w:pPr>
    </w:p>
    <w:p>
      <w:pPr>
        <w:ind w:firstLine="215"/>
        <w:spacing w:after="0" w:line="309" w:lineRule="auto"/>
        <w:tabs>
          <w:tab w:leader="none" w:pos="39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When the Guarantee Agreement to be entered into in connection with the issuance of any Additional Guarantees has been duly authorized, executed and delivered by the Guarantee Trustee and the Cable Guarantors,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such Additional Guarantees will constitute valid and binding obligations of the Cable Guarantors, enforceable in accordance with their terms (subject, as to enforcement of remedies, to applicable bankruptcy, reorganization, insolvency, fraudulent conveyance, moratorium or other similar laws affecting creditors’ rights generally from time to time in effect and to general equity principles).</w:t>
      </w:r>
    </w:p>
    <w:p>
      <w:pPr>
        <w:spacing w:after="0" w:line="46" w:lineRule="exact"/>
        <w:rPr>
          <w:rFonts w:ascii="Arial" w:cs="Arial" w:eastAsia="Arial" w:hAnsi="Arial"/>
          <w:sz w:val="15"/>
          <w:szCs w:val="15"/>
          <w:color w:val="auto"/>
        </w:rPr>
      </w:pPr>
    </w:p>
    <w:p>
      <w:pPr>
        <w:ind w:right="60" w:firstLine="215"/>
        <w:spacing w:after="0" w:line="312" w:lineRule="auto"/>
        <w:tabs>
          <w:tab w:leader="none" w:pos="39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When the Unit Agreement to be entered into in connection with the issuance of any Units has been duly authorized, executed and delivered, the Units have been duly authorized and established in accordance with the Unit Agreement, and such Units have been duly authorized, executed, issued and delivered in accordance with the Unit Agreement and the applicable underwriting or other agreement, such Units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354330</wp:posOffset>
            </wp:positionV>
            <wp:extent cx="725360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480" w:top="923" w:right="259" w:bottom="1440" w:gutter="0" w:footer="0" w:header="0"/>
        </w:sectPr>
      </w:pPr>
    </w:p>
    <w:bookmarkStart w:id="226" w:name="page227"/>
    <w:bookmarkEnd w:id="226"/>
    <w:p>
      <w:pPr>
        <w:ind w:left="240" w:right="100" w:firstLine="215"/>
        <w:spacing w:after="0" w:line="267" w:lineRule="auto"/>
        <w:tabs>
          <w:tab w:leader="none" w:pos="63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When the Purchase Contract Agreement to be entered into in connection with the issuance of any Purchase Contracts has been duly authorized, executed and delivered,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such Purchase Contracts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74"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Registration Statement shall have been deemed or declared effective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Cable Guarantors with the terms of such Security will violate any applicable law or will result in a violation of any provision of any instrument or agreement then binding upon the Company or the Cable Guarantors, or any restriction imposed by any court or governmental body having jurisdiction over the Company or the Cable Guarantors.</w:t>
      </w:r>
    </w:p>
    <w:p>
      <w:pPr>
        <w:spacing w:after="0" w:line="50"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We are members of the Bars of the State of New York and California and the foregoing opinion is limited to the laws of the State of New York, the federal laws of the United States of America and the General Corporation Law of the State of Delaware (including the statutory provisions, all applicable provisions of the Delaware Constitution and reported judicial decisions interpreting the foregoing).</w:t>
      </w:r>
    </w:p>
    <w:p>
      <w:pPr>
        <w:spacing w:after="0" w:line="83" w:lineRule="exact"/>
        <w:rPr>
          <w:sz w:val="20"/>
          <w:szCs w:val="20"/>
          <w:color w:val="auto"/>
        </w:rPr>
      </w:pPr>
    </w:p>
    <w:p>
      <w:pPr>
        <w:ind w:right="320" w:firstLine="218"/>
        <w:spacing w:after="0" w:line="265" w:lineRule="auto"/>
        <w:rPr>
          <w:sz w:val="20"/>
          <w:szCs w:val="20"/>
          <w:color w:val="auto"/>
        </w:rPr>
      </w:pPr>
      <w:r>
        <w:rPr>
          <w:rFonts w:ascii="Arial" w:cs="Arial" w:eastAsia="Arial" w:hAnsi="Arial"/>
          <w:sz w:val="18"/>
          <w:szCs w:val="18"/>
          <w:color w:val="auto"/>
        </w:rPr>
        <w:t>We hereby consent to the filing of this opinion as an exhibit to the Registration Statement. In addition, we consent to the reference to us under the caption “Legal Matters” in the prospectus, which is a part of the Registration Statement.</w:t>
      </w:r>
    </w:p>
    <w:p>
      <w:pPr>
        <w:spacing w:after="0" w:line="73"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w:t>
      </w:r>
      <w:r>
        <w:rPr>
          <w:rFonts w:ascii="Arial" w:cs="Arial" w:eastAsia="Arial" w:hAnsi="Arial"/>
          <w:sz w:val="11"/>
          <w:szCs w:val="11"/>
          <w:color w:val="auto"/>
        </w:rPr>
        <w:t>AVIS</w:t>
      </w:r>
      <w:r>
        <w:rPr>
          <w:rFonts w:ascii="Arial" w:cs="Arial" w:eastAsia="Arial" w:hAnsi="Arial"/>
          <w:sz w:val="18"/>
          <w:szCs w:val="18"/>
          <w:color w:val="auto"/>
        </w:rPr>
        <w:t xml:space="preserve"> P</w:t>
      </w:r>
      <w:r>
        <w:rPr>
          <w:rFonts w:ascii="Arial" w:cs="Arial" w:eastAsia="Arial" w:hAnsi="Arial"/>
          <w:sz w:val="11"/>
          <w:szCs w:val="11"/>
          <w:color w:val="auto"/>
        </w:rPr>
        <w:t>OLK</w:t>
      </w:r>
      <w:r>
        <w:rPr>
          <w:rFonts w:ascii="Arial" w:cs="Arial" w:eastAsia="Arial" w:hAnsi="Arial"/>
          <w:sz w:val="18"/>
          <w:szCs w:val="18"/>
          <w:color w:val="auto"/>
        </w:rPr>
        <w:t xml:space="preserve"> &amp; W</w:t>
      </w:r>
      <w:r>
        <w:rPr>
          <w:rFonts w:ascii="Arial" w:cs="Arial" w:eastAsia="Arial" w:hAnsi="Arial"/>
          <w:sz w:val="11"/>
          <w:szCs w:val="11"/>
          <w:color w:val="auto"/>
        </w:rPr>
        <w:t>ARDWELL</w:t>
      </w:r>
    </w:p>
    <w:p>
      <w:pPr>
        <w:sectPr>
          <w:pgSz w:w="11900" w:h="16838" w:orient="portrait"/>
          <w:cols w:equalWidth="0" w:num="1">
            <w:col w:w="11400"/>
          </w:cols>
          <w:pgMar w:left="240" w:top="923" w:right="25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32"/>
        </w:trPr>
        <w:tc>
          <w:tcPr>
            <w:tcW w:w="4440" w:type="dxa"/>
            <w:vAlign w:val="bottom"/>
          </w:tcPr>
          <w:p>
            <w:pPr>
              <w:spacing w:after="0"/>
              <w:rPr>
                <w:sz w:val="24"/>
                <w:szCs w:val="24"/>
                <w:color w:val="auto"/>
              </w:rPr>
            </w:pPr>
          </w:p>
        </w:tc>
        <w:tc>
          <w:tcPr>
            <w:tcW w:w="2720" w:type="dxa"/>
            <w:vAlign w:val="bottom"/>
            <w:gridSpan w:val="6"/>
          </w:tcPr>
          <w:p>
            <w:pPr>
              <w:jc w:val="center"/>
              <w:ind w:right="73"/>
              <w:spacing w:after="0"/>
              <w:rPr>
                <w:sz w:val="20"/>
                <w:szCs w:val="20"/>
                <w:color w:val="auto"/>
              </w:rPr>
            </w:pPr>
            <w:r>
              <w:rPr>
                <w:rFonts w:ascii="Arial" w:cs="Arial" w:eastAsia="Arial" w:hAnsi="Arial"/>
                <w:sz w:val="18"/>
                <w:szCs w:val="18"/>
                <w:b w:val="1"/>
                <w:bCs w:val="1"/>
                <w:color w:val="auto"/>
                <w:w w:val="98"/>
              </w:rPr>
              <w:t>COMCAST CORPORATION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060" w:type="dxa"/>
            <w:vAlign w:val="bottom"/>
            <w:gridSpan w:val="13"/>
          </w:tcPr>
          <w:p>
            <w:pPr>
              <w:jc w:val="center"/>
              <w:ind w:left="1272"/>
              <w:spacing w:after="0"/>
              <w:rPr>
                <w:sz w:val="20"/>
                <w:szCs w:val="20"/>
                <w:color w:val="auto"/>
              </w:rPr>
            </w:pPr>
            <w:r>
              <w:rPr>
                <w:rFonts w:ascii="Arial" w:cs="Arial" w:eastAsia="Arial" w:hAnsi="Arial"/>
                <w:sz w:val="18"/>
                <w:szCs w:val="18"/>
                <w:b w:val="1"/>
                <w:bCs w:val="1"/>
                <w:color w:val="auto"/>
                <w:w w:val="98"/>
              </w:rPr>
              <w:t>STATEMENT REGARDING COMPUTATION OF RATIO OF EARNINGS TO FIXED CHARGES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2100" w:type="dxa"/>
            <w:vAlign w:val="bottom"/>
            <w:gridSpan w:val="5"/>
          </w:tcPr>
          <w:p>
            <w:pPr>
              <w:jc w:val="center"/>
              <w:ind w:left="372"/>
              <w:spacing w:after="0"/>
              <w:rPr>
                <w:sz w:val="20"/>
                <w:szCs w:val="20"/>
                <w:color w:val="auto"/>
              </w:rPr>
            </w:pPr>
            <w:r>
              <w:rPr>
                <w:rFonts w:ascii="Arial" w:cs="Arial" w:eastAsia="Arial" w:hAnsi="Arial"/>
                <w:sz w:val="18"/>
                <w:szCs w:val="18"/>
                <w:b w:val="1"/>
                <w:bCs w:val="1"/>
                <w:color w:val="auto"/>
                <w:w w:val="89"/>
              </w:rPr>
              <w:t>(dollars in millions)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w w:val="98"/>
              </w:rPr>
              <w:t>Years Ended December 31,</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39" w:lineRule="exact"/>
              <w:rPr>
                <w:sz w:val="20"/>
                <w:szCs w:val="20"/>
                <w:color w:val="auto"/>
              </w:rPr>
            </w:pPr>
            <w:r>
              <w:rPr>
                <w:rFonts w:ascii="Arial" w:cs="Arial" w:eastAsia="Arial" w:hAnsi="Arial"/>
                <w:sz w:val="14"/>
                <w:szCs w:val="14"/>
                <w:color w:val="auto"/>
              </w:rPr>
              <w:t>2005</w:t>
            </w: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39" w:lineRule="exact"/>
              <w:rPr>
                <w:sz w:val="20"/>
                <w:szCs w:val="20"/>
                <w:color w:val="auto"/>
              </w:rPr>
            </w:pPr>
            <w:r>
              <w:rPr>
                <w:rFonts w:ascii="Arial" w:cs="Arial" w:eastAsia="Arial" w:hAnsi="Arial"/>
                <w:sz w:val="14"/>
                <w:szCs w:val="14"/>
                <w:color w:val="auto"/>
              </w:rPr>
              <w:t>2004</w:t>
            </w: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39" w:lineRule="exact"/>
              <w:rPr>
                <w:sz w:val="20"/>
                <w:szCs w:val="20"/>
                <w:color w:val="auto"/>
              </w:rPr>
            </w:pPr>
            <w:r>
              <w:rPr>
                <w:rFonts w:ascii="Arial" w:cs="Arial" w:eastAsia="Arial" w:hAnsi="Arial"/>
                <w:sz w:val="14"/>
                <w:szCs w:val="14"/>
                <w:color w:val="auto"/>
              </w:rPr>
              <w:t>2003</w:t>
            </w: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39" w:lineRule="exact"/>
              <w:rPr>
                <w:sz w:val="20"/>
                <w:szCs w:val="20"/>
                <w:color w:val="auto"/>
              </w:rPr>
            </w:pPr>
            <w:r>
              <w:rPr>
                <w:rFonts w:ascii="Arial" w:cs="Arial" w:eastAsia="Arial" w:hAnsi="Arial"/>
                <w:sz w:val="14"/>
                <w:szCs w:val="14"/>
                <w:color w:val="auto"/>
              </w:rPr>
              <w:t>2002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39"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Earnings (loss) before fixed charges (1):</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200"/>
              <w:spacing w:after="0" w:line="200" w:lineRule="exact"/>
              <w:rPr>
                <w:sz w:val="20"/>
                <w:szCs w:val="20"/>
                <w:color w:val="auto"/>
              </w:rPr>
            </w:pPr>
            <w:r>
              <w:rPr>
                <w:rFonts w:ascii="Arial" w:cs="Arial" w:eastAsia="Arial" w:hAnsi="Arial"/>
                <w:sz w:val="18"/>
                <w:szCs w:val="18"/>
                <w:color w:val="auto"/>
              </w:rPr>
              <w:t>Earnings (loss) from continuing operations before</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40" w:type="dxa"/>
            <w:vAlign w:val="bottom"/>
          </w:tcPr>
          <w:p>
            <w:pPr>
              <w:ind w:left="400"/>
              <w:spacing w:after="0"/>
              <w:rPr>
                <w:sz w:val="20"/>
                <w:szCs w:val="20"/>
                <w:color w:val="auto"/>
              </w:rPr>
            </w:pPr>
            <w:r>
              <w:rPr>
                <w:rFonts w:ascii="Arial" w:cs="Arial" w:eastAsia="Arial" w:hAnsi="Arial"/>
                <w:sz w:val="18"/>
                <w:szCs w:val="18"/>
                <w:color w:val="auto"/>
              </w:rPr>
              <w:t>cumulative effect of accounting change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928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970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($469)</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444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933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affiliates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4440" w:type="dxa"/>
            <w:vAlign w:val="bottom"/>
          </w:tcPr>
          <w:p>
            <w:pPr>
              <w:ind w:left="200"/>
              <w:spacing w:after="0"/>
              <w:rPr>
                <w:sz w:val="20"/>
                <w:szCs w:val="20"/>
                <w:color w:val="auto"/>
              </w:rPr>
            </w:pPr>
            <w:r>
              <w:rPr>
                <w:rFonts w:ascii="Arial" w:cs="Arial" w:eastAsia="Arial" w:hAnsi="Arial"/>
                <w:sz w:val="18"/>
                <w:szCs w:val="18"/>
                <w:color w:val="auto"/>
              </w:rPr>
              <w:t>Fixed charges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1,872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1,941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2,121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933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Distributed income of equity investees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440" w:type="dxa"/>
            <w:vAlign w:val="bottom"/>
          </w:tcPr>
          <w:p>
            <w:pPr>
              <w:ind w:left="200"/>
              <w:spacing w:after="0"/>
              <w:rPr>
                <w:sz w:val="20"/>
                <w:szCs w:val="20"/>
                <w:color w:val="auto"/>
              </w:rPr>
            </w:pPr>
            <w:r>
              <w:rPr>
                <w:rFonts w:ascii="Arial" w:cs="Arial" w:eastAsia="Arial" w:hAnsi="Arial"/>
                <w:sz w:val="18"/>
                <w:szCs w:val="18"/>
                <w:color w:val="auto"/>
              </w:rPr>
              <w:t>Less: minority interest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3,766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3,833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2,045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443</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2"/>
        </w:trPr>
        <w:tc>
          <w:tcPr>
            <w:tcW w:w="4440" w:type="dxa"/>
            <w:vAlign w:val="bottom"/>
          </w:tcPr>
          <w:p>
            <w:pPr>
              <w:ind w:left="200"/>
              <w:spacing w:after="0"/>
              <w:rPr>
                <w:sz w:val="20"/>
                <w:szCs w:val="20"/>
                <w:color w:val="auto"/>
              </w:rPr>
            </w:pPr>
            <w:r>
              <w:rPr>
                <w:rFonts w:ascii="Arial" w:cs="Arial" w:eastAsia="Arial" w:hAnsi="Arial"/>
                <w:sz w:val="18"/>
                <w:szCs w:val="18"/>
                <w:color w:val="auto"/>
              </w:rPr>
              <w:t>Est. int. exp. component of rent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w w:val="91"/>
              </w:rPr>
              <w:t>Preference security dividend requirements of consolidated</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6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1,872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1,941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2,121</w:t>
            </w: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933</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Ratio of earnings to fixed charges (1)</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line="206" w:lineRule="exact"/>
              <w:rPr>
                <w:sz w:val="20"/>
                <w:szCs w:val="20"/>
                <w:color w:val="auto"/>
              </w:rPr>
            </w:pPr>
            <w:r>
              <w:rPr>
                <w:rFonts w:ascii="Arial" w:cs="Arial" w:eastAsia="Arial" w:hAnsi="Arial"/>
                <w:sz w:val="18"/>
                <w:szCs w:val="18"/>
                <w:color w:val="auto"/>
              </w:rPr>
              <w:t>2.01</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line="206" w:lineRule="exact"/>
              <w:rPr>
                <w:sz w:val="20"/>
                <w:szCs w:val="20"/>
                <w:color w:val="auto"/>
              </w:rPr>
            </w:pPr>
            <w:r>
              <w:rPr>
                <w:rFonts w:ascii="Arial" w:cs="Arial" w:eastAsia="Arial" w:hAnsi="Arial"/>
                <w:sz w:val="18"/>
                <w:szCs w:val="18"/>
                <w:color w:val="auto"/>
              </w:rPr>
              <w:t>1.97</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
              <w:spacing w:after="0" w:line="20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40" w:right="60" w:hanging="434"/>
        <w:spacing w:after="0" w:line="305" w:lineRule="auto"/>
        <w:tabs>
          <w:tab w:leader="none" w:pos="4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9" w:lineRule="exact"/>
        <w:rPr>
          <w:rFonts w:ascii="Arial" w:cs="Arial" w:eastAsia="Arial" w:hAnsi="Arial"/>
          <w:sz w:val="15"/>
          <w:szCs w:val="15"/>
          <w:color w:val="auto"/>
        </w:rPr>
      </w:pPr>
    </w:p>
    <w:p>
      <w:pPr>
        <w:ind w:left="440" w:hanging="434"/>
        <w:spacing w:after="0"/>
        <w:tabs>
          <w:tab w:leader="none" w:pos="4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ectPr>
          <w:pgSz w:w="11900" w:h="16838" w:orient="portrait"/>
          <w:cols w:equalWidth="0" w:num="1">
            <w:col w:w="11420"/>
          </w:cols>
          <w:pgMar w:left="240" w:top="900"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COMBINED FIXED CHARGES AND PREFERRED DIVIDENDS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w w:val="98"/>
              </w:rPr>
              <w:t>Years Ended December 31,</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39" w:lineRule="exact"/>
              <w:rPr>
                <w:sz w:val="20"/>
                <w:szCs w:val="20"/>
                <w:color w:val="auto"/>
              </w:rPr>
            </w:pPr>
            <w:r>
              <w:rPr>
                <w:rFonts w:ascii="Arial" w:cs="Arial" w:eastAsia="Arial" w:hAnsi="Arial"/>
                <w:sz w:val="14"/>
                <w:szCs w:val="14"/>
                <w:color w:val="auto"/>
              </w:rPr>
              <w:t>2005</w:t>
            </w: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39" w:lineRule="exact"/>
              <w:rPr>
                <w:sz w:val="20"/>
                <w:szCs w:val="20"/>
                <w:color w:val="auto"/>
              </w:rPr>
            </w:pPr>
            <w:r>
              <w:rPr>
                <w:rFonts w:ascii="Arial" w:cs="Arial" w:eastAsia="Arial" w:hAnsi="Arial"/>
                <w:sz w:val="14"/>
                <w:szCs w:val="14"/>
                <w:color w:val="auto"/>
              </w:rPr>
              <w:t>2004</w:t>
            </w: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39" w:lineRule="exact"/>
              <w:rPr>
                <w:sz w:val="20"/>
                <w:szCs w:val="20"/>
                <w:color w:val="auto"/>
              </w:rPr>
            </w:pPr>
            <w:r>
              <w:rPr>
                <w:rFonts w:ascii="Arial" w:cs="Arial" w:eastAsia="Arial" w:hAnsi="Arial"/>
                <w:sz w:val="14"/>
                <w:szCs w:val="14"/>
                <w:color w:val="auto"/>
              </w:rPr>
              <w:t>2003</w:t>
            </w: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39" w:lineRule="exact"/>
              <w:rPr>
                <w:sz w:val="20"/>
                <w:szCs w:val="20"/>
                <w:color w:val="auto"/>
              </w:rPr>
            </w:pPr>
            <w:r>
              <w:rPr>
                <w:rFonts w:ascii="Arial" w:cs="Arial" w:eastAsia="Arial" w:hAnsi="Arial"/>
                <w:sz w:val="14"/>
                <w:szCs w:val="14"/>
                <w:color w:val="auto"/>
              </w:rPr>
              <w:t>2002</w:t>
            </w:r>
          </w:p>
        </w:tc>
        <w:tc>
          <w:tcPr>
            <w:tcW w:w="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39"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Earnings (loss) before fixed charges (1):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00"/>
              <w:spacing w:after="0" w:line="200" w:lineRule="exact"/>
              <w:rPr>
                <w:sz w:val="20"/>
                <w:szCs w:val="20"/>
                <w:color w:val="auto"/>
              </w:rPr>
            </w:pPr>
            <w:r>
              <w:rPr>
                <w:rFonts w:ascii="Arial" w:cs="Arial" w:eastAsia="Arial" w:hAnsi="Arial"/>
                <w:sz w:val="18"/>
                <w:szCs w:val="18"/>
                <w:color w:val="auto"/>
              </w:rPr>
              <w:t>Earnings (loss) from continuing operations before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400"/>
              <w:spacing w:after="0"/>
              <w:rPr>
                <w:sz w:val="20"/>
                <w:szCs w:val="20"/>
                <w:color w:val="auto"/>
              </w:rPr>
            </w:pPr>
            <w:r>
              <w:rPr>
                <w:rFonts w:ascii="Arial" w:cs="Arial" w:eastAsia="Arial" w:hAnsi="Arial"/>
                <w:sz w:val="18"/>
                <w:szCs w:val="18"/>
                <w:color w:val="auto"/>
              </w:rPr>
              <w:t>cumulative effect of accounting change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928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970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504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933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 of affiliates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5040" w:type="dxa"/>
            <w:vAlign w:val="bottom"/>
          </w:tcPr>
          <w:p>
            <w:pPr>
              <w:ind w:left="20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1,872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1,941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2,121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933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Distributed income of equity investees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40" w:type="dxa"/>
            <w:vAlign w:val="bottom"/>
          </w:tcPr>
          <w:p>
            <w:pPr>
              <w:ind w:left="200"/>
              <w:spacing w:after="0"/>
              <w:rPr>
                <w:sz w:val="20"/>
                <w:szCs w:val="20"/>
                <w:color w:val="auto"/>
              </w:rPr>
            </w:pPr>
            <w:r>
              <w:rPr>
                <w:rFonts w:ascii="Arial" w:cs="Arial" w:eastAsia="Arial" w:hAnsi="Arial"/>
                <w:sz w:val="18"/>
                <w:szCs w:val="18"/>
                <w:color w:val="auto"/>
              </w:rPr>
              <w:t>Less: minority interest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3,766</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3,833</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2,045</w:t>
            </w: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443</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2"/>
        </w:trPr>
        <w:tc>
          <w:tcPr>
            <w:tcW w:w="5040" w:type="dxa"/>
            <w:vAlign w:val="bottom"/>
          </w:tcPr>
          <w:p>
            <w:pPr>
              <w:ind w:left="200"/>
              <w:spacing w:after="0"/>
              <w:rPr>
                <w:sz w:val="20"/>
                <w:szCs w:val="20"/>
                <w:color w:val="auto"/>
              </w:rPr>
            </w:pPr>
            <w:r>
              <w:rPr>
                <w:rFonts w:ascii="Arial" w:cs="Arial" w:eastAsia="Arial" w:hAnsi="Arial"/>
                <w:sz w:val="18"/>
                <w:szCs w:val="18"/>
                <w:color w:val="auto"/>
              </w:rPr>
              <w:t>Est. int. exp. component of rent expense</w:t>
            </w: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Preference security dividend requirements of consolidated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5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1,872</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1,941</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2,121</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933</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Ratio of earnings to fixed charges (1)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line="206" w:lineRule="exact"/>
              <w:rPr>
                <w:sz w:val="20"/>
                <w:szCs w:val="20"/>
                <w:color w:val="auto"/>
              </w:rPr>
            </w:pPr>
            <w:r>
              <w:rPr>
                <w:rFonts w:ascii="Arial" w:cs="Arial" w:eastAsia="Arial" w:hAnsi="Arial"/>
                <w:sz w:val="18"/>
                <w:szCs w:val="18"/>
                <w:color w:val="auto"/>
              </w:rPr>
              <w:t>2.01</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line="206" w:lineRule="exact"/>
              <w:rPr>
                <w:sz w:val="20"/>
                <w:szCs w:val="20"/>
                <w:color w:val="auto"/>
              </w:rPr>
            </w:pPr>
            <w:r>
              <w:rPr>
                <w:rFonts w:ascii="Arial" w:cs="Arial" w:eastAsia="Arial" w:hAnsi="Arial"/>
                <w:sz w:val="18"/>
                <w:szCs w:val="18"/>
                <w:color w:val="auto"/>
              </w:rPr>
              <w:t>1.97</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
              <w:spacing w:after="0" w:line="20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40" w:hanging="434"/>
        <w:spacing w:after="0"/>
        <w:tabs>
          <w:tab w:leader="none" w:pos="44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w:t>
      </w:r>
    </w:p>
    <w:p>
      <w:pPr>
        <w:spacing w:after="0" w:line="50" w:lineRule="exact"/>
        <w:rPr>
          <w:rFonts w:ascii="Arial" w:cs="Arial" w:eastAsia="Arial" w:hAnsi="Arial"/>
          <w:sz w:val="15"/>
          <w:szCs w:val="15"/>
          <w:color w:val="auto"/>
        </w:rPr>
      </w:pPr>
    </w:p>
    <w:p>
      <w:pPr>
        <w:ind w:left="680" w:hanging="236"/>
        <w:spacing w:after="0"/>
        <w:tabs>
          <w:tab w:leader="none" w:pos="68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left="440" w:right="160" w:firstLine="4"/>
        <w:spacing w:after="0" w:line="306" w:lineRule="auto"/>
        <w:tabs>
          <w:tab w:leader="none" w:pos="69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8" w:lineRule="exact"/>
        <w:rPr>
          <w:rFonts w:ascii="Arial" w:cs="Arial" w:eastAsia="Arial" w:hAnsi="Arial"/>
          <w:sz w:val="15"/>
          <w:szCs w:val="15"/>
          <w:color w:val="auto"/>
        </w:rPr>
      </w:pPr>
    </w:p>
    <w:p>
      <w:pPr>
        <w:ind w:left="440" w:right="140" w:hanging="434"/>
        <w:spacing w:after="0" w:line="265"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ectPr>
          <w:pgSz w:w="11900" w:h="16838" w:orient="portrait"/>
          <w:cols w:equalWidth="0" w:num="1">
            <w:col w:w="11420"/>
          </w:cols>
          <w:pgMar w:left="240" w:top="917"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We consent to the incorporation by reference in this Registration Statement on Form S-3 of our reports dated February 21, 2006, relating to (a) the financial statements of Comcast Corporation and management’s report on the effectiveness of internal control over financial reporting appearing in the 2005 Annual Report to Shareholders and incorporated by reference in the Annual Report on Form 10-K of Comcast Corporation for the year ended December 31, 2005, and</w:t>
      </w:r>
    </w:p>
    <w:p>
      <w:pPr>
        <w:spacing w:after="0" w:line="1" w:lineRule="exact"/>
        <w:rPr>
          <w:sz w:val="20"/>
          <w:szCs w:val="20"/>
          <w:color w:val="auto"/>
        </w:rPr>
      </w:pPr>
    </w:p>
    <w:p>
      <w:pPr>
        <w:ind w:right="740" w:firstLine="6"/>
        <w:spacing w:after="0" w:line="350" w:lineRule="auto"/>
        <w:tabs>
          <w:tab w:leader="none" w:pos="25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financial statement schedule of Comcast Corporation appearing in the Annual Report on Form 10-K of Comcast Corporation for the year ended December 31, 2005, and to the reference to us under the heading “Experts” in the Prospectus, which is part of this Registration Statement.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27, 2006</w:t>
      </w:r>
    </w:p>
    <w:p>
      <w:pPr>
        <w:sectPr>
          <w:pgSz w:w="11900" w:h="16838" w:orient="portrait"/>
          <w:cols w:equalWidth="0" w:num="1">
            <w:col w:w="11420"/>
          </w:cols>
          <w:pgMar w:left="240" w:top="917" w:right="239" w:bottom="1440" w:gutter="0" w:footer="0" w:header="0"/>
        </w:sectPr>
      </w:pPr>
    </w:p>
    <w:bookmarkStart w:id="230" w:name="page231"/>
    <w:bookmarkEnd w:id="230"/>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24916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7249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T-1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0"/>
          <w:szCs w:val="20"/>
          <w:color w:val="auto"/>
        </w:rPr>
      </w:pPr>
    </w:p>
    <w:p>
      <w:pPr>
        <w:ind w:left="4180"/>
        <w:spacing w:after="0"/>
        <w:rPr>
          <w:sz w:val="20"/>
          <w:szCs w:val="20"/>
          <w:color w:val="auto"/>
        </w:rPr>
      </w:pPr>
      <w:r>
        <w:rPr>
          <w:rFonts w:ascii="Arial" w:cs="Arial" w:eastAsia="Arial" w:hAnsi="Arial"/>
          <w:sz w:val="21"/>
          <w:szCs w:val="21"/>
          <w:b w:val="1"/>
          <w:bCs w:val="1"/>
          <w:color w:val="auto"/>
        </w:rPr>
        <w:t>STATEMENT OF ELIGIBILITY</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UNDER THE TRUST INDENTURE ACT OF 1939 OF A</w:t>
      </w:r>
    </w:p>
    <w:p>
      <w:pPr>
        <w:ind w:left="3080"/>
        <w:spacing w:after="0"/>
        <w:rPr>
          <w:sz w:val="20"/>
          <w:szCs w:val="20"/>
          <w:color w:val="auto"/>
        </w:rPr>
      </w:pPr>
      <w:r>
        <w:rPr>
          <w:rFonts w:ascii="Arial" w:cs="Arial" w:eastAsia="Arial" w:hAnsi="Arial"/>
          <w:sz w:val="21"/>
          <w:szCs w:val="21"/>
          <w:b w:val="1"/>
          <w:bCs w:val="1"/>
          <w:color w:val="auto"/>
        </w:rPr>
        <w:t>CORPORATION DESIGNATED TO ACT AS TRUSTEE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CHECK IF AN APPLICATION TO DETERMINE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ELIGIBILITY OF A TRUSTEE PURSUANT TO</w:t>
      </w:r>
    </w:p>
    <w:p>
      <w:pPr>
        <w:jc w:val="center"/>
        <w:ind w:right="-19"/>
        <w:spacing w:after="0"/>
        <w:rPr>
          <w:sz w:val="20"/>
          <w:szCs w:val="20"/>
          <w:color w:val="auto"/>
        </w:rPr>
      </w:pPr>
      <w:r>
        <w:rPr>
          <w:rFonts w:ascii="Arial" w:cs="Arial" w:eastAsia="Arial" w:hAnsi="Arial"/>
          <w:sz w:val="21"/>
          <w:szCs w:val="21"/>
          <w:b w:val="1"/>
          <w:bCs w:val="1"/>
          <w:color w:val="auto"/>
        </w:rPr>
        <w:t>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185420</wp:posOffset>
            </wp:positionV>
            <wp:extent cx="18776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THE BANK OF NEW YORK</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trustee as specified in its charter)</w:t>
      </w:r>
    </w:p>
    <w:p>
      <w:pPr>
        <w:sectPr>
          <w:pgSz w:w="11900" w:h="16897" w:orient="portrait"/>
          <w:cols w:equalWidth="0" w:num="1">
            <w:col w:w="11420"/>
          </w:cols>
          <w:pgMar w:left="240" w:top="917" w:right="239" w:bottom="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 of incorporation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if not a U.S. national bank)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13-5160382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One Wall Street, New York, N.Y.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10286</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202565</wp:posOffset>
            </wp:positionV>
            <wp:extent cx="18776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Comcast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or other jurisdiction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27-0000798</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Comcast Cable Communications, LLC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or other jurisdiction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23-2175755</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Comcast Cable Communications Holdings,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or other jurisdiction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04-3592397</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Comcast Cable Holdings, LLC</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or other jurisdiction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84-1260157</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Comcast MO Group,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or other jurisdiction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91-2047743</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(I.R.S. employer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0"/>
          <w:szCs w:val="20"/>
          <w:color w:val="auto"/>
        </w:rPr>
      </w:pPr>
    </w:p>
    <w:p>
      <w:pPr>
        <w:sectPr>
          <w:pgSz w:w="11900" w:h="16897" w:orient="portrait"/>
          <w:cols w:equalWidth="0" w:num="2">
            <w:col w:w="6140" w:space="720"/>
            <w:col w:w="4560"/>
          </w:cols>
          <w:pgMar w:left="240" w:top="917" w:right="239" w:bottom="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Comcast MO of Delaware, LLC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97" w:orient="portrait"/>
          <w:cols w:equalWidth="0" w:num="1">
            <w:col w:w="11420"/>
          </w:cols>
          <w:pgMar w:left="240" w:top="917" w:right="239" w:bottom="0" w:gutter="0" w:footer="0" w:header="0"/>
          <w:type w:val="continuous"/>
        </w:sectPr>
      </w:pPr>
    </w:p>
    <w:bookmarkStart w:id="231" w:name="page232"/>
    <w:bookmarkEnd w:id="231"/>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Delaware</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84-1372033</w:t>
            </w: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(I.R.S. employer</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identification no.)</w:t>
            </w:r>
          </w:p>
        </w:tc>
      </w:tr>
      <w:tr>
        <w:trPr>
          <w:trHeight w:val="413"/>
        </w:trPr>
        <w:tc>
          <w:tcPr>
            <w:tcW w:w="4240" w:type="dxa"/>
            <w:vAlign w:val="bottom"/>
          </w:tcPr>
          <w:p>
            <w:pPr>
              <w:spacing w:after="0"/>
              <w:rPr>
                <w:sz w:val="20"/>
                <w:szCs w:val="20"/>
                <w:color w:val="auto"/>
              </w:rPr>
            </w:pPr>
            <w:r>
              <w:rPr>
                <w:rFonts w:ascii="Arial" w:cs="Arial" w:eastAsia="Arial" w:hAnsi="Arial"/>
                <w:sz w:val="18"/>
                <w:szCs w:val="18"/>
                <w:color w:val="auto"/>
              </w:rPr>
              <w:t>1500 Market Street</w:t>
            </w:r>
          </w:p>
        </w:tc>
        <w:tc>
          <w:tcPr>
            <w:tcW w:w="29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Philadelphia, Pennsylvania</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19102-2148</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(Zip code)</w:t>
            </w:r>
          </w:p>
        </w:tc>
      </w:tr>
      <w:tr>
        <w:trPr>
          <w:trHeight w:val="279"/>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471"/>
        </w:trPr>
        <w:tc>
          <w:tcPr>
            <w:tcW w:w="4240" w:type="dxa"/>
            <w:vAlign w:val="bottom"/>
          </w:tcPr>
          <w:p>
            <w:pPr>
              <w:spacing w:after="0"/>
              <w:rPr>
                <w:sz w:val="24"/>
                <w:szCs w:val="24"/>
                <w:color w:val="auto"/>
              </w:rPr>
            </w:pPr>
          </w:p>
        </w:tc>
        <w:tc>
          <w:tcPr>
            <w:tcW w:w="7180" w:type="dxa"/>
            <w:vAlign w:val="bottom"/>
            <w:gridSpan w:val="2"/>
          </w:tcPr>
          <w:p>
            <w:pPr>
              <w:jc w:val="center"/>
              <w:ind w:right="4240"/>
              <w:spacing w:after="0"/>
              <w:rPr>
                <w:sz w:val="20"/>
                <w:szCs w:val="20"/>
                <w:color w:val="auto"/>
              </w:rPr>
            </w:pPr>
            <w:r>
              <w:rPr>
                <w:rFonts w:ascii="Arial" w:cs="Arial" w:eastAsia="Arial" w:hAnsi="Arial"/>
                <w:sz w:val="18"/>
                <w:szCs w:val="18"/>
                <w:color w:val="auto"/>
                <w:w w:val="88"/>
              </w:rPr>
              <w:t>Senior Debt Securities</w:t>
            </w:r>
          </w:p>
        </w:tc>
      </w:tr>
      <w:tr>
        <w:trPr>
          <w:trHeight w:val="223"/>
        </w:trPr>
        <w:tc>
          <w:tcPr>
            <w:tcW w:w="4240" w:type="dxa"/>
            <w:vAlign w:val="bottom"/>
          </w:tcPr>
          <w:p>
            <w:pPr>
              <w:spacing w:after="0"/>
              <w:rPr>
                <w:sz w:val="19"/>
                <w:szCs w:val="19"/>
                <w:color w:val="auto"/>
              </w:rPr>
            </w:pPr>
          </w:p>
        </w:tc>
        <w:tc>
          <w:tcPr>
            <w:tcW w:w="7180" w:type="dxa"/>
            <w:vAlign w:val="bottom"/>
            <w:gridSpan w:val="2"/>
          </w:tcPr>
          <w:p>
            <w:pPr>
              <w:jc w:val="center"/>
              <w:ind w:right="4220"/>
              <w:spacing w:after="0"/>
              <w:rPr>
                <w:sz w:val="20"/>
                <w:szCs w:val="20"/>
                <w:color w:val="auto"/>
              </w:rPr>
            </w:pPr>
            <w:r>
              <w:rPr>
                <w:rFonts w:ascii="Arial" w:cs="Arial" w:eastAsia="Arial" w:hAnsi="Arial"/>
                <w:sz w:val="18"/>
                <w:szCs w:val="18"/>
                <w:color w:val="auto"/>
                <w:w w:val="90"/>
              </w:rPr>
              <w:t>(Title of the indenture securities)</w:t>
            </w:r>
          </w:p>
        </w:tc>
      </w:tr>
      <w:tr>
        <w:trPr>
          <w:trHeight w:val="200"/>
        </w:trPr>
        <w:tc>
          <w:tcPr>
            <w:tcW w:w="4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r>
      <w:tr>
        <w:trPr>
          <w:trHeight w:val="26"/>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383"/>
        </w:trPr>
        <w:tc>
          <w:tcPr>
            <w:tcW w:w="424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- 2 -</w:t>
            </w:r>
          </w:p>
        </w:tc>
        <w:tc>
          <w:tcPr>
            <w:tcW w:w="4220" w:type="dxa"/>
            <w:vAlign w:val="bottom"/>
          </w:tcPr>
          <w:p>
            <w:pPr>
              <w:spacing w:after="0"/>
              <w:rPr>
                <w:sz w:val="24"/>
                <w:szCs w:val="24"/>
                <w:color w:val="auto"/>
              </w:rPr>
            </w:pPr>
          </w:p>
        </w:tc>
      </w:tr>
      <w:tr>
        <w:trPr>
          <w:trHeight w:val="223"/>
        </w:trPr>
        <w:tc>
          <w:tcPr>
            <w:tcW w:w="42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2" w:name="page233"/>
    <w:bookmarkEnd w:id="232"/>
    <w:p>
      <w:pPr>
        <w:ind w:left="440" w:hanging="434"/>
        <w:spacing w:after="0"/>
        <w:tabs>
          <w:tab w:leader="none" w:pos="4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111" w:lineRule="exact"/>
        <w:rPr>
          <w:rFonts w:ascii="Arial" w:cs="Arial" w:eastAsia="Arial" w:hAnsi="Arial"/>
          <w:sz w:val="18"/>
          <w:szCs w:val="18"/>
          <w:b w:val="1"/>
          <w:bCs w:val="1"/>
          <w:color w:val="auto"/>
        </w:rPr>
      </w:pPr>
    </w:p>
    <w:p>
      <w:pPr>
        <w:ind w:left="900" w:hanging="443"/>
        <w:spacing w:after="0"/>
        <w:tabs>
          <w:tab w:leader="none" w:pos="900"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20" w:type="dxa"/>
            <w:vAlign w:val="bottom"/>
            <w:tcBorders>
              <w:bottom w:val="single" w:sz="8" w:color="auto"/>
            </w:tcBorders>
          </w:tcPr>
          <w:p>
            <w:pPr>
              <w:ind w:left="2540"/>
              <w:spacing w:after="0"/>
              <w:rPr>
                <w:sz w:val="20"/>
                <w:szCs w:val="20"/>
                <w:color w:val="auto"/>
              </w:rPr>
            </w:pPr>
            <w:r>
              <w:rPr>
                <w:rFonts w:ascii="Arial" w:cs="Arial" w:eastAsia="Arial" w:hAnsi="Arial"/>
                <w:sz w:val="14"/>
                <w:szCs w:val="14"/>
                <w:color w:val="auto"/>
              </w:rPr>
              <w:t>Name</w:t>
            </w:r>
          </w:p>
        </w:tc>
        <w:tc>
          <w:tcPr>
            <w:tcW w:w="6700" w:type="dxa"/>
            <w:vAlign w:val="bottom"/>
            <w:tcBorders>
              <w:bottom w:val="single" w:sz="8" w:color="auto"/>
            </w:tcBorders>
          </w:tcPr>
          <w:p>
            <w:pPr>
              <w:ind w:left="3640"/>
              <w:spacing w:after="0"/>
              <w:rPr>
                <w:sz w:val="20"/>
                <w:szCs w:val="20"/>
                <w:color w:val="auto"/>
              </w:rPr>
            </w:pPr>
            <w:r>
              <w:rPr>
                <w:rFonts w:ascii="Arial" w:cs="Arial" w:eastAsia="Arial" w:hAnsi="Arial"/>
                <w:sz w:val="14"/>
                <w:szCs w:val="14"/>
                <w:color w:val="auto"/>
              </w:rPr>
              <w:t>Address</w:t>
            </w:r>
          </w:p>
        </w:tc>
      </w:tr>
      <w:tr>
        <w:trPr>
          <w:trHeight w:val="430"/>
        </w:trPr>
        <w:tc>
          <w:tcPr>
            <w:tcW w:w="4720" w:type="dxa"/>
            <w:vAlign w:val="bottom"/>
          </w:tcPr>
          <w:p>
            <w:pPr>
              <w:spacing w:after="0"/>
              <w:rPr>
                <w:sz w:val="20"/>
                <w:szCs w:val="20"/>
                <w:color w:val="auto"/>
              </w:rPr>
            </w:pPr>
            <w:r>
              <w:rPr>
                <w:rFonts w:ascii="Arial" w:cs="Arial" w:eastAsia="Arial" w:hAnsi="Arial"/>
                <w:sz w:val="18"/>
                <w:szCs w:val="18"/>
                <w:color w:val="auto"/>
              </w:rPr>
              <w:t>Superintendent of Banks of the State of New York</w:t>
            </w:r>
          </w:p>
        </w:tc>
        <w:tc>
          <w:tcPr>
            <w:tcW w:w="6700" w:type="dxa"/>
            <w:vAlign w:val="bottom"/>
          </w:tcPr>
          <w:p>
            <w:pPr>
              <w:ind w:left="1160"/>
              <w:spacing w:after="0"/>
              <w:rPr>
                <w:sz w:val="20"/>
                <w:szCs w:val="20"/>
                <w:color w:val="auto"/>
              </w:rPr>
            </w:pPr>
            <w:r>
              <w:rPr>
                <w:rFonts w:ascii="Arial" w:cs="Arial" w:eastAsia="Arial" w:hAnsi="Arial"/>
                <w:sz w:val="18"/>
                <w:szCs w:val="18"/>
                <w:color w:val="auto"/>
                <w:w w:val="97"/>
              </w:rPr>
              <w:t>One State Street, New York, N.Y. 10004-1417, and Albany, N.Y. 12223</w:t>
            </w:r>
          </w:p>
        </w:tc>
      </w:tr>
      <w:tr>
        <w:trPr>
          <w:trHeight w:val="424"/>
        </w:trPr>
        <w:tc>
          <w:tcPr>
            <w:tcW w:w="4720" w:type="dxa"/>
            <w:vAlign w:val="bottom"/>
          </w:tcPr>
          <w:p>
            <w:pPr>
              <w:spacing w:after="0"/>
              <w:rPr>
                <w:sz w:val="20"/>
                <w:szCs w:val="20"/>
                <w:color w:val="auto"/>
              </w:rPr>
            </w:pPr>
            <w:r>
              <w:rPr>
                <w:rFonts w:ascii="Arial" w:cs="Arial" w:eastAsia="Arial" w:hAnsi="Arial"/>
                <w:sz w:val="18"/>
                <w:szCs w:val="18"/>
                <w:color w:val="auto"/>
              </w:rPr>
              <w:t>Federal Reserve Bank of New York</w:t>
            </w:r>
          </w:p>
        </w:tc>
        <w:tc>
          <w:tcPr>
            <w:tcW w:w="6700" w:type="dxa"/>
            <w:vAlign w:val="bottom"/>
          </w:tcPr>
          <w:p>
            <w:pPr>
              <w:ind w:left="1160"/>
              <w:spacing w:after="0"/>
              <w:rPr>
                <w:sz w:val="20"/>
                <w:szCs w:val="20"/>
                <w:color w:val="auto"/>
              </w:rPr>
            </w:pPr>
            <w:r>
              <w:rPr>
                <w:rFonts w:ascii="Arial" w:cs="Arial" w:eastAsia="Arial" w:hAnsi="Arial"/>
                <w:sz w:val="18"/>
                <w:szCs w:val="18"/>
                <w:color w:val="auto"/>
              </w:rPr>
              <w:t>33 Liberty Street, New York, N.Y. 10045</w:t>
            </w:r>
          </w:p>
        </w:tc>
      </w:tr>
      <w:tr>
        <w:trPr>
          <w:trHeight w:val="424"/>
        </w:trPr>
        <w:tc>
          <w:tcPr>
            <w:tcW w:w="472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6700" w:type="dxa"/>
            <w:vAlign w:val="bottom"/>
          </w:tcPr>
          <w:p>
            <w:pPr>
              <w:ind w:left="1160"/>
              <w:spacing w:after="0"/>
              <w:rPr>
                <w:sz w:val="20"/>
                <w:szCs w:val="20"/>
                <w:color w:val="auto"/>
              </w:rPr>
            </w:pPr>
            <w:r>
              <w:rPr>
                <w:rFonts w:ascii="Arial" w:cs="Arial" w:eastAsia="Arial" w:hAnsi="Arial"/>
                <w:sz w:val="18"/>
                <w:szCs w:val="18"/>
                <w:color w:val="auto"/>
              </w:rPr>
              <w:t>Washington, D.C. 20429</w:t>
            </w:r>
          </w:p>
        </w:tc>
      </w:tr>
      <w:tr>
        <w:trPr>
          <w:trHeight w:val="424"/>
        </w:trPr>
        <w:tc>
          <w:tcPr>
            <w:tcW w:w="4720" w:type="dxa"/>
            <w:vAlign w:val="bottom"/>
          </w:tcPr>
          <w:p>
            <w:pPr>
              <w:spacing w:after="0"/>
              <w:rPr>
                <w:sz w:val="20"/>
                <w:szCs w:val="20"/>
                <w:color w:val="auto"/>
              </w:rPr>
            </w:pPr>
            <w:r>
              <w:rPr>
                <w:rFonts w:ascii="Arial" w:cs="Arial" w:eastAsia="Arial" w:hAnsi="Arial"/>
                <w:sz w:val="18"/>
                <w:szCs w:val="18"/>
                <w:color w:val="auto"/>
              </w:rPr>
              <w:t>New York Clearing House Association</w:t>
            </w:r>
          </w:p>
        </w:tc>
        <w:tc>
          <w:tcPr>
            <w:tcW w:w="6700" w:type="dxa"/>
            <w:vAlign w:val="bottom"/>
          </w:tcPr>
          <w:p>
            <w:pPr>
              <w:ind w:left="1160"/>
              <w:spacing w:after="0"/>
              <w:rPr>
                <w:sz w:val="20"/>
                <w:szCs w:val="20"/>
                <w:color w:val="auto"/>
              </w:rPr>
            </w:pPr>
            <w:r>
              <w:rPr>
                <w:rFonts w:ascii="Arial" w:cs="Arial" w:eastAsia="Arial" w:hAnsi="Arial"/>
                <w:sz w:val="18"/>
                <w:szCs w:val="18"/>
                <w:color w:val="auto"/>
              </w:rPr>
              <w:t>New York, New York 10005</w:t>
            </w:r>
          </w:p>
        </w:tc>
      </w:tr>
    </w:tbl>
    <w:p>
      <w:pPr>
        <w:spacing w:after="0" w:line="89" w:lineRule="exact"/>
        <w:rPr>
          <w:sz w:val="20"/>
          <w:szCs w:val="20"/>
          <w:color w:val="auto"/>
        </w:rPr>
      </w:pPr>
    </w:p>
    <w:p>
      <w:pPr>
        <w:ind w:left="900" w:hanging="443"/>
        <w:spacing w:after="0"/>
        <w:tabs>
          <w:tab w:leader="none" w:pos="9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Yes.</w:t>
      </w:r>
    </w:p>
    <w:p>
      <w:pPr>
        <w:spacing w:after="0" w:line="105" w:lineRule="exact"/>
        <w:rPr>
          <w:sz w:val="20"/>
          <w:szCs w:val="20"/>
          <w:color w:val="auto"/>
        </w:rPr>
      </w:pPr>
    </w:p>
    <w:p>
      <w:pPr>
        <w:ind w:left="440" w:hanging="434"/>
        <w:spacing w:after="0"/>
        <w:tabs>
          <w:tab w:leader="none" w:pos="4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24" w:lineRule="exact"/>
        <w:rPr>
          <w:rFonts w:ascii="Arial" w:cs="Arial" w:eastAsia="Arial" w:hAnsi="Arial"/>
          <w:sz w:val="18"/>
          <w:szCs w:val="18"/>
          <w:b w:val="1"/>
          <w:bCs w:val="1"/>
          <w:color w:val="auto"/>
        </w:rPr>
      </w:pPr>
    </w:p>
    <w:p>
      <w:pPr>
        <w:ind w:left="440" w:right="5620"/>
        <w:spacing w:after="0" w:line="38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40" w:hanging="434"/>
        <w:spacing w:after="0"/>
        <w:tabs>
          <w:tab w:leader="none" w:pos="4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24" w:lineRule="exact"/>
        <w:rPr>
          <w:rFonts w:ascii="Arial" w:cs="Arial" w:eastAsia="Arial" w:hAnsi="Arial"/>
          <w:sz w:val="18"/>
          <w:szCs w:val="18"/>
          <w:b w:val="1"/>
          <w:bCs w:val="1"/>
          <w:color w:val="auto"/>
        </w:rPr>
      </w:pPr>
    </w:p>
    <w:p>
      <w:pPr>
        <w:ind w:left="440" w:right="460"/>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67" w:lineRule="exact"/>
        <w:rPr>
          <w:rFonts w:ascii="Arial" w:cs="Arial" w:eastAsia="Arial" w:hAnsi="Arial"/>
          <w:sz w:val="18"/>
          <w:szCs w:val="18"/>
          <w:b w:val="1"/>
          <w:bCs w:val="1"/>
          <w:color w:val="auto"/>
        </w:rPr>
      </w:pPr>
    </w:p>
    <w:p>
      <w:pPr>
        <w:ind w:left="900" w:right="80" w:hanging="443"/>
        <w:spacing w:after="0" w:line="271" w:lineRule="auto"/>
        <w:tabs>
          <w:tab w:leader="none" w:pos="9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w:t>
      </w:r>
    </w:p>
    <w:p>
      <w:pPr>
        <w:spacing w:after="0" w:line="85" w:lineRule="exact"/>
        <w:rPr>
          <w:sz w:val="20"/>
          <w:szCs w:val="20"/>
          <w:color w:val="auto"/>
        </w:rPr>
      </w:pPr>
    </w:p>
    <w:p>
      <w:pPr>
        <w:ind w:left="900" w:hanging="443"/>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333-121195.)</w:t>
      </w:r>
    </w:p>
    <w:p>
      <w:pPr>
        <w:spacing w:after="0" w:line="190" w:lineRule="exact"/>
        <w:rPr>
          <w:rFonts w:ascii="Arial" w:cs="Arial" w:eastAsia="Arial" w:hAnsi="Arial"/>
          <w:sz w:val="18"/>
          <w:szCs w:val="18"/>
          <w:color w:val="auto"/>
        </w:rPr>
      </w:pPr>
    </w:p>
    <w:p>
      <w:pPr>
        <w:ind w:left="5660" w:hanging="93"/>
        <w:spacing w:after="0"/>
        <w:tabs>
          <w:tab w:leader="none" w:pos="5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33" w:name="page234"/>
    <w:bookmarkEnd w:id="233"/>
    <w:p>
      <w:pPr>
        <w:ind w:left="443" w:hanging="443"/>
        <w:spacing w:after="0"/>
        <w:tabs>
          <w:tab w:leader="none" w:pos="443"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consent of the Trustee required by Section 321(b) of the Act. (Exhibit 6 to Form T-1 filed with Registration Statement No. 333-106702.)</w:t>
      </w:r>
    </w:p>
    <w:p>
      <w:pPr>
        <w:spacing w:after="0" w:line="158" w:lineRule="exact"/>
        <w:rPr>
          <w:rFonts w:ascii="Arial" w:cs="Arial" w:eastAsia="Arial" w:hAnsi="Arial"/>
          <w:sz w:val="15"/>
          <w:szCs w:val="15"/>
          <w:color w:val="auto"/>
        </w:rPr>
      </w:pPr>
    </w:p>
    <w:p>
      <w:pPr>
        <w:ind w:left="443" w:hanging="443"/>
        <w:spacing w:after="0"/>
        <w:tabs>
          <w:tab w:leader="none" w:pos="443"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 copy of the latest report of condition of the Trustee published pursuant to law or to the requirements of its supervising or examining authority.</w:t>
      </w:r>
    </w:p>
    <w:p>
      <w:pPr>
        <w:spacing w:after="0" w:line="225" w:lineRule="exact"/>
        <w:rPr>
          <w:rFonts w:ascii="Arial" w:cs="Arial" w:eastAsia="Arial" w:hAnsi="Arial"/>
          <w:sz w:val="15"/>
          <w:szCs w:val="15"/>
          <w:color w:val="auto"/>
        </w:rPr>
      </w:pPr>
    </w:p>
    <w:p>
      <w:pPr>
        <w:ind w:left="5203" w:hanging="93"/>
        <w:spacing w:after="0"/>
        <w:tabs>
          <w:tab w:leader="none" w:pos="520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143510</wp:posOffset>
            </wp:positionV>
            <wp:extent cx="725360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3"/>
          </w:cols>
          <w:pgMar w:left="697" w:top="923" w:right="579" w:bottom="1440" w:gutter="0" w:footer="0" w:header="0"/>
        </w:sectPr>
      </w:pPr>
    </w:p>
    <w:bookmarkStart w:id="234" w:name="page235"/>
    <w:bookmarkEnd w:id="234"/>
    <w:p>
      <w:pPr>
        <w:jc w:val="center"/>
        <w:ind w:right="-219"/>
        <w:spacing w:after="0"/>
        <w:rPr>
          <w:sz w:val="20"/>
          <w:szCs w:val="20"/>
          <w:color w:val="auto"/>
        </w:rPr>
      </w:pPr>
      <w:r>
        <w:rPr>
          <w:rFonts w:ascii="Arial" w:cs="Arial" w:eastAsia="Arial" w:hAnsi="Arial"/>
          <w:sz w:val="18"/>
          <w:szCs w:val="18"/>
          <w:color w:val="auto"/>
        </w:rPr>
        <w:t>SIGNATURE</w:t>
      </w:r>
    </w:p>
    <w:p>
      <w:pPr>
        <w:spacing w:after="0" w:line="111"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24th day of March,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NEW YORK</w:t>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VAN 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11430</wp:posOffset>
            </wp:positionV>
            <wp:extent cx="2769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 VAN K. BROWN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8"/>
          <w:szCs w:val="18"/>
          <w:color w:val="auto"/>
        </w:rPr>
        <w:t>Title:</w:t>
        <w:tab/>
        <w:t>VICE PRESIDENT</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u w:val="single" w:color="auto"/>
          <w:color w:val="auto"/>
        </w:rPr>
        <w:t>EXHIBIT 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One Wall Street, New York, N.Y. 10286 And Foreign and Domestic Subsidiaries,</w:t>
      </w:r>
    </w:p>
    <w:p>
      <w:pPr>
        <w:spacing w:after="0" w:line="111"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a member of the Federal Reserve System, at the close of business December 31, 2005, published in accordance with a call made by the Federal Reserve Bank of this District pursuant to the provisions of the Federal Reserve Act.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380" w:type="dxa"/>
            <w:vAlign w:val="bottom"/>
          </w:tcPr>
          <w:p>
            <w:pPr>
              <w:jc w:val="right"/>
              <w:ind w:right="34"/>
              <w:spacing w:after="0"/>
              <w:rPr>
                <w:sz w:val="20"/>
                <w:szCs w:val="20"/>
                <w:color w:val="auto"/>
              </w:rPr>
            </w:pPr>
            <w:r>
              <w:rPr>
                <w:rFonts w:ascii="Arial" w:cs="Arial" w:eastAsia="Arial" w:hAnsi="Arial"/>
                <w:sz w:val="14"/>
                <w:szCs w:val="14"/>
                <w:color w:val="auto"/>
              </w:rPr>
              <w:t>Dollar Amounts</w:t>
            </w:r>
          </w:p>
        </w:tc>
      </w:tr>
      <w:tr>
        <w:trPr>
          <w:trHeight w:val="164"/>
        </w:trPr>
        <w:tc>
          <w:tcPr>
            <w:tcW w:w="9040" w:type="dxa"/>
            <w:vAlign w:val="bottom"/>
          </w:tcPr>
          <w:p>
            <w:pPr>
              <w:spacing w:after="0"/>
              <w:rPr>
                <w:sz w:val="14"/>
                <w:szCs w:val="14"/>
                <w:color w:val="auto"/>
              </w:rPr>
            </w:pPr>
          </w:p>
        </w:tc>
        <w:tc>
          <w:tcPr>
            <w:tcW w:w="2380" w:type="dxa"/>
            <w:vAlign w:val="bottom"/>
          </w:tcPr>
          <w:p>
            <w:pPr>
              <w:jc w:val="right"/>
              <w:ind w:right="114"/>
              <w:spacing w:after="0"/>
              <w:rPr>
                <w:sz w:val="20"/>
                <w:szCs w:val="20"/>
                <w:color w:val="auto"/>
              </w:rPr>
            </w:pPr>
            <w:r>
              <w:rPr>
                <w:rFonts w:ascii="Arial" w:cs="Arial" w:eastAsia="Arial" w:hAnsi="Arial"/>
                <w:sz w:val="14"/>
                <w:szCs w:val="14"/>
                <w:color w:val="auto"/>
              </w:rPr>
              <w:t>In Thousands</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80" w:type="dxa"/>
            <w:vAlign w:val="bottom"/>
            <w:shd w:val="clear" w:color="auto" w:fill="CCEEFF"/>
          </w:tcPr>
          <w:p>
            <w:pPr>
              <w:spacing w:after="0"/>
              <w:rPr>
                <w:sz w:val="18"/>
                <w:szCs w:val="18"/>
                <w:color w:val="auto"/>
              </w:rPr>
            </w:pP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380" w:type="dxa"/>
            <w:vAlign w:val="bottom"/>
          </w:tcPr>
          <w:p>
            <w:pPr>
              <w:spacing w:after="0"/>
              <w:rPr>
                <w:sz w:val="18"/>
                <w:szCs w:val="18"/>
                <w:color w:val="auto"/>
              </w:rPr>
            </w:pPr>
          </w:p>
        </w:tc>
      </w:tr>
      <w:tr>
        <w:trPr>
          <w:trHeight w:val="212"/>
        </w:trPr>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balances and currency and coin</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3,361,000</w:t>
            </w:r>
          </w:p>
        </w:tc>
      </w:tr>
      <w:tr>
        <w:trPr>
          <w:trHeight w:val="212"/>
        </w:trPr>
        <w:tc>
          <w:tcPr>
            <w:tcW w:w="9040" w:type="dxa"/>
            <w:vAlign w:val="bottom"/>
          </w:tcPr>
          <w:p>
            <w:pPr>
              <w:ind w:left="200"/>
              <w:spacing w:after="0"/>
              <w:rPr>
                <w:sz w:val="20"/>
                <w:szCs w:val="20"/>
                <w:color w:val="auto"/>
              </w:rPr>
            </w:pPr>
            <w:r>
              <w:rPr>
                <w:rFonts w:ascii="Arial" w:cs="Arial" w:eastAsia="Arial" w:hAnsi="Arial"/>
                <w:sz w:val="18"/>
                <w:szCs w:val="18"/>
                <w:color w:val="auto"/>
              </w:rPr>
              <w:t>Interest-bearing balances</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7,528,000</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380" w:type="dxa"/>
            <w:vAlign w:val="bottom"/>
            <w:shd w:val="clear" w:color="auto" w:fill="CCEEFF"/>
          </w:tcPr>
          <w:p>
            <w:pPr>
              <w:spacing w:after="0"/>
              <w:rPr>
                <w:sz w:val="18"/>
                <w:szCs w:val="18"/>
                <w:color w:val="auto"/>
              </w:rPr>
            </w:pPr>
          </w:p>
        </w:tc>
      </w:tr>
      <w:tr>
        <w:trPr>
          <w:trHeight w:val="212"/>
        </w:trPr>
        <w:tc>
          <w:tcPr>
            <w:tcW w:w="9040" w:type="dxa"/>
            <w:vAlign w:val="bottom"/>
          </w:tcPr>
          <w:p>
            <w:pPr>
              <w:ind w:left="200"/>
              <w:spacing w:after="0"/>
              <w:rPr>
                <w:sz w:val="20"/>
                <w:szCs w:val="20"/>
                <w:color w:val="auto"/>
              </w:rPr>
            </w:pPr>
            <w:r>
              <w:rPr>
                <w:rFonts w:ascii="Arial" w:cs="Arial" w:eastAsia="Arial" w:hAnsi="Arial"/>
                <w:sz w:val="18"/>
                <w:szCs w:val="18"/>
                <w:color w:val="auto"/>
              </w:rPr>
              <w:t>Held-to-maturity securities</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1,977,000</w:t>
            </w:r>
          </w:p>
        </w:tc>
      </w:tr>
      <w:tr>
        <w:trPr>
          <w:trHeight w:val="212"/>
        </w:trPr>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22,664,000</w:t>
            </w: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 Federal funds sold in domestic offices</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809,000</w:t>
            </w:r>
          </w:p>
        </w:tc>
      </w:tr>
      <w:tr>
        <w:trPr>
          <w:trHeight w:val="212"/>
        </w:trPr>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purchased under agreements to resell</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309,000</w:t>
            </w: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2380" w:type="dxa"/>
            <w:vAlign w:val="bottom"/>
          </w:tcPr>
          <w:p>
            <w:pPr>
              <w:spacing w:after="0"/>
              <w:rPr>
                <w:sz w:val="18"/>
                <w:szCs w:val="18"/>
                <w:color w:val="auto"/>
              </w:rPr>
            </w:pPr>
          </w:p>
        </w:tc>
      </w:tr>
      <w:tr>
        <w:trPr>
          <w:trHeight w:val="212"/>
        </w:trPr>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held for sale</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r>
      <w:tr>
        <w:trPr>
          <w:trHeight w:val="212"/>
        </w:trPr>
        <w:tc>
          <w:tcPr>
            <w:tcW w:w="9040" w:type="dxa"/>
            <w:vAlign w:val="bottom"/>
          </w:tcPr>
          <w:p>
            <w:pPr>
              <w:ind w:left="200"/>
              <w:spacing w:after="0"/>
              <w:rPr>
                <w:sz w:val="20"/>
                <w:szCs w:val="20"/>
                <w:color w:val="auto"/>
              </w:rPr>
            </w:pPr>
            <w:r>
              <w:rPr>
                <w:rFonts w:ascii="Arial" w:cs="Arial" w:eastAsia="Arial" w:hAnsi="Arial"/>
                <w:sz w:val="18"/>
                <w:szCs w:val="18"/>
                <w:color w:val="auto"/>
              </w:rPr>
              <w:t>Loans and leases, net of unearned income</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33,263,000</w:t>
            </w:r>
          </w:p>
        </w:tc>
      </w:tr>
      <w:tr>
        <w:trPr>
          <w:trHeight w:val="212"/>
        </w:trPr>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Allowance for loan and lease losses</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408,000</w:t>
            </w:r>
          </w:p>
        </w:tc>
      </w:tr>
      <w:tr>
        <w:trPr>
          <w:trHeight w:val="212"/>
        </w:trPr>
        <w:tc>
          <w:tcPr>
            <w:tcW w:w="9040" w:type="dxa"/>
            <w:vAlign w:val="bottom"/>
          </w:tcPr>
          <w:p>
            <w:pPr>
              <w:ind w:left="200"/>
              <w:spacing w:after="0"/>
              <w:rPr>
                <w:sz w:val="20"/>
                <w:szCs w:val="20"/>
                <w:color w:val="auto"/>
              </w:rPr>
            </w:pPr>
            <w:r>
              <w:rPr>
                <w:rFonts w:ascii="Arial" w:cs="Arial" w:eastAsia="Arial" w:hAnsi="Arial"/>
                <w:sz w:val="18"/>
                <w:szCs w:val="18"/>
                <w:color w:val="auto"/>
              </w:rPr>
              <w:t>Loans and leases, net of unearned income and allowance</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32,855,000</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5,625,000</w:t>
            </w: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821,000</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380" w:type="dxa"/>
            <w:vAlign w:val="bottom"/>
          </w:tcPr>
          <w:p>
            <w:pPr>
              <w:jc w:val="right"/>
              <w:ind w:right="14"/>
              <w:spacing w:after="0"/>
              <w:rPr>
                <w:sz w:val="20"/>
                <w:szCs w:val="20"/>
                <w:color w:val="auto"/>
              </w:rPr>
            </w:pPr>
            <w:r>
              <w:rPr>
                <w:rFonts w:ascii="Arial" w:cs="Arial" w:eastAsia="Arial" w:hAnsi="Arial"/>
                <w:sz w:val="18"/>
                <w:szCs w:val="18"/>
                <w:color w:val="auto"/>
              </w:rPr>
              <w:t>283,000</w:t>
            </w:r>
          </w:p>
        </w:tc>
      </w:tr>
      <w:tr>
        <w:trPr>
          <w:trHeight w:val="212"/>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Customers’ liability to this bank on acceptances outstanding</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117,000</w:t>
            </w:r>
          </w:p>
        </w:tc>
      </w:tr>
      <w:tr>
        <w:trPr>
          <w:trHeight w:val="620"/>
        </w:trPr>
        <w:tc>
          <w:tcPr>
            <w:tcW w:w="90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8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w:t>
            </w:r>
          </w:p>
        </w:tc>
        <w:tc>
          <w:tcPr>
            <w:tcW w:w="9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196"/>
        </w:trPr>
        <w:tc>
          <w:tcPr>
            <w:tcW w:w="94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764,000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$ 85,868,000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Deposits: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domestic offices</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$ 38,100,000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18,123,000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19,977,000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In foreign offices, Edge and Agreement subsidiaries, and IBFs</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27,218,000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26,835,000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funds purchased and securities sold under agreements to repurchase Federal funds purchased in domestic offices</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Other borrowed money:</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Not applicable Bank’s liability on acceptances executed and outstanding</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$ 77,355,000</w:t>
            </w:r>
          </w:p>
        </w:tc>
        <w:tc>
          <w:tcPr>
            <w:tcW w:w="0" w:type="dxa"/>
            <w:vAlign w:val="bottom"/>
          </w:tcPr>
          <w:p>
            <w:pPr>
              <w:spacing w:after="0"/>
              <w:rPr>
                <w:sz w:val="1"/>
                <w:szCs w:val="1"/>
                <w:color w:val="auto"/>
              </w:rPr>
            </w:pPr>
          </w:p>
        </w:tc>
      </w:tr>
      <w:tr>
        <w:trPr>
          <w:trHeight w:val="20"/>
        </w:trPr>
        <w:tc>
          <w:tcPr>
            <w:tcW w:w="9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9460" w:type="dxa"/>
            <w:vAlign w:val="bottom"/>
            <w:gridSpan w:val="2"/>
          </w:tcPr>
          <w:p>
            <w:pPr>
              <w:spacing w:after="0"/>
              <w:rPr>
                <w:sz w:val="20"/>
                <w:szCs w:val="20"/>
                <w:color w:val="auto"/>
              </w:rPr>
            </w:pPr>
            <w:r>
              <w:rPr>
                <w:rFonts w:ascii="Arial" w:cs="Arial" w:eastAsia="Arial" w:hAnsi="Arial"/>
                <w:sz w:val="18"/>
                <w:szCs w:val="18"/>
                <w:color w:val="auto"/>
              </w:rPr>
              <w:t>Minority interest in consolidated subsidiaries</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2,097,000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7"/>
        </w:trPr>
        <w:tc>
          <w:tcPr>
            <w:tcW w:w="9460" w:type="dxa"/>
            <w:vAlign w:val="bottom"/>
            <w:gridSpan w:val="2"/>
          </w:tcPr>
          <w:p>
            <w:pPr>
              <w:jc w:val="right"/>
              <w:ind w:right="3512"/>
              <w:spacing w:after="0"/>
              <w:rPr>
                <w:sz w:val="20"/>
                <w:szCs w:val="20"/>
                <w:color w:val="auto"/>
              </w:rPr>
            </w:pPr>
            <w:r>
              <w:rPr>
                <w:rFonts w:ascii="Arial" w:cs="Arial" w:eastAsia="Arial" w:hAnsi="Arial"/>
                <w:sz w:val="18"/>
                <w:szCs w:val="18"/>
                <w:color w:val="auto"/>
              </w:rPr>
              <w:t>- 2 -</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3" w:right="2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Dollar Amounts</w:t>
            </w:r>
          </w:p>
        </w:tc>
      </w:tr>
      <w:tr>
        <w:trPr>
          <w:trHeight w:val="152"/>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89"/>
              </w:rPr>
              <w:t>In Thousands</w:t>
            </w:r>
          </w:p>
        </w:tc>
      </w:tr>
      <w:tr>
        <w:trPr>
          <w:trHeight w:val="231"/>
        </w:trPr>
        <w:tc>
          <w:tcPr>
            <w:tcW w:w="702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33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8,374,000</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4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$ 85,868,000</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I, Thomas J. Mastro, Executive Vice President and Comptroller of the above-named bank do hereby declare that this Report of Condition is true and correct to the best of my knowledge and belief.</w:t>
      </w:r>
    </w:p>
    <w:p>
      <w:pPr>
        <w:spacing w:after="0" w:line="17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Thomas J. Mastro,</w:t>
      </w:r>
    </w:p>
    <w:p>
      <w:pPr>
        <w:spacing w:after="0" w:line="16"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Executive Vice President and Comptroller</w:t>
      </w:r>
    </w:p>
    <w:p>
      <w:pPr>
        <w:spacing w:after="0" w:line="100" w:lineRule="exact"/>
        <w:rPr>
          <w:sz w:val="20"/>
          <w:szCs w:val="20"/>
          <w:color w:val="auto"/>
        </w:rPr>
      </w:pPr>
    </w:p>
    <w:p>
      <w:pPr>
        <w:ind w:right="320" w:firstLine="218"/>
        <w:spacing w:after="0" w:line="294"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1580" w:type="dxa"/>
            <w:vAlign w:val="bottom"/>
          </w:tcPr>
          <w:p>
            <w:pPr>
              <w:spacing w:after="0"/>
              <w:rPr>
                <w:sz w:val="20"/>
                <w:szCs w:val="20"/>
                <w:color w:val="auto"/>
              </w:rPr>
            </w:pPr>
            <w:r>
              <w:rPr>
                <w:rFonts w:ascii="Arial" w:cs="Arial" w:eastAsia="Arial" w:hAnsi="Arial"/>
                <w:sz w:val="18"/>
                <w:szCs w:val="18"/>
                <w:color w:val="auto"/>
              </w:rPr>
              <w:t>Thomas A. Renyi</w:t>
            </w:r>
          </w:p>
        </w:tc>
        <w:tc>
          <w:tcPr>
            <w:tcW w:w="2280" w:type="dxa"/>
            <w:vAlign w:val="bottom"/>
            <w:vMerge w:val="restart"/>
          </w:tcPr>
          <w:p>
            <w:pPr>
              <w:jc w:val="right"/>
              <w:ind w:right="1346"/>
              <w:spacing w:after="0"/>
              <w:rPr>
                <w:sz w:val="20"/>
                <w:szCs w:val="20"/>
                <w:color w:val="auto"/>
              </w:rPr>
            </w:pPr>
            <w:r>
              <w:rPr>
                <w:rFonts w:ascii="Arial" w:cs="Arial" w:eastAsia="Arial" w:hAnsi="Arial"/>
                <w:sz w:val="71"/>
                <w:szCs w:val="71"/>
                <w:color w:val="auto"/>
              </w:rPr>
              <w:t>]</w:t>
            </w:r>
          </w:p>
        </w:tc>
        <w:tc>
          <w:tcPr>
            <w:tcW w:w="3360" w:type="dxa"/>
            <w:vAlign w:val="bottom"/>
            <w:vMerge w:val="restart"/>
          </w:tcPr>
          <w:p>
            <w:pPr>
              <w:jc w:val="right"/>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117"/>
        </w:trPr>
        <w:tc>
          <w:tcPr>
            <w:tcW w:w="1580" w:type="dxa"/>
            <w:vAlign w:val="bottom"/>
            <w:vMerge w:val="restart"/>
          </w:tcPr>
          <w:p>
            <w:pPr>
              <w:spacing w:after="0"/>
              <w:rPr>
                <w:sz w:val="20"/>
                <w:szCs w:val="20"/>
                <w:color w:val="auto"/>
              </w:rPr>
            </w:pPr>
            <w:r>
              <w:rPr>
                <w:rFonts w:ascii="Arial" w:cs="Arial" w:eastAsia="Arial" w:hAnsi="Arial"/>
                <w:sz w:val="18"/>
                <w:szCs w:val="18"/>
                <w:color w:val="auto"/>
              </w:rPr>
              <w:t>Gerald L. Hassell</w:t>
            </w:r>
          </w:p>
        </w:tc>
        <w:tc>
          <w:tcPr>
            <w:tcW w:w="228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158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jc w:val="right"/>
              <w:ind w:right="1272"/>
              <w:spacing w:after="0"/>
              <w:rPr>
                <w:sz w:val="20"/>
                <w:szCs w:val="20"/>
                <w:color w:val="auto"/>
              </w:rPr>
            </w:pPr>
            <w:r>
              <w:rPr>
                <w:rFonts w:ascii="Arial" w:cs="Arial" w:eastAsia="Arial" w:hAnsi="Arial"/>
                <w:sz w:val="18"/>
                <w:szCs w:val="18"/>
                <w:color w:val="auto"/>
              </w:rPr>
              <w:t>- 3 -</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4" w:right="239" w:bottom="1440" w:gutter="0" w:footer="0" w:header="0"/>
        </w:sectPr>
      </w:pPr>
    </w:p>
    <w:bookmarkStart w:id="238" w:name="page239"/>
    <w:bookmarkEnd w:id="238"/>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24916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7249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0"/>
          <w:szCs w:val="20"/>
          <w:color w:val="auto"/>
        </w:rPr>
      </w:pPr>
    </w:p>
    <w:p>
      <w:pPr>
        <w:ind w:left="4180"/>
        <w:spacing w:after="0"/>
        <w:rPr>
          <w:sz w:val="20"/>
          <w:szCs w:val="20"/>
          <w:color w:val="auto"/>
        </w:rPr>
      </w:pPr>
      <w:r>
        <w:rPr>
          <w:rFonts w:ascii="Arial" w:cs="Arial" w:eastAsia="Arial" w:hAnsi="Arial"/>
          <w:sz w:val="21"/>
          <w:szCs w:val="21"/>
          <w:b w:val="1"/>
          <w:bCs w:val="1"/>
          <w:color w:val="auto"/>
        </w:rPr>
        <w:t>STATEMENT OF ELIGIBILITY</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UNDER THE TRUST INDENTURE ACT OF 1939 OF A</w:t>
      </w:r>
    </w:p>
    <w:p>
      <w:pPr>
        <w:ind w:left="3080"/>
        <w:spacing w:after="0"/>
        <w:rPr>
          <w:sz w:val="20"/>
          <w:szCs w:val="20"/>
          <w:color w:val="auto"/>
        </w:rPr>
      </w:pPr>
      <w:r>
        <w:rPr>
          <w:rFonts w:ascii="Arial" w:cs="Arial" w:eastAsia="Arial" w:hAnsi="Arial"/>
          <w:sz w:val="21"/>
          <w:szCs w:val="21"/>
          <w:b w:val="1"/>
          <w:bCs w:val="1"/>
          <w:color w:val="auto"/>
        </w:rPr>
        <w:t>CORPORATION DESIGNATED TO ACT AS TRUSTEE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CHECK IF AN APPLICATION TO DETERMINE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ELIGIBILITY OF A TRUSTEE PURSUANT TO</w:t>
      </w:r>
    </w:p>
    <w:p>
      <w:pPr>
        <w:jc w:val="center"/>
        <w:spacing w:after="0"/>
        <w:rPr>
          <w:sz w:val="20"/>
          <w:szCs w:val="20"/>
          <w:color w:val="auto"/>
        </w:rPr>
      </w:pPr>
      <w:r>
        <w:rPr>
          <w:rFonts w:ascii="Arial" w:cs="Arial" w:eastAsia="Arial" w:hAnsi="Arial"/>
          <w:sz w:val="21"/>
          <w:szCs w:val="21"/>
          <w:b w:val="1"/>
          <w:bCs w:val="1"/>
          <w:color w:val="auto"/>
        </w:rPr>
        <w:t>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185420</wp:posOffset>
            </wp:positionV>
            <wp:extent cx="21805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520"/>
        </w:trPr>
        <w:tc>
          <w:tcPr>
            <w:tcW w:w="2900" w:type="dxa"/>
            <w:vAlign w:val="bottom"/>
          </w:tcPr>
          <w:p>
            <w:pPr>
              <w:spacing w:after="0"/>
              <w:rPr>
                <w:sz w:val="24"/>
                <w:szCs w:val="24"/>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42"/>
                <w:szCs w:val="42"/>
                <w:b w:val="1"/>
                <w:bCs w:val="1"/>
                <w:color w:val="auto"/>
              </w:rPr>
              <w:t>THE BANK OF NEW YORK</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(Exact name of trustee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New York</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13-5160382</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of incorporation</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if not a U.S. national bank)</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One Wall Street, New York, N.Y.</w:t>
            </w:r>
          </w:p>
        </w:tc>
        <w:tc>
          <w:tcPr>
            <w:tcW w:w="4540" w:type="dxa"/>
            <w:vAlign w:val="bottom"/>
            <w:gridSpan w:val="2"/>
          </w:tcPr>
          <w:p>
            <w:pPr>
              <w:ind w:left="3960"/>
              <w:spacing w:after="0"/>
              <w:rPr>
                <w:sz w:val="20"/>
                <w:szCs w:val="20"/>
                <w:color w:val="auto"/>
              </w:rPr>
            </w:pPr>
            <w:r>
              <w:rPr>
                <w:rFonts w:ascii="Arial" w:cs="Arial" w:eastAsia="Arial" w:hAnsi="Arial"/>
                <w:sz w:val="18"/>
                <w:szCs w:val="18"/>
                <w:color w:val="auto"/>
              </w:rPr>
              <w:t>10286</w:t>
            </w:r>
          </w:p>
        </w:tc>
        <w:tc>
          <w:tcPr>
            <w:tcW w:w="1840" w:type="dxa"/>
            <w:vAlign w:val="bottom"/>
          </w:tcPr>
          <w:p>
            <w:pPr>
              <w:spacing w:after="0"/>
              <w:rPr>
                <w:sz w:val="24"/>
                <w:szCs w:val="24"/>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w w:val="93"/>
              </w:rPr>
              <w:t>(Address of principal executive offices)</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(Zip code)</w:t>
            </w:r>
          </w:p>
        </w:tc>
      </w:tr>
      <w:tr>
        <w:trPr>
          <w:trHeight w:val="279"/>
        </w:trPr>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670"/>
        </w:trPr>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80" w:type="dxa"/>
            <w:vAlign w:val="bottom"/>
            <w:gridSpan w:val="2"/>
          </w:tcPr>
          <w:p>
            <w:pPr>
              <w:jc w:val="center"/>
              <w:ind w:right="1840"/>
              <w:spacing w:after="0"/>
              <w:rPr>
                <w:sz w:val="20"/>
                <w:szCs w:val="20"/>
                <w:color w:val="auto"/>
              </w:rPr>
            </w:pPr>
            <w:r>
              <w:rPr>
                <w:rFonts w:ascii="Arial" w:cs="Arial" w:eastAsia="Arial" w:hAnsi="Arial"/>
                <w:sz w:val="35"/>
                <w:szCs w:val="35"/>
                <w:b w:val="1"/>
                <w:bCs w:val="1"/>
                <w:color w:val="auto"/>
                <w:w w:val="91"/>
              </w:rPr>
              <w:t>Comcast Corporation</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(Exact name of obligor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Pennsylvania</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27-0000798</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612"/>
        </w:trPr>
        <w:tc>
          <w:tcPr>
            <w:tcW w:w="9280" w:type="dxa"/>
            <w:vAlign w:val="bottom"/>
            <w:gridSpan w:val="4"/>
          </w:tcPr>
          <w:p>
            <w:pPr>
              <w:jc w:val="center"/>
              <w:ind w:left="2044"/>
              <w:spacing w:after="0"/>
              <w:rPr>
                <w:sz w:val="20"/>
                <w:szCs w:val="20"/>
                <w:color w:val="auto"/>
              </w:rPr>
            </w:pPr>
            <w:r>
              <w:rPr>
                <w:rFonts w:ascii="Arial" w:cs="Arial" w:eastAsia="Arial" w:hAnsi="Arial"/>
                <w:sz w:val="35"/>
                <w:szCs w:val="35"/>
                <w:b w:val="1"/>
                <w:bCs w:val="1"/>
                <w:color w:val="auto"/>
                <w:w w:val="92"/>
              </w:rPr>
              <w:t>Comcast Cable Communications, LLC</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(Exact name of obligor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Delaware</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23-2175755</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612"/>
        </w:trPr>
        <w:tc>
          <w:tcPr>
            <w:tcW w:w="9280" w:type="dxa"/>
            <w:vAlign w:val="bottom"/>
            <w:gridSpan w:val="4"/>
          </w:tcPr>
          <w:p>
            <w:pPr>
              <w:jc w:val="center"/>
              <w:ind w:left="2044"/>
              <w:spacing w:after="0"/>
              <w:rPr>
                <w:sz w:val="20"/>
                <w:szCs w:val="20"/>
                <w:color w:val="auto"/>
              </w:rPr>
            </w:pPr>
            <w:r>
              <w:rPr>
                <w:rFonts w:ascii="Arial" w:cs="Arial" w:eastAsia="Arial" w:hAnsi="Arial"/>
                <w:sz w:val="35"/>
                <w:szCs w:val="35"/>
                <w:b w:val="1"/>
                <w:bCs w:val="1"/>
                <w:color w:val="auto"/>
                <w:w w:val="90"/>
              </w:rPr>
              <w:t>Comcast Cable Communications Holdings, Inc.</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(Exact name of obligor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Delaware</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04-3592397</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612"/>
        </w:trPr>
        <w:tc>
          <w:tcPr>
            <w:tcW w:w="2900" w:type="dxa"/>
            <w:vAlign w:val="bottom"/>
          </w:tcPr>
          <w:p>
            <w:pPr>
              <w:spacing w:after="0"/>
              <w:rPr>
                <w:sz w:val="24"/>
                <w:szCs w:val="24"/>
                <w:color w:val="auto"/>
              </w:rPr>
            </w:pPr>
          </w:p>
        </w:tc>
        <w:tc>
          <w:tcPr>
            <w:tcW w:w="6380" w:type="dxa"/>
            <w:vAlign w:val="bottom"/>
            <w:gridSpan w:val="3"/>
          </w:tcPr>
          <w:p>
            <w:pPr>
              <w:jc w:val="center"/>
              <w:ind w:right="740"/>
              <w:spacing w:after="0"/>
              <w:rPr>
                <w:sz w:val="20"/>
                <w:szCs w:val="20"/>
                <w:color w:val="auto"/>
              </w:rPr>
            </w:pPr>
            <w:r>
              <w:rPr>
                <w:rFonts w:ascii="Arial" w:cs="Arial" w:eastAsia="Arial" w:hAnsi="Arial"/>
                <w:sz w:val="35"/>
                <w:szCs w:val="35"/>
                <w:b w:val="1"/>
                <w:bCs w:val="1"/>
                <w:color w:val="auto"/>
                <w:w w:val="92"/>
              </w:rPr>
              <w:t>Comcast Cable Holdings, LLC</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(Exact name of obligor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Delaware</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84-1260157</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612"/>
        </w:trPr>
        <w:tc>
          <w:tcPr>
            <w:tcW w:w="2900" w:type="dxa"/>
            <w:vAlign w:val="bottom"/>
          </w:tcPr>
          <w:p>
            <w:pPr>
              <w:spacing w:after="0"/>
              <w:rPr>
                <w:sz w:val="24"/>
                <w:szCs w:val="24"/>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35"/>
                <w:szCs w:val="35"/>
                <w:b w:val="1"/>
                <w:bCs w:val="1"/>
                <w:color w:val="auto"/>
                <w:w w:val="94"/>
              </w:rPr>
              <w:t>Comcast MO Group, Inc.</w:t>
            </w:r>
          </w:p>
        </w:tc>
      </w:tr>
      <w:tr>
        <w:trPr>
          <w:trHeight w:val="223"/>
        </w:trPr>
        <w:tc>
          <w:tcPr>
            <w:tcW w:w="2900" w:type="dxa"/>
            <w:vAlign w:val="bottom"/>
          </w:tcPr>
          <w:p>
            <w:pPr>
              <w:spacing w:after="0"/>
              <w:rPr>
                <w:sz w:val="19"/>
                <w:szCs w:val="19"/>
                <w:color w:val="auto"/>
              </w:rPr>
            </w:pPr>
          </w:p>
        </w:tc>
        <w:tc>
          <w:tcPr>
            <w:tcW w:w="63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(Exact name of obligor as specified in its charter)</w:t>
            </w: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Delaware</w:t>
            </w:r>
          </w:p>
        </w:tc>
        <w:tc>
          <w:tcPr>
            <w:tcW w:w="6380" w:type="dxa"/>
            <w:vAlign w:val="bottom"/>
            <w:gridSpan w:val="3"/>
          </w:tcPr>
          <w:p>
            <w:pPr>
              <w:ind w:left="3960"/>
              <w:spacing w:after="0"/>
              <w:rPr>
                <w:sz w:val="20"/>
                <w:szCs w:val="20"/>
                <w:color w:val="auto"/>
              </w:rPr>
            </w:pPr>
            <w:r>
              <w:rPr>
                <w:rFonts w:ascii="Arial" w:cs="Arial" w:eastAsia="Arial" w:hAnsi="Arial"/>
                <w:sz w:val="18"/>
                <w:szCs w:val="18"/>
                <w:color w:val="auto"/>
              </w:rPr>
              <w:t>91-2047743</w:t>
            </w: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1100" w:type="dxa"/>
            <w:vAlign w:val="bottom"/>
          </w:tcPr>
          <w:p>
            <w:pPr>
              <w:spacing w:after="0"/>
              <w:rPr>
                <w:sz w:val="18"/>
                <w:szCs w:val="18"/>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19"/>
                <w:szCs w:val="19"/>
                <w:color w:val="auto"/>
              </w:rPr>
            </w:pPr>
          </w:p>
        </w:tc>
        <w:tc>
          <w:tcPr>
            <w:tcW w:w="528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Comcast MO of Delaware, LLC</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70" w:orient="portrait"/>
          <w:cols w:equalWidth="0" w:num="1">
            <w:col w:w="11420"/>
          </w:cols>
          <w:pgMar w:left="240" w:top="917" w:right="239" w:bottom="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Arial" w:cs="Arial" w:eastAsia="Arial" w:hAnsi="Arial"/>
                <w:sz w:val="18"/>
                <w:szCs w:val="18"/>
                <w:color w:val="auto"/>
              </w:rPr>
              <w:t>Delaware</w:t>
            </w:r>
          </w:p>
        </w:tc>
        <w:tc>
          <w:tcPr>
            <w:tcW w:w="7420" w:type="dxa"/>
            <w:vAlign w:val="bottom"/>
            <w:gridSpan w:val="2"/>
          </w:tcPr>
          <w:p>
            <w:pPr>
              <w:ind w:left="2860"/>
              <w:spacing w:after="0"/>
              <w:rPr>
                <w:sz w:val="20"/>
                <w:szCs w:val="20"/>
                <w:color w:val="auto"/>
              </w:rPr>
            </w:pPr>
            <w:r>
              <w:rPr>
                <w:rFonts w:ascii="Arial" w:cs="Arial" w:eastAsia="Arial" w:hAnsi="Arial"/>
                <w:sz w:val="18"/>
                <w:szCs w:val="18"/>
                <w:color w:val="auto"/>
              </w:rPr>
              <w:t>84-1372033</w:t>
            </w:r>
          </w:p>
        </w:tc>
      </w:tr>
      <w:tr>
        <w:trPr>
          <w:trHeight w:val="212"/>
        </w:trPr>
        <w:tc>
          <w:tcPr>
            <w:tcW w:w="40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420" w:type="dxa"/>
            <w:vAlign w:val="bottom"/>
            <w:gridSpan w:val="2"/>
          </w:tcPr>
          <w:p>
            <w:pPr>
              <w:ind w:left="2860"/>
              <w:spacing w:after="0"/>
              <w:rPr>
                <w:sz w:val="20"/>
                <w:szCs w:val="20"/>
                <w:color w:val="auto"/>
              </w:rPr>
            </w:pPr>
            <w:r>
              <w:rPr>
                <w:rFonts w:ascii="Arial" w:cs="Arial" w:eastAsia="Arial" w:hAnsi="Arial"/>
                <w:sz w:val="18"/>
                <w:szCs w:val="18"/>
                <w:color w:val="auto"/>
              </w:rPr>
              <w:t>(I.R.S. employer</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420" w:type="dxa"/>
            <w:vAlign w:val="bottom"/>
            <w:gridSpan w:val="2"/>
          </w:tcPr>
          <w:p>
            <w:pPr>
              <w:ind w:left="2860"/>
              <w:spacing w:after="0"/>
              <w:rPr>
                <w:sz w:val="20"/>
                <w:szCs w:val="20"/>
                <w:color w:val="auto"/>
              </w:rPr>
            </w:pPr>
            <w:r>
              <w:rPr>
                <w:rFonts w:ascii="Arial" w:cs="Arial" w:eastAsia="Arial" w:hAnsi="Arial"/>
                <w:sz w:val="18"/>
                <w:szCs w:val="18"/>
                <w:color w:val="auto"/>
              </w:rPr>
              <w:t>identification no.)</w:t>
            </w:r>
          </w:p>
        </w:tc>
      </w:tr>
      <w:tr>
        <w:trPr>
          <w:trHeight w:val="413"/>
        </w:trPr>
        <w:tc>
          <w:tcPr>
            <w:tcW w:w="4000" w:type="dxa"/>
            <w:vAlign w:val="bottom"/>
          </w:tcPr>
          <w:p>
            <w:pPr>
              <w:spacing w:after="0"/>
              <w:rPr>
                <w:sz w:val="20"/>
                <w:szCs w:val="20"/>
                <w:color w:val="auto"/>
              </w:rPr>
            </w:pPr>
            <w:r>
              <w:rPr>
                <w:rFonts w:ascii="Arial" w:cs="Arial" w:eastAsia="Arial" w:hAnsi="Arial"/>
                <w:sz w:val="18"/>
                <w:szCs w:val="18"/>
                <w:color w:val="auto"/>
              </w:rPr>
              <w:t>1500 Market Street</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12"/>
        </w:trPr>
        <w:tc>
          <w:tcPr>
            <w:tcW w:w="4000" w:type="dxa"/>
            <w:vAlign w:val="bottom"/>
          </w:tcPr>
          <w:p>
            <w:pPr>
              <w:spacing w:after="0"/>
              <w:rPr>
                <w:sz w:val="20"/>
                <w:szCs w:val="20"/>
                <w:color w:val="auto"/>
              </w:rPr>
            </w:pPr>
            <w:r>
              <w:rPr>
                <w:rFonts w:ascii="Arial" w:cs="Arial" w:eastAsia="Arial" w:hAnsi="Arial"/>
                <w:sz w:val="18"/>
                <w:szCs w:val="18"/>
                <w:color w:val="auto"/>
              </w:rPr>
              <w:t>Philadelphia, Pennsylvania</w:t>
            </w:r>
          </w:p>
        </w:tc>
        <w:tc>
          <w:tcPr>
            <w:tcW w:w="7420" w:type="dxa"/>
            <w:vAlign w:val="bottom"/>
            <w:gridSpan w:val="2"/>
          </w:tcPr>
          <w:p>
            <w:pPr>
              <w:ind w:left="2860"/>
              <w:spacing w:after="0"/>
              <w:rPr>
                <w:sz w:val="20"/>
                <w:szCs w:val="20"/>
                <w:color w:val="auto"/>
              </w:rPr>
            </w:pPr>
            <w:r>
              <w:rPr>
                <w:rFonts w:ascii="Arial" w:cs="Arial" w:eastAsia="Arial" w:hAnsi="Arial"/>
                <w:sz w:val="18"/>
                <w:szCs w:val="18"/>
                <w:color w:val="auto"/>
              </w:rPr>
              <w:t>19102-2148</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420" w:type="dxa"/>
            <w:vAlign w:val="bottom"/>
            <w:gridSpan w:val="2"/>
          </w:tcPr>
          <w:p>
            <w:pPr>
              <w:ind w:left="2860"/>
              <w:spacing w:after="0"/>
              <w:rPr>
                <w:sz w:val="20"/>
                <w:szCs w:val="20"/>
                <w:color w:val="auto"/>
              </w:rPr>
            </w:pPr>
            <w:r>
              <w:rPr>
                <w:rFonts w:ascii="Arial" w:cs="Arial" w:eastAsia="Arial" w:hAnsi="Arial"/>
                <w:sz w:val="18"/>
                <w:szCs w:val="18"/>
                <w:color w:val="auto"/>
              </w:rPr>
              <w:t>(Zip code)</w:t>
            </w:r>
          </w:p>
        </w:tc>
      </w:tr>
      <w:tr>
        <w:trPr>
          <w:trHeight w:val="279"/>
        </w:trPr>
        <w:tc>
          <w:tcPr>
            <w:tcW w:w="400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578"/>
        </w:trPr>
        <w:tc>
          <w:tcPr>
            <w:tcW w:w="4000" w:type="dxa"/>
            <w:vAlign w:val="bottom"/>
          </w:tcPr>
          <w:p>
            <w:pPr>
              <w:spacing w:after="0"/>
              <w:rPr>
                <w:sz w:val="24"/>
                <w:szCs w:val="24"/>
                <w:color w:val="auto"/>
              </w:rPr>
            </w:pPr>
          </w:p>
        </w:tc>
        <w:tc>
          <w:tcPr>
            <w:tcW w:w="7420" w:type="dxa"/>
            <w:vAlign w:val="bottom"/>
            <w:gridSpan w:val="2"/>
          </w:tcPr>
          <w:p>
            <w:pPr>
              <w:jc w:val="center"/>
              <w:ind w:right="4000"/>
              <w:spacing w:after="0"/>
              <w:rPr>
                <w:sz w:val="20"/>
                <w:szCs w:val="20"/>
                <w:color w:val="auto"/>
              </w:rPr>
            </w:pPr>
            <w:r>
              <w:rPr>
                <w:rFonts w:ascii="Arial" w:cs="Arial" w:eastAsia="Arial" w:hAnsi="Arial"/>
                <w:sz w:val="18"/>
                <w:szCs w:val="18"/>
                <w:color w:val="auto"/>
                <w:w w:val="87"/>
              </w:rPr>
              <w:t>Subordinated Debt Securities</w:t>
            </w:r>
          </w:p>
        </w:tc>
      </w:tr>
      <w:tr>
        <w:trPr>
          <w:trHeight w:val="223"/>
        </w:trPr>
        <w:tc>
          <w:tcPr>
            <w:tcW w:w="4000" w:type="dxa"/>
            <w:vAlign w:val="bottom"/>
          </w:tcPr>
          <w:p>
            <w:pPr>
              <w:spacing w:after="0"/>
              <w:rPr>
                <w:sz w:val="19"/>
                <w:szCs w:val="19"/>
                <w:color w:val="auto"/>
              </w:rPr>
            </w:pPr>
          </w:p>
        </w:tc>
        <w:tc>
          <w:tcPr>
            <w:tcW w:w="7420" w:type="dxa"/>
            <w:vAlign w:val="bottom"/>
            <w:gridSpan w:val="2"/>
          </w:tcPr>
          <w:p>
            <w:pPr>
              <w:jc w:val="center"/>
              <w:ind w:right="3980"/>
              <w:spacing w:after="0"/>
              <w:rPr>
                <w:sz w:val="20"/>
                <w:szCs w:val="20"/>
                <w:color w:val="auto"/>
              </w:rPr>
            </w:pPr>
            <w:r>
              <w:rPr>
                <w:rFonts w:ascii="Arial" w:cs="Arial" w:eastAsia="Arial" w:hAnsi="Arial"/>
                <w:sz w:val="18"/>
                <w:szCs w:val="18"/>
                <w:color w:val="auto"/>
                <w:w w:val="90"/>
              </w:rPr>
              <w:t>(Title of the indenture securities)</w:t>
            </w:r>
          </w:p>
        </w:tc>
      </w:tr>
      <w:tr>
        <w:trPr>
          <w:trHeight w:val="200"/>
        </w:trPr>
        <w:tc>
          <w:tcPr>
            <w:tcW w:w="40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r>
      <w:tr>
        <w:trPr>
          <w:trHeight w:val="26"/>
        </w:trPr>
        <w:tc>
          <w:tcPr>
            <w:tcW w:w="40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383"/>
        </w:trPr>
        <w:tc>
          <w:tcPr>
            <w:tcW w:w="40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3980" w:type="dxa"/>
            <w:vAlign w:val="bottom"/>
          </w:tcPr>
          <w:p>
            <w:pPr>
              <w:spacing w:after="0"/>
              <w:rPr>
                <w:sz w:val="24"/>
                <w:szCs w:val="24"/>
                <w:color w:val="auto"/>
              </w:rPr>
            </w:pPr>
          </w:p>
        </w:tc>
      </w:tr>
      <w:tr>
        <w:trPr>
          <w:trHeight w:val="223"/>
        </w:trPr>
        <w:tc>
          <w:tcPr>
            <w:tcW w:w="40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0" w:name="page241"/>
    <w:bookmarkEnd w:id="240"/>
    <w:p>
      <w:pPr>
        <w:ind w:left="440" w:hanging="434"/>
        <w:spacing w:after="0"/>
        <w:tabs>
          <w:tab w:leader="none" w:pos="4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111" w:lineRule="exact"/>
        <w:rPr>
          <w:rFonts w:ascii="Arial" w:cs="Arial" w:eastAsia="Arial" w:hAnsi="Arial"/>
          <w:sz w:val="18"/>
          <w:szCs w:val="18"/>
          <w:b w:val="1"/>
          <w:bCs w:val="1"/>
          <w:color w:val="auto"/>
        </w:rPr>
      </w:pPr>
    </w:p>
    <w:p>
      <w:pPr>
        <w:ind w:left="900" w:hanging="443"/>
        <w:spacing w:after="0"/>
        <w:tabs>
          <w:tab w:leader="none" w:pos="90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4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Name</w:t>
            </w:r>
          </w:p>
        </w:tc>
        <w:tc>
          <w:tcPr>
            <w:tcW w:w="6660" w:type="dxa"/>
            <w:vAlign w:val="bottom"/>
            <w:tcBorders>
              <w:bottom w:val="single" w:sz="8" w:color="auto"/>
            </w:tcBorders>
          </w:tcPr>
          <w:p>
            <w:pPr>
              <w:ind w:left="370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Superintendent of Banks of the State of New York</w:t>
            </w:r>
          </w:p>
        </w:tc>
        <w:tc>
          <w:tcPr>
            <w:tcW w:w="66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6"/>
              </w:rPr>
              <w:t>One State Street, New York, N.Y. 10004-1417, and Albany, N.Y. 12223</w:t>
            </w:r>
          </w:p>
        </w:tc>
        <w:tc>
          <w:tcPr>
            <w:tcW w:w="0" w:type="dxa"/>
            <w:vAlign w:val="bottom"/>
          </w:tcPr>
          <w:p>
            <w:pPr>
              <w:spacing w:after="0"/>
              <w:rPr>
                <w:sz w:val="1"/>
                <w:szCs w:val="1"/>
                <w:color w:val="auto"/>
              </w:rPr>
            </w:pPr>
          </w:p>
        </w:tc>
      </w:tr>
      <w:tr>
        <w:trPr>
          <w:trHeight w:val="423"/>
        </w:trPr>
        <w:tc>
          <w:tcPr>
            <w:tcW w:w="476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6660" w:type="dxa"/>
            <w:vAlign w:val="bottom"/>
          </w:tcPr>
          <w:p>
            <w:pPr>
              <w:ind w:left="1180"/>
              <w:spacing w:after="0"/>
              <w:rPr>
                <w:sz w:val="20"/>
                <w:szCs w:val="20"/>
                <w:color w:val="auto"/>
              </w:rPr>
            </w:pPr>
            <w:r>
              <w:rPr>
                <w:rFonts w:ascii="Arial" w:cs="Arial" w:eastAsia="Arial" w:hAnsi="Arial"/>
                <w:sz w:val="18"/>
                <w:szCs w:val="18"/>
                <w:color w:val="auto"/>
              </w:rPr>
              <w:t>33 Liberty Street, New York, N.Y. 10045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c>
          <w:tcPr>
            <w:tcW w:w="66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r>
        <w:trPr>
          <w:trHeight w:val="423"/>
        </w:trPr>
        <w:tc>
          <w:tcPr>
            <w:tcW w:w="4760" w:type="dxa"/>
            <w:vAlign w:val="bottom"/>
            <w:gridSpan w:val="2"/>
          </w:tcPr>
          <w:p>
            <w:pPr>
              <w:spacing w:after="0"/>
              <w:rPr>
                <w:sz w:val="20"/>
                <w:szCs w:val="20"/>
                <w:color w:val="auto"/>
              </w:rPr>
            </w:pPr>
            <w:r>
              <w:rPr>
                <w:rFonts w:ascii="Arial" w:cs="Arial" w:eastAsia="Arial" w:hAnsi="Arial"/>
                <w:sz w:val="18"/>
                <w:szCs w:val="18"/>
                <w:color w:val="auto"/>
              </w:rPr>
              <w:t>New York Clearing House Association</w:t>
            </w:r>
          </w:p>
        </w:tc>
        <w:tc>
          <w:tcPr>
            <w:tcW w:w="6660" w:type="dxa"/>
            <w:vAlign w:val="bottom"/>
          </w:tcPr>
          <w:p>
            <w:pPr>
              <w:ind w:left="1180"/>
              <w:spacing w:after="0"/>
              <w:rPr>
                <w:sz w:val="20"/>
                <w:szCs w:val="20"/>
                <w:color w:val="auto"/>
              </w:rPr>
            </w:pPr>
            <w:r>
              <w:rPr>
                <w:rFonts w:ascii="Arial" w:cs="Arial" w:eastAsia="Arial" w:hAnsi="Arial"/>
                <w:sz w:val="18"/>
                <w:szCs w:val="18"/>
                <w:color w:val="auto"/>
              </w:rPr>
              <w:t>New York, New York 10005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900" w:hanging="443"/>
        <w:spacing w:after="0"/>
        <w:tabs>
          <w:tab w:leader="none" w:pos="9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Yes.</w:t>
      </w:r>
    </w:p>
    <w:p>
      <w:pPr>
        <w:spacing w:after="0" w:line="105" w:lineRule="exact"/>
        <w:rPr>
          <w:sz w:val="20"/>
          <w:szCs w:val="20"/>
          <w:color w:val="auto"/>
        </w:rPr>
      </w:pPr>
    </w:p>
    <w:p>
      <w:pPr>
        <w:ind w:left="440" w:hanging="434"/>
        <w:spacing w:after="0"/>
        <w:tabs>
          <w:tab w:leader="none" w:pos="4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24" w:lineRule="exact"/>
        <w:rPr>
          <w:rFonts w:ascii="Arial" w:cs="Arial" w:eastAsia="Arial" w:hAnsi="Arial"/>
          <w:sz w:val="18"/>
          <w:szCs w:val="18"/>
          <w:b w:val="1"/>
          <w:bCs w:val="1"/>
          <w:color w:val="auto"/>
        </w:rPr>
      </w:pPr>
    </w:p>
    <w:p>
      <w:pPr>
        <w:ind w:left="440" w:right="5620"/>
        <w:spacing w:after="0" w:line="38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40" w:hanging="434"/>
        <w:spacing w:after="0"/>
        <w:tabs>
          <w:tab w:leader="none" w:pos="4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24" w:lineRule="exact"/>
        <w:rPr>
          <w:rFonts w:ascii="Arial" w:cs="Arial" w:eastAsia="Arial" w:hAnsi="Arial"/>
          <w:sz w:val="18"/>
          <w:szCs w:val="18"/>
          <w:b w:val="1"/>
          <w:bCs w:val="1"/>
          <w:color w:val="auto"/>
        </w:rPr>
      </w:pPr>
    </w:p>
    <w:p>
      <w:pPr>
        <w:ind w:left="440" w:right="460"/>
        <w:spacing w:after="0" w:line="27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67" w:lineRule="exact"/>
        <w:rPr>
          <w:rFonts w:ascii="Arial" w:cs="Arial" w:eastAsia="Arial" w:hAnsi="Arial"/>
          <w:sz w:val="18"/>
          <w:szCs w:val="18"/>
          <w:b w:val="1"/>
          <w:bCs w:val="1"/>
          <w:color w:val="auto"/>
        </w:rPr>
      </w:pPr>
    </w:p>
    <w:p>
      <w:pPr>
        <w:ind w:left="900" w:right="80" w:hanging="443"/>
        <w:spacing w:after="0" w:line="271" w:lineRule="auto"/>
        <w:tabs>
          <w:tab w:leader="none" w:pos="90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w:t>
      </w:r>
    </w:p>
    <w:p>
      <w:pPr>
        <w:spacing w:after="0" w:line="85" w:lineRule="exact"/>
        <w:rPr>
          <w:sz w:val="20"/>
          <w:szCs w:val="20"/>
          <w:color w:val="auto"/>
        </w:rPr>
      </w:pPr>
    </w:p>
    <w:p>
      <w:pPr>
        <w:ind w:left="5620" w:right="1920" w:hanging="5163"/>
        <w:spacing w:after="0" w:line="480" w:lineRule="auto"/>
        <w:tabs>
          <w:tab w:leader="none" w:pos="90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333-121195.)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41" w:name="page242"/>
    <w:bookmarkEnd w:id="241"/>
    <w:p>
      <w:pPr>
        <w:ind w:left="443" w:hanging="443"/>
        <w:spacing w:after="0"/>
        <w:tabs>
          <w:tab w:leader="none" w:pos="443"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consent of the Trustee required by Section 321(b) of the Act. (Exhibit 6 to Form T-1 filed with Registration Statement No. 333-106702.)</w:t>
      </w:r>
    </w:p>
    <w:p>
      <w:pPr>
        <w:spacing w:after="0" w:line="158" w:lineRule="exact"/>
        <w:rPr>
          <w:rFonts w:ascii="Arial" w:cs="Arial" w:eastAsia="Arial" w:hAnsi="Arial"/>
          <w:sz w:val="15"/>
          <w:szCs w:val="15"/>
          <w:color w:val="auto"/>
        </w:rPr>
      </w:pPr>
    </w:p>
    <w:p>
      <w:pPr>
        <w:ind w:left="443" w:hanging="443"/>
        <w:spacing w:after="0"/>
        <w:tabs>
          <w:tab w:leader="none" w:pos="443" w:val="left"/>
        </w:tabs>
        <w:numPr>
          <w:ilvl w:val="0"/>
          <w:numId w:val="167"/>
        </w:numPr>
        <w:rPr>
          <w:rFonts w:ascii="Arial" w:cs="Arial" w:eastAsia="Arial" w:hAnsi="Arial"/>
          <w:sz w:val="15"/>
          <w:szCs w:val="15"/>
          <w:color w:val="auto"/>
        </w:rPr>
      </w:pPr>
      <w:r>
        <w:rPr>
          <w:rFonts w:ascii="Arial" w:cs="Arial" w:eastAsia="Arial" w:hAnsi="Arial"/>
          <w:sz w:val="15"/>
          <w:szCs w:val="15"/>
          <w:color w:val="auto"/>
        </w:rPr>
        <w:t>A copy of the latest report of condition of the Trustee published pursuant to law or to the requirements of its supervising or examining authority.</w:t>
      </w:r>
    </w:p>
    <w:p>
      <w:pPr>
        <w:spacing w:after="0" w:line="225" w:lineRule="exact"/>
        <w:rPr>
          <w:sz w:val="20"/>
          <w:szCs w:val="20"/>
          <w:color w:val="auto"/>
        </w:rPr>
      </w:pPr>
    </w:p>
    <w:p>
      <w:pPr>
        <w:jc w:val="center"/>
        <w:ind w:right="9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143510</wp:posOffset>
            </wp:positionV>
            <wp:extent cx="725360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3"/>
          </w:cols>
          <w:pgMar w:left="697" w:top="923" w:right="57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t>SIGNATURE</w:t>
      </w:r>
    </w:p>
    <w:p>
      <w:pPr>
        <w:spacing w:after="0" w:line="111" w:lineRule="exact"/>
        <w:rPr>
          <w:sz w:val="20"/>
          <w:szCs w:val="20"/>
          <w:color w:val="auto"/>
        </w:rPr>
      </w:pPr>
    </w:p>
    <w:p>
      <w:pPr>
        <w:jc w:val="both"/>
        <w:ind w:right="220" w:firstLine="221"/>
        <w:spacing w:after="0" w:line="255" w:lineRule="auto"/>
        <w:rPr>
          <w:sz w:val="20"/>
          <w:szCs w:val="20"/>
          <w:color w:val="auto"/>
        </w:rPr>
      </w:pPr>
      <w:r>
        <w:rPr>
          <w:rFonts w:ascii="Arial" w:cs="Arial" w:eastAsia="Arial" w:hAnsi="Arial"/>
          <w:sz w:val="18"/>
          <w:szCs w:val="18"/>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24th day of March, 2006.</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NEW YORK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60" w:type="dxa"/>
            <w:vAlign w:val="bottom"/>
            <w:gridSpan w:val="2"/>
          </w:tcPr>
          <w:p>
            <w:pPr>
              <w:jc w:val="right"/>
              <w:ind w:right="112"/>
              <w:spacing w:after="0"/>
              <w:rPr>
                <w:sz w:val="20"/>
                <w:szCs w:val="20"/>
                <w:color w:val="auto"/>
              </w:rPr>
            </w:pPr>
            <w:r>
              <w:rPr>
                <w:rFonts w:ascii="Arial" w:cs="Arial" w:eastAsia="Arial" w:hAnsi="Arial"/>
                <w:sz w:val="18"/>
                <w:szCs w:val="18"/>
                <w:color w:val="auto"/>
              </w:rPr>
              <w:t>By: /S/</w:t>
            </w:r>
          </w:p>
        </w:tc>
        <w:tc>
          <w:tcPr>
            <w:tcW w:w="3960" w:type="dxa"/>
            <w:vAlign w:val="bottom"/>
          </w:tcPr>
          <w:p>
            <w:pPr>
              <w:spacing w:after="0"/>
              <w:rPr>
                <w:sz w:val="20"/>
                <w:szCs w:val="20"/>
                <w:color w:val="auto"/>
              </w:rPr>
            </w:pPr>
            <w:r>
              <w:rPr>
                <w:rFonts w:ascii="Arial" w:cs="Arial" w:eastAsia="Arial" w:hAnsi="Arial"/>
                <w:sz w:val="18"/>
                <w:szCs w:val="18"/>
                <w:color w:val="auto"/>
              </w:rPr>
              <w:t>VAN K. BROWN</w:t>
            </w:r>
          </w:p>
        </w:tc>
        <w:tc>
          <w:tcPr>
            <w:tcW w:w="1600" w:type="dxa"/>
            <w:vAlign w:val="bottom"/>
          </w:tcPr>
          <w:p>
            <w:pPr>
              <w:spacing w:after="0"/>
              <w:rPr>
                <w:sz w:val="19"/>
                <w:szCs w:val="19"/>
                <w:color w:val="auto"/>
              </w:rPr>
            </w:pPr>
          </w:p>
        </w:tc>
      </w:tr>
      <w:tr>
        <w:trPr>
          <w:trHeight w:val="194"/>
        </w:trPr>
        <w:tc>
          <w:tcPr>
            <w:tcW w:w="5460" w:type="dxa"/>
            <w:vAlign w:val="bottom"/>
          </w:tcPr>
          <w:p>
            <w:pPr>
              <w:spacing w:after="0"/>
              <w:rPr>
                <w:sz w:val="16"/>
                <w:szCs w:val="16"/>
                <w:color w:val="auto"/>
              </w:rPr>
            </w:pPr>
          </w:p>
        </w:tc>
        <w:tc>
          <w:tcPr>
            <w:tcW w:w="43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Name: VAN K. BROWN</w:t>
            </w:r>
          </w:p>
        </w:tc>
        <w:tc>
          <w:tcPr>
            <w:tcW w:w="1600" w:type="dxa"/>
            <w:vAlign w:val="bottom"/>
          </w:tcPr>
          <w:p>
            <w:pPr>
              <w:spacing w:after="0"/>
              <w:rPr>
                <w:sz w:val="16"/>
                <w:szCs w:val="16"/>
                <w:color w:val="auto"/>
              </w:rPr>
            </w:pPr>
          </w:p>
        </w:tc>
      </w:tr>
      <w:tr>
        <w:trPr>
          <w:trHeight w:val="223"/>
        </w:trPr>
        <w:tc>
          <w:tcPr>
            <w:tcW w:w="54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3960" w:type="dxa"/>
            <w:vAlign w:val="bottom"/>
          </w:tcPr>
          <w:p>
            <w:pPr>
              <w:ind w:left="160"/>
              <w:spacing w:after="0"/>
              <w:rPr>
                <w:sz w:val="20"/>
                <w:szCs w:val="20"/>
                <w:color w:val="auto"/>
              </w:rPr>
            </w:pPr>
            <w:r>
              <w:rPr>
                <w:rFonts w:ascii="Arial" w:cs="Arial" w:eastAsia="Arial" w:hAnsi="Arial"/>
                <w:sz w:val="18"/>
                <w:szCs w:val="18"/>
                <w:color w:val="auto"/>
              </w:rPr>
              <w:t>VICE PRESIDENT</w:t>
            </w:r>
          </w:p>
        </w:tc>
        <w:tc>
          <w:tcPr>
            <w:tcW w:w="1600" w:type="dxa"/>
            <w:vAlign w:val="bottom"/>
          </w:tcPr>
          <w:p>
            <w:pPr>
              <w:spacing w:after="0"/>
              <w:rPr>
                <w:sz w:val="19"/>
                <w:szCs w:val="19"/>
                <w:color w:val="auto"/>
              </w:rPr>
            </w:pPr>
          </w:p>
        </w:tc>
      </w:tr>
      <w:tr>
        <w:trPr>
          <w:trHeight w:val="610"/>
        </w:trPr>
        <w:tc>
          <w:tcPr>
            <w:tcW w:w="5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3"/>
        </w:trPr>
        <w:tc>
          <w:tcPr>
            <w:tcW w:w="5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u w:val="single" w:color="auto"/>
          <w:color w:val="auto"/>
        </w:rPr>
        <w:t>EXHIBIT 7</w:t>
      </w: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BANK OF NEW YORK</w:t>
      </w:r>
    </w:p>
    <w:p>
      <w:pPr>
        <w:spacing w:after="0" w:line="1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 One Wall Street, New York, N.Y. 10286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member of the Federal Reserve System, at the close of business December 31, 2005, published in accordance with a call made by the Federal Reserve Bank of this District pursuant to the provisions of the Federal Reserve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740" w:type="dxa"/>
            <w:vAlign w:val="bottom"/>
          </w:tcPr>
          <w:p>
            <w:pPr>
              <w:jc w:val="right"/>
              <w:ind w:right="34"/>
              <w:spacing w:after="0"/>
              <w:rPr>
                <w:sz w:val="20"/>
                <w:szCs w:val="20"/>
                <w:color w:val="auto"/>
              </w:rPr>
            </w:pPr>
            <w:r>
              <w:rPr>
                <w:rFonts w:ascii="Arial" w:cs="Arial" w:eastAsia="Arial" w:hAnsi="Arial"/>
                <w:sz w:val="14"/>
                <w:szCs w:val="14"/>
                <w:color w:val="auto"/>
              </w:rPr>
              <w:t>Dollar Amounts</w:t>
            </w:r>
          </w:p>
        </w:tc>
      </w:tr>
      <w:tr>
        <w:trPr>
          <w:trHeight w:val="164"/>
        </w:trPr>
        <w:tc>
          <w:tcPr>
            <w:tcW w:w="7680" w:type="dxa"/>
            <w:vAlign w:val="bottom"/>
          </w:tcPr>
          <w:p>
            <w:pPr>
              <w:spacing w:after="0"/>
              <w:rPr>
                <w:sz w:val="14"/>
                <w:szCs w:val="14"/>
                <w:color w:val="auto"/>
              </w:rPr>
            </w:pPr>
          </w:p>
        </w:tc>
        <w:tc>
          <w:tcPr>
            <w:tcW w:w="3740" w:type="dxa"/>
            <w:vAlign w:val="bottom"/>
          </w:tcPr>
          <w:p>
            <w:pPr>
              <w:jc w:val="right"/>
              <w:ind w:right="114"/>
              <w:spacing w:after="0"/>
              <w:rPr>
                <w:sz w:val="20"/>
                <w:szCs w:val="20"/>
                <w:color w:val="auto"/>
              </w:rPr>
            </w:pPr>
            <w:r>
              <w:rPr>
                <w:rFonts w:ascii="Arial" w:cs="Arial" w:eastAsia="Arial" w:hAnsi="Arial"/>
                <w:sz w:val="14"/>
                <w:szCs w:val="14"/>
                <w:color w:val="auto"/>
              </w:rPr>
              <w:t>In Thousands</w:t>
            </w:r>
          </w:p>
        </w:tc>
      </w:tr>
      <w:tr>
        <w:trPr>
          <w:trHeight w:val="212"/>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40" w:type="dxa"/>
            <w:vAlign w:val="bottom"/>
            <w:shd w:val="clear" w:color="auto" w:fill="CCEEFF"/>
          </w:tcPr>
          <w:p>
            <w:pPr>
              <w:spacing w:after="0"/>
              <w:rPr>
                <w:sz w:val="18"/>
                <w:szCs w:val="18"/>
                <w:color w:val="auto"/>
              </w:rPr>
            </w:pPr>
          </w:p>
        </w:tc>
      </w:tr>
      <w:tr>
        <w:trPr>
          <w:trHeight w:val="212"/>
        </w:trPr>
        <w:tc>
          <w:tcPr>
            <w:tcW w:w="76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3740" w:type="dxa"/>
            <w:vAlign w:val="bottom"/>
          </w:tcPr>
          <w:p>
            <w:pPr>
              <w:spacing w:after="0"/>
              <w:rPr>
                <w:sz w:val="18"/>
                <w:szCs w:val="18"/>
                <w:color w:val="auto"/>
              </w:rPr>
            </w:pPr>
          </w:p>
        </w:tc>
      </w:tr>
      <w:tr>
        <w:trPr>
          <w:trHeight w:val="212"/>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balances and currency and coin</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3,361,000</w:t>
            </w:r>
          </w:p>
        </w:tc>
      </w:tr>
      <w:tr>
        <w:trPr>
          <w:trHeight w:val="212"/>
        </w:trPr>
        <w:tc>
          <w:tcPr>
            <w:tcW w:w="7680" w:type="dxa"/>
            <w:vAlign w:val="bottom"/>
          </w:tcPr>
          <w:p>
            <w:pPr>
              <w:ind w:left="200"/>
              <w:spacing w:after="0"/>
              <w:rPr>
                <w:sz w:val="20"/>
                <w:szCs w:val="20"/>
                <w:color w:val="auto"/>
              </w:rPr>
            </w:pPr>
            <w:r>
              <w:rPr>
                <w:rFonts w:ascii="Arial" w:cs="Arial" w:eastAsia="Arial" w:hAnsi="Arial"/>
                <w:sz w:val="18"/>
                <w:szCs w:val="18"/>
                <w:color w:val="auto"/>
              </w:rPr>
              <w:t>Interest-bearing balances</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7,528,000</w:t>
            </w:r>
          </w:p>
        </w:tc>
      </w:tr>
      <w:tr>
        <w:trPr>
          <w:trHeight w:val="21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3740" w:type="dxa"/>
            <w:vAlign w:val="bottom"/>
            <w:shd w:val="clear" w:color="auto" w:fill="CCEEFF"/>
          </w:tcPr>
          <w:p>
            <w:pPr>
              <w:spacing w:after="0"/>
              <w:rPr>
                <w:sz w:val="18"/>
                <w:szCs w:val="18"/>
                <w:color w:val="auto"/>
              </w:rPr>
            </w:pPr>
          </w:p>
        </w:tc>
      </w:tr>
      <w:tr>
        <w:trPr>
          <w:trHeight w:val="212"/>
        </w:trPr>
        <w:tc>
          <w:tcPr>
            <w:tcW w:w="7680" w:type="dxa"/>
            <w:vAlign w:val="bottom"/>
          </w:tcPr>
          <w:p>
            <w:pPr>
              <w:ind w:left="200"/>
              <w:spacing w:after="0"/>
              <w:rPr>
                <w:sz w:val="20"/>
                <w:szCs w:val="20"/>
                <w:color w:val="auto"/>
              </w:rPr>
            </w:pPr>
            <w:r>
              <w:rPr>
                <w:rFonts w:ascii="Arial" w:cs="Arial" w:eastAsia="Arial" w:hAnsi="Arial"/>
                <w:sz w:val="18"/>
                <w:szCs w:val="18"/>
                <w:color w:val="auto"/>
              </w:rPr>
              <w:t>Held-to-maturity securities</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1,977,000</w:t>
            </w:r>
          </w:p>
        </w:tc>
      </w:tr>
      <w:tr>
        <w:trPr>
          <w:trHeight w:val="212"/>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22,664,000</w:t>
            </w:r>
          </w:p>
        </w:tc>
      </w:tr>
      <w:tr>
        <w:trPr>
          <w:trHeight w:val="212"/>
        </w:trPr>
        <w:tc>
          <w:tcPr>
            <w:tcW w:w="76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3740" w:type="dxa"/>
            <w:vAlign w:val="bottom"/>
          </w:tcPr>
          <w:p>
            <w:pPr>
              <w:spacing w:after="0"/>
              <w:rPr>
                <w:sz w:val="18"/>
                <w:szCs w:val="18"/>
                <w:color w:val="auto"/>
              </w:rPr>
            </w:pPr>
          </w:p>
        </w:tc>
      </w:tr>
      <w:tr>
        <w:trPr>
          <w:trHeight w:val="212"/>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sold in domestic offices</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809,000</w:t>
            </w:r>
          </w:p>
        </w:tc>
      </w:tr>
      <w:tr>
        <w:trPr>
          <w:trHeight w:val="212"/>
        </w:trPr>
        <w:tc>
          <w:tcPr>
            <w:tcW w:w="7680" w:type="dxa"/>
            <w:vAlign w:val="bottom"/>
          </w:tcPr>
          <w:p>
            <w:pPr>
              <w:ind w:left="200"/>
              <w:spacing w:after="0"/>
              <w:rPr>
                <w:sz w:val="20"/>
                <w:szCs w:val="20"/>
                <w:color w:val="auto"/>
              </w:rPr>
            </w:pPr>
            <w:r>
              <w:rPr>
                <w:rFonts w:ascii="Arial" w:cs="Arial" w:eastAsia="Arial" w:hAnsi="Arial"/>
                <w:sz w:val="18"/>
                <w:szCs w:val="18"/>
                <w:color w:val="auto"/>
              </w:rPr>
              <w:t>Securities purchased under agreements to resell</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309,000</w:t>
            </w:r>
          </w:p>
        </w:tc>
      </w:tr>
      <w:tr>
        <w:trPr>
          <w:trHeight w:val="21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3740" w:type="dxa"/>
            <w:vAlign w:val="bottom"/>
            <w:shd w:val="clear" w:color="auto" w:fill="CCEEFF"/>
          </w:tcPr>
          <w:p>
            <w:pPr>
              <w:spacing w:after="0"/>
              <w:rPr>
                <w:sz w:val="18"/>
                <w:szCs w:val="18"/>
                <w:color w:val="auto"/>
              </w:rPr>
            </w:pPr>
          </w:p>
        </w:tc>
      </w:tr>
      <w:tr>
        <w:trPr>
          <w:trHeight w:val="212"/>
        </w:trPr>
        <w:tc>
          <w:tcPr>
            <w:tcW w:w="7680" w:type="dxa"/>
            <w:vAlign w:val="bottom"/>
          </w:tcPr>
          <w:p>
            <w:pPr>
              <w:ind w:left="200"/>
              <w:spacing w:after="0"/>
              <w:rPr>
                <w:sz w:val="20"/>
                <w:szCs w:val="20"/>
                <w:color w:val="auto"/>
              </w:rPr>
            </w:pPr>
            <w:r>
              <w:rPr>
                <w:rFonts w:ascii="Arial" w:cs="Arial" w:eastAsia="Arial" w:hAnsi="Arial"/>
                <w:sz w:val="18"/>
                <w:szCs w:val="18"/>
                <w:color w:val="auto"/>
              </w:rPr>
              <w:t>Loans and leases held for sale</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0</w:t>
            </w:r>
          </w:p>
        </w:tc>
      </w:tr>
      <w:tr>
        <w:trPr>
          <w:trHeight w:val="212"/>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33,263,000</w:t>
            </w:r>
          </w:p>
        </w:tc>
      </w:tr>
      <w:tr>
        <w:trPr>
          <w:trHeight w:val="212"/>
        </w:trPr>
        <w:tc>
          <w:tcPr>
            <w:tcW w:w="7680" w:type="dxa"/>
            <w:vAlign w:val="bottom"/>
          </w:tcPr>
          <w:p>
            <w:pPr>
              <w:ind w:left="200"/>
              <w:spacing w:after="0"/>
              <w:rPr>
                <w:sz w:val="20"/>
                <w:szCs w:val="20"/>
                <w:color w:val="auto"/>
              </w:rPr>
            </w:pPr>
            <w:r>
              <w:rPr>
                <w:rFonts w:ascii="Arial" w:cs="Arial" w:eastAsia="Arial" w:hAnsi="Arial"/>
                <w:sz w:val="18"/>
                <w:szCs w:val="18"/>
                <w:color w:val="auto"/>
              </w:rPr>
              <w:t>LESS: Allowance for loan and lease losses</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408,000</w:t>
            </w:r>
          </w:p>
        </w:tc>
      </w:tr>
      <w:tr>
        <w:trPr>
          <w:trHeight w:val="212"/>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 and allowance</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32,855,000</w:t>
            </w:r>
          </w:p>
        </w:tc>
      </w:tr>
      <w:tr>
        <w:trPr>
          <w:trHeight w:val="212"/>
        </w:trPr>
        <w:tc>
          <w:tcPr>
            <w:tcW w:w="7680" w:type="dxa"/>
            <w:vAlign w:val="bottom"/>
          </w:tcPr>
          <w:p>
            <w:pPr>
              <w:spacing w:after="0"/>
              <w:rPr>
                <w:sz w:val="20"/>
                <w:szCs w:val="20"/>
                <w:color w:val="auto"/>
              </w:rPr>
            </w:pPr>
            <w:r>
              <w:rPr>
                <w:rFonts w:ascii="Arial" w:cs="Arial" w:eastAsia="Arial" w:hAnsi="Arial"/>
                <w:sz w:val="18"/>
                <w:szCs w:val="18"/>
                <w:color w:val="auto"/>
              </w:rPr>
              <w:t>Trading assets</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5,625,000</w:t>
            </w:r>
          </w:p>
        </w:tc>
      </w:tr>
      <w:tr>
        <w:trPr>
          <w:trHeight w:val="21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821,000</w:t>
            </w:r>
          </w:p>
        </w:tc>
      </w:tr>
      <w:tr>
        <w:trPr>
          <w:trHeight w:val="212"/>
        </w:trPr>
        <w:tc>
          <w:tcPr>
            <w:tcW w:w="76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0</w:t>
            </w:r>
          </w:p>
        </w:tc>
      </w:tr>
      <w:tr>
        <w:trPr>
          <w:trHeight w:val="212"/>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283,000</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Customers’ liability to this bank on acceptances outstanding</w:t>
            </w:r>
          </w:p>
        </w:tc>
        <w:tc>
          <w:tcPr>
            <w:tcW w:w="3740" w:type="dxa"/>
            <w:vAlign w:val="bottom"/>
          </w:tcPr>
          <w:p>
            <w:pPr>
              <w:jc w:val="right"/>
              <w:ind w:right="14"/>
              <w:spacing w:after="0"/>
              <w:rPr>
                <w:sz w:val="20"/>
                <w:szCs w:val="20"/>
                <w:color w:val="auto"/>
              </w:rPr>
            </w:pPr>
            <w:r>
              <w:rPr>
                <w:rFonts w:ascii="Arial" w:cs="Arial" w:eastAsia="Arial" w:hAnsi="Arial"/>
                <w:sz w:val="18"/>
                <w:szCs w:val="18"/>
                <w:color w:val="auto"/>
              </w:rPr>
              <w:t>117,000</w:t>
            </w:r>
          </w:p>
        </w:tc>
      </w:tr>
      <w:tr>
        <w:trPr>
          <w:trHeight w:val="608"/>
        </w:trPr>
        <w:tc>
          <w:tcPr>
            <w:tcW w:w="768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8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w:t>
            </w:r>
          </w:p>
        </w:tc>
        <w:tc>
          <w:tcPr>
            <w:tcW w:w="17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196"/>
        </w:trPr>
        <w:tc>
          <w:tcPr>
            <w:tcW w:w="868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764,000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$ 85,868,000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Deposits:</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domestic offices</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$ 38,100,000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18,123,000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19,977,000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In foreign offices, Edge and Agreement subsidiaries, and IBFs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27,218,000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26,835,000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Federal funds purchased in domestic offices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844,000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Trading liabilities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2,555,000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Bank’s liability on acceptances executed and outstanding</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1,955,000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7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$ 77,355,000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4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EQUITY CAPITAL</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5,256,000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868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Dollar Amounts</w:t>
            </w:r>
          </w:p>
        </w:tc>
      </w:tr>
      <w:tr>
        <w:trPr>
          <w:trHeight w:val="152"/>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89"/>
              </w:rPr>
              <w:t>In Thousands</w:t>
            </w:r>
          </w:p>
        </w:tc>
      </w:tr>
      <w:tr>
        <w:trPr>
          <w:trHeight w:val="231"/>
        </w:trPr>
        <w:tc>
          <w:tcPr>
            <w:tcW w:w="702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33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8,374,000</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4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$ 85,868,000</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I, Thomas J. Mastro, Executive Vice President and Comptroller of the above-named bank do hereby declare that this Report of Condition is true and correct to the best of my knowledge and belief.</w:t>
      </w:r>
    </w:p>
    <w:p>
      <w:pPr>
        <w:spacing w:after="0" w:line="17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Thomas J. Mastro,</w:t>
      </w:r>
    </w:p>
    <w:p>
      <w:pPr>
        <w:spacing w:after="0" w:line="16"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Executive Vice President and Comptroller</w:t>
      </w:r>
    </w:p>
    <w:p>
      <w:pPr>
        <w:spacing w:after="0" w:line="100" w:lineRule="exact"/>
        <w:rPr>
          <w:sz w:val="20"/>
          <w:szCs w:val="20"/>
          <w:color w:val="auto"/>
        </w:rPr>
      </w:pPr>
    </w:p>
    <w:p>
      <w:pPr>
        <w:ind w:right="320" w:firstLine="218"/>
        <w:spacing w:after="0" w:line="294"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tbl>
      <w:tblPr>
        <w:tblLayout w:type="fixed"/>
        <w:tblInd w:w="0" w:type="dxa"/>
        <w:tblCellMar>
          <w:top w:w="0" w:type="dxa"/>
          <w:left w:w="0" w:type="dxa"/>
          <w:bottom w:w="0" w:type="dxa"/>
          <w:right w:w="0" w:type="dxa"/>
        </w:tblCellMar>
      </w:tblPr>
      <w:tr>
        <w:trPr>
          <w:trHeight w:val="528"/>
        </w:trPr>
        <w:tc>
          <w:tcPr>
            <w:tcW w:w="2060" w:type="dxa"/>
            <w:vAlign w:val="bottom"/>
            <w:vMerge w:val="restart"/>
          </w:tcPr>
          <w:p>
            <w:pPr>
              <w:spacing w:after="0"/>
              <w:rPr>
                <w:sz w:val="20"/>
                <w:szCs w:val="20"/>
                <w:color w:val="auto"/>
              </w:rPr>
            </w:pPr>
            <w:r>
              <w:rPr>
                <w:rFonts w:ascii="Arial" w:cs="Arial" w:eastAsia="Arial" w:hAnsi="Arial"/>
                <w:sz w:val="18"/>
                <w:szCs w:val="18"/>
                <w:color w:val="auto"/>
              </w:rPr>
              <w:t>Thomas A. Renyi</w:t>
            </w:r>
          </w:p>
        </w:tc>
        <w:tc>
          <w:tcPr>
            <w:tcW w:w="1780" w:type="dxa"/>
            <w:vAlign w:val="bottom"/>
          </w:tcPr>
          <w:p>
            <w:pPr>
              <w:jc w:val="right"/>
              <w:ind w:right="437"/>
              <w:spacing w:after="0" w:line="527" w:lineRule="exact"/>
              <w:rPr>
                <w:sz w:val="20"/>
                <w:szCs w:val="20"/>
                <w:color w:val="auto"/>
              </w:rPr>
            </w:pPr>
            <w:r>
              <w:rPr>
                <w:rFonts w:ascii="Arial" w:cs="Arial" w:eastAsia="Arial" w:hAnsi="Arial"/>
                <w:sz w:val="61"/>
                <w:szCs w:val="61"/>
                <w:color w:val="auto"/>
              </w:rPr>
              <w:t>]</w:t>
            </w:r>
          </w:p>
        </w:tc>
        <w:tc>
          <w:tcPr>
            <w:tcW w:w="1400" w:type="dxa"/>
            <w:vAlign w:val="bottom"/>
            <w:vMerge w:val="restart"/>
          </w:tcPr>
          <w:p>
            <w:pPr>
              <w:ind w:left="740"/>
              <w:spacing w:after="0"/>
              <w:rPr>
                <w:sz w:val="20"/>
                <w:szCs w:val="20"/>
                <w:color w:val="auto"/>
              </w:rPr>
            </w:pPr>
            <w:r>
              <w:rPr>
                <w:rFonts w:ascii="Arial" w:cs="Arial" w:eastAsia="Arial" w:hAnsi="Arial"/>
                <w:sz w:val="18"/>
                <w:szCs w:val="18"/>
                <w:color w:val="auto"/>
                <w:w w:val="88"/>
              </w:rPr>
              <w:t>Directors</w:t>
            </w:r>
          </w:p>
        </w:tc>
        <w:tc>
          <w:tcPr>
            <w:tcW w:w="0" w:type="dxa"/>
            <w:vAlign w:val="bottom"/>
          </w:tcPr>
          <w:p>
            <w:pPr>
              <w:spacing w:after="0"/>
              <w:rPr>
                <w:sz w:val="1"/>
                <w:szCs w:val="1"/>
                <w:color w:val="auto"/>
              </w:rPr>
            </w:pPr>
          </w:p>
        </w:tc>
      </w:tr>
      <w:tr>
        <w:trPr>
          <w:trHeight w:val="41"/>
        </w:trPr>
        <w:tc>
          <w:tcPr>
            <w:tcW w:w="2060" w:type="dxa"/>
            <w:vAlign w:val="bottom"/>
            <w:vMerge w:val="continue"/>
          </w:tcPr>
          <w:p>
            <w:pPr>
              <w:spacing w:after="0"/>
              <w:rPr>
                <w:sz w:val="3"/>
                <w:szCs w:val="3"/>
                <w:color w:val="auto"/>
              </w:rPr>
            </w:pPr>
          </w:p>
        </w:tc>
        <w:tc>
          <w:tcPr>
            <w:tcW w:w="17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60" w:type="dxa"/>
            <w:vAlign w:val="bottom"/>
            <w:vMerge w:val="restart"/>
          </w:tcPr>
          <w:p>
            <w:pPr>
              <w:spacing w:after="0"/>
              <w:rPr>
                <w:sz w:val="20"/>
                <w:szCs w:val="20"/>
                <w:color w:val="auto"/>
              </w:rPr>
            </w:pPr>
            <w:r>
              <w:rPr>
                <w:rFonts w:ascii="Arial" w:cs="Arial" w:eastAsia="Arial" w:hAnsi="Arial"/>
                <w:sz w:val="18"/>
                <w:szCs w:val="18"/>
                <w:color w:val="auto"/>
              </w:rPr>
              <w:t>Gerald L. Hassell</w:t>
            </w:r>
          </w:p>
        </w:tc>
        <w:tc>
          <w:tcPr>
            <w:tcW w:w="17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11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1)"/>
      <w:numFmt w:val="decimal"/>
      <w:start w:val="1"/>
    </w:lvl>
  </w:abstractNum>
  <w:abstractNum w:abstractNumId="5">
    <w:nsid w:val="885E1B"/>
    <w:multiLevelType w:val="hybridMultilevel"/>
    <w:lvl w:ilvl="0">
      <w:lvlJc w:val="left"/>
      <w:lvlText w:val="(%1)"/>
      <w:numFmt w:val="lowerRoman"/>
      <w:start w:val="10"/>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lowerLetter"/>
      <w:start w:val="23"/>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lvl w:ilvl="1">
      <w:lvlJc w:val="left"/>
      <w:lvlText w:val="\endash "/>
      <w:numFmt w:val="bullet"/>
      <w:start w:val="1"/>
    </w:lvl>
  </w:abstractNum>
  <w:abstractNum w:abstractNumId="14">
    <w:nsid w:val="46B7D447"/>
    <w:multiLevelType w:val="hybridMultilevel"/>
    <w:lvl w:ilvl="0">
      <w:lvlJc w:val="left"/>
      <w:lvlText w:val="\endash "/>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lvl w:ilvl="1">
      <w:lvlJc w:val="left"/>
      <w:lvlText w:val="\endash "/>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1"/>
      <w:numFmt w:val="decimal"/>
      <w:start w:val="1"/>
    </w:lvl>
    <w:lvl w:ilvl="1">
      <w:lvlJc w:val="left"/>
      <w:lvlText w:val="(%2)"/>
      <w:numFmt w:val="decimal"/>
      <w:start w:val="1"/>
    </w:lvl>
  </w:abstractNum>
  <w:abstractNum w:abstractNumId="23">
    <w:nsid w:val="49DA307D"/>
    <w:multiLevelType w:val="hybridMultilevel"/>
    <w:lvl w:ilvl="0">
      <w:lvlJc w:val="left"/>
      <w:lvlText w:val="(%1)"/>
      <w:numFmt w:val="decimal"/>
      <w:start w:val="2"/>
    </w:lvl>
    <w:lvl w:ilvl="1">
      <w:lvlJc w:val="left"/>
      <w:lvlText w:val="%2"/>
      <w:numFmt w:val="decimal"/>
      <w:start w:val="1"/>
    </w:lvl>
  </w:abstractNum>
  <w:abstractNum w:abstractNumId="24">
    <w:nsid w:val="7055A5F5"/>
    <w:multiLevelType w:val="hybridMultilevel"/>
    <w:lvl w:ilvl="0">
      <w:lvlJc w:val="left"/>
      <w:lvlText w:val="(%1)"/>
      <w:numFmt w:val="decimal"/>
      <w:start w:val="5"/>
    </w:lvl>
    <w:lvl w:ilvl="1">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lvl w:ilvl="1">
      <w:lvlJc w:val="left"/>
      <w:lvlText w:val="\endash "/>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lvl w:ilvl="1">
      <w:lvlJc w:val="left"/>
      <w:lvlText w:val="\endash "/>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1)"/>
      <w:numFmt w:val="decimal"/>
      <w:start w:val="2"/>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1)"/>
      <w:numFmt w:val="lowerLetter"/>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1."/>
      <w:numFmt w:val="decimal"/>
      <w:start w:val="1"/>
    </w:lvl>
  </w:abstractNum>
  <w:abstractNum w:abstractNumId="42">
    <w:nsid w:val="9DAF6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53299938"/>
    <w:multiLevelType w:val="hybridMultilevel"/>
    <w:lvl w:ilvl="0">
      <w:lvlJc w:val="left"/>
      <w:lvlText w:val="(%1)"/>
      <w:numFmt w:val="lowerRoman"/>
      <w:start w:val="3"/>
    </w:lvl>
  </w:abstractNum>
  <w:abstractNum w:abstractNumId="44">
    <w:nsid w:val="1FBFE8E0"/>
    <w:multiLevelType w:val="hybridMultilevel"/>
    <w:lvl w:ilvl="0">
      <w:lvlJc w:val="left"/>
      <w:lvlText w:val="(%1)"/>
      <w:numFmt w:val="decimal"/>
      <w:start w:val="2"/>
    </w:lvl>
    <w:lvl w:ilvl="1">
      <w:lvlJc w:val="left"/>
      <w:lvlText w:val="(%2)"/>
      <w:numFmt w:val="lowerRoman"/>
      <w:start w:val="1"/>
    </w:lvl>
  </w:abstractNum>
  <w:abstractNum w:abstractNumId="45">
    <w:nsid w:val="5092CA79"/>
    <w:multiLevelType w:val="hybridMultilevel"/>
    <w:lvl w:ilvl="0">
      <w:lvlJc w:val="left"/>
      <w:lvlText w:val="%1"/>
      <w:numFmt w:val="lowerLetter"/>
      <w:start w:val="1"/>
    </w:lvl>
    <w:lvl w:ilvl="1">
      <w:lvlJc w:val="left"/>
      <w:lvlText w:val="(%2)"/>
      <w:numFmt w:val="lowerRoman"/>
      <w:start w:val="1"/>
    </w:lvl>
  </w:abstractNum>
  <w:abstractNum w:abstractNumId="46">
    <w:nsid w:val="1D545C4D"/>
    <w:multiLevelType w:val="hybridMultilevel"/>
    <w:lvl w:ilvl="0">
      <w:lvlJc w:val="left"/>
      <w:lvlText w:val="(%1)"/>
      <w:numFmt w:val="lowerLetter"/>
      <w:start w:val="2"/>
    </w:lvl>
    <w:lvl w:ilvl="1">
      <w:lvlJc w:val="left"/>
      <w:lvlText w:val="%2"/>
      <w:numFmt w:val="lowerRoman"/>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1."/>
      <w:numFmt w:val="decimal"/>
      <w:start w:val="1"/>
    </w:lvl>
  </w:abstractNum>
  <w:abstractNum w:abstractNumId="49">
    <w:nsid w:val="2A155DBC"/>
    <w:multiLevelType w:val="hybridMultilevel"/>
    <w:lvl w:ilvl="0">
      <w:lvlJc w:val="left"/>
      <w:lvlText w:val="%1."/>
      <w:numFmt w:val="decimal"/>
      <w:start w:val="2"/>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decimal"/>
      <w:start w:val="1"/>
    </w:lvl>
    <w:lvl w:ilvl="1">
      <w:lvlJc w:val="left"/>
      <w:lvlText w:val="(%2)"/>
      <w:numFmt w:val="lowerRoman"/>
      <w:start w:val="1"/>
    </w:lvl>
  </w:abstractNum>
  <w:abstractNum w:abstractNumId="52">
    <w:nsid w:val="51088277"/>
    <w:multiLevelType w:val="hybridMultilevel"/>
    <w:lvl w:ilvl="0">
      <w:lvlJc w:val="left"/>
      <w:lvlText w:val="(%1)"/>
      <w:numFmt w:val="lowerRoman"/>
      <w:start w:val="3"/>
    </w:lvl>
  </w:abstractNum>
  <w:abstractNum w:abstractNumId="53">
    <w:nsid w:val="1CA0C5FA"/>
    <w:multiLevelType w:val="hybridMultilevel"/>
    <w:lvl w:ilvl="0">
      <w:lvlJc w:val="left"/>
      <w:lvlText w:val="%1"/>
      <w:numFmt w:val="lowerLetter"/>
      <w:start w:val="1"/>
    </w:lvl>
    <w:lvl w:ilvl="1">
      <w:lvlJc w:val="left"/>
      <w:lvlText w:val="(%2)"/>
      <w:numFmt w:val="lowerRoman"/>
      <w:start w:val="6"/>
    </w:lvl>
  </w:abstractNum>
  <w:abstractNum w:abstractNumId="54">
    <w:nsid w:val="53584BCB"/>
    <w:multiLevelType w:val="hybridMultilevel"/>
    <w:lvl w:ilvl="0">
      <w:lvlJc w:val="left"/>
      <w:lvlText w:val="(%1)"/>
      <w:numFmt w:val="lowerLetter"/>
      <w:start w:val="2"/>
    </w:lvl>
    <w:lvl w:ilvl="1">
      <w:lvlJc w:val="left"/>
      <w:lvlText w:val="(%2)"/>
      <w:numFmt w:val="lowerRoman"/>
      <w:start w:val="7"/>
    </w:lvl>
  </w:abstractNum>
  <w:abstractNum w:abstractNumId="55">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56">
    <w:nsid w:val="7C58FD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
    <w:nsid w:val="23D86AAC"/>
    <w:multiLevelType w:val="hybridMultilevel"/>
    <w:lvl w:ilvl="0">
      <w:lvlJc w:val="left"/>
      <w:lvlText w:val="(%1)"/>
      <w:numFmt w:val="lowerLetter"/>
      <w:start w:val="3"/>
    </w:lvl>
    <w:lvl w:ilvl="1">
      <w:lvlJc w:val="left"/>
      <w:lvlText w:val="(%2)"/>
      <w:numFmt w:val="lowerRoman"/>
      <w:start w:val="1"/>
    </w:lvl>
  </w:abstractNum>
  <w:abstractNum w:abstractNumId="58">
    <w:nsid w:val="45E6D486"/>
    <w:multiLevelType w:val="hybridMultilevel"/>
    <w:lvl w:ilvl="0">
      <w:lvlJc w:val="left"/>
      <w:lvlText w:val="(%1)"/>
      <w:numFmt w:val="lowerRoman"/>
      <w:start w:val="4"/>
    </w:lvl>
  </w:abstractNum>
  <w:abstractNum w:abstractNumId="59">
    <w:nsid w:val="5C10FE21"/>
    <w:multiLevelType w:val="hybridMultilevel"/>
    <w:lvl w:ilvl="0">
      <w:lvlJc w:val="left"/>
      <w:lvlText w:val="(%1)"/>
      <w:numFmt w:val="lowerRoman"/>
      <w:start w:val="10"/>
    </w:lvl>
  </w:abstractNum>
  <w:abstractNum w:abstractNumId="60">
    <w:nsid w:val="E7FFA2B"/>
    <w:multiLevelType w:val="hybridMultilevel"/>
    <w:lvl w:ilvl="0">
      <w:lvlJc w:val="left"/>
      <w:lvlText w:val="(%1)"/>
      <w:numFmt w:val="lowerRoman"/>
      <w:start w:val="12"/>
    </w:lvl>
  </w:abstractNum>
  <w:abstractNum w:abstractNumId="61">
    <w:nsid w:val="3C5991AA"/>
    <w:multiLevelType w:val="hybridMultilevel"/>
    <w:lvl w:ilvl="0">
      <w:lvlJc w:val="left"/>
      <w:lvlText w:val="(%1)"/>
      <w:numFmt w:val="lowerLetter"/>
      <w:start w:val="4"/>
    </w:lvl>
    <w:lvl w:ilvl="1">
      <w:lvlJc w:val="left"/>
      <w:lvlText w:val="(%2)"/>
      <w:numFmt w:val="lowerRoman"/>
      <w:start w:val="1"/>
    </w:lvl>
  </w:abstractNum>
  <w:abstractNum w:abstractNumId="62">
    <w:nsid w:val="4BD8591A"/>
    <w:multiLevelType w:val="hybridMultilevel"/>
    <w:lvl w:ilvl="0">
      <w:lvlJc w:val="left"/>
      <w:lvlText w:val="(%1)"/>
      <w:numFmt w:val="lowerRoman"/>
      <w:start w:val="3"/>
    </w:lvl>
  </w:abstractNum>
  <w:abstractNum w:abstractNumId="63">
    <w:nsid w:val="78DF6A55"/>
    <w:multiLevelType w:val="hybridMultilevel"/>
    <w:lvl w:ilvl="0">
      <w:lvlJc w:val="left"/>
      <w:lvlText w:val="(%1)"/>
      <w:numFmt w:val="lowerRoman"/>
      <w:start w:val="8"/>
    </w:lvl>
  </w:abstractNum>
  <w:abstractNum w:abstractNumId="64">
    <w:nsid w:val="39B7AAA2"/>
    <w:multiLevelType w:val="hybridMultilevel"/>
    <w:lvl w:ilvl="0">
      <w:lvlJc w:val="left"/>
      <w:lvlText w:val="(%1)"/>
      <w:numFmt w:val="lowerLetter"/>
      <w:start w:val="5"/>
    </w:lvl>
    <w:lvl w:ilvl="1">
      <w:lvlJc w:val="left"/>
      <w:lvlText w:val="(%2)"/>
      <w:numFmt w:val="lowerRoman"/>
      <w:start w:val="1"/>
    </w:lvl>
  </w:abstractNum>
  <w:abstractNum w:abstractNumId="65">
    <w:nsid w:val="2B0D8DBE"/>
    <w:multiLevelType w:val="hybridMultilevel"/>
    <w:lvl w:ilvl="0">
      <w:lvlJc w:val="left"/>
      <w:lvlText w:val="%1"/>
      <w:numFmt w:val="lowerLetter"/>
      <w:start w:val="1"/>
    </w:lvl>
    <w:lvl w:ilvl="1">
      <w:lvlJc w:val="left"/>
      <w:lvlText w:val="(%2)"/>
      <w:numFmt w:val="lowerRoman"/>
      <w:start w:val="3"/>
    </w:lvl>
  </w:abstractNum>
  <w:abstractNum w:abstractNumId="66">
    <w:nsid w:val="6C80EC70"/>
    <w:multiLevelType w:val="hybridMultilevel"/>
    <w:lvl w:ilvl="0">
      <w:lvlJc w:val="left"/>
      <w:lvlText w:val="(%1)"/>
      <w:numFmt w:val="lowerLetter"/>
      <w:start w:val="6"/>
    </w:lvl>
    <w:lvl w:ilvl="1">
      <w:lvlJc w:val="left"/>
      <w:lvlText w:val="%2"/>
      <w:numFmt w:val="lowerRoman"/>
      <w:start w:val="1"/>
    </w:lvl>
  </w:abstractNum>
  <w:abstractNum w:abstractNumId="67">
    <w:nsid w:val="379E21B5"/>
    <w:multiLevelType w:val="hybridMultilevel"/>
    <w:lvl w:ilvl="0">
      <w:lvlJc w:val="left"/>
      <w:lvlText w:val="%1"/>
      <w:numFmt w:val="decimal"/>
      <w:start w:val="1"/>
    </w:lvl>
    <w:lvl w:ilvl="1">
      <w:lvlJc w:val="left"/>
      <w:lvlText w:val="(%2)"/>
      <w:numFmt w:val="lowerLetter"/>
      <w:start w:val="8"/>
    </w:lvl>
  </w:abstractNum>
  <w:abstractNum w:abstractNumId="68">
    <w:nsid w:val="69E373"/>
    <w:multiLevelType w:val="hybridMultilevel"/>
    <w:lvl w:ilvl="0">
      <w:lvlJc w:val="left"/>
      <w:lvlText w:val="%1."/>
      <w:numFmt w:val="decimal"/>
      <w:start w:val="5"/>
    </w:lvl>
    <w:lvl w:ilvl="1">
      <w:lvlJc w:val="left"/>
      <w:lvlText w:val="(%2)"/>
      <w:numFmt w:val="lowerLetter"/>
      <w:start w:val="1"/>
    </w:lvl>
  </w:abstractNum>
  <w:abstractNum w:abstractNumId="69">
    <w:nsid w:val="2C27173B"/>
    <w:multiLevelType w:val="hybridMultilevel"/>
    <w:lvl w:ilvl="0">
      <w:lvlJc w:val="left"/>
      <w:lvlText w:val="%1"/>
      <w:numFmt w:val="decimal"/>
      <w:start w:val="1"/>
    </w:lvl>
    <w:lvl w:ilvl="1">
      <w:lvlJc w:val="left"/>
      <w:lvlText w:val="(%2)"/>
      <w:numFmt w:val="lowerLetter"/>
      <w:start w:val="6"/>
    </w:lvl>
  </w:abstractNum>
  <w:abstractNum w:abstractNumId="70">
    <w:nsid w:val="4C9B0904"/>
    <w:multiLevelType w:val="hybridMultilevel"/>
    <w:lvl w:ilvl="0">
      <w:lvlJc w:val="left"/>
      <w:lvlText w:val="%1."/>
      <w:numFmt w:val="decimal"/>
      <w:start w:val="6"/>
    </w:lvl>
    <w:lvl w:ilvl="1">
      <w:lvlJc w:val="left"/>
      <w:lvlText w:val="%2"/>
      <w:numFmt w:val="lowerLetter"/>
      <w:start w:val="1"/>
    </w:lvl>
  </w:abstractNum>
  <w:abstractNum w:abstractNumId="71">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1DF029D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3">
    <w:nsid w:val="5675FF36"/>
    <w:multiLevelType w:val="hybridMultilevel"/>
    <w:lvl w:ilvl="0">
      <w:lvlJc w:val="left"/>
      <w:lvlText w:val="(%1)"/>
      <w:numFmt w:val="lowerRoman"/>
      <w:start w:val="1"/>
    </w:lvl>
  </w:abstractNum>
  <w:abstractNum w:abstractNumId="74">
    <w:nsid w:val="3DD15094"/>
    <w:multiLevelType w:val="hybridMultilevel"/>
    <w:lvl w:ilvl="0">
      <w:lvlJc w:val="left"/>
      <w:lvlText w:val="%1"/>
      <w:numFmt w:val="lowerLetter"/>
      <w:start w:val="1"/>
    </w:lvl>
    <w:lvl w:ilvl="1">
      <w:lvlJc w:val="left"/>
      <w:lvlText w:val="%2."/>
      <w:numFmt w:val="decimal"/>
      <w:start w:val="8"/>
    </w:lvl>
  </w:abstractNum>
  <w:abstractNum w:abstractNumId="75">
    <w:nsid w:val="3DB012B3"/>
    <w:multiLevelType w:val="hybridMultilevel"/>
    <w:lvl w:ilvl="0">
      <w:lvlJc w:val="left"/>
      <w:lvlText w:val="(%1)"/>
      <w:numFmt w:val="lowerLetter"/>
      <w:start w:val="1"/>
    </w:lvl>
    <w:lvl w:ilvl="1">
      <w:lvlJc w:val="left"/>
      <w:lvlText w:val="%2"/>
      <w:numFmt w:val="decimal"/>
      <w:start w:val="1"/>
    </w:lvl>
  </w:abstractNum>
  <w:abstractNum w:abstractNumId="76">
    <w:nsid w:val="2708C9AF"/>
    <w:multiLevelType w:val="hybridMultilevel"/>
    <w:lvl w:ilvl="0">
      <w:lvlJc w:val="left"/>
      <w:lvlText w:val="(%1)"/>
      <w:numFmt w:val="lowerLetter"/>
      <w:start w:val="4"/>
    </w:lvl>
  </w:abstractNum>
  <w:abstractNum w:abstractNumId="77">
    <w:nsid w:val="5B25ACE2"/>
    <w:multiLevelType w:val="hybridMultilevel"/>
    <w:lvl w:ilvl="0">
      <w:lvlJc w:val="left"/>
      <w:lvlText w:val="(%1)"/>
      <w:numFmt w:val="lowerLetter"/>
      <w:start w:val="8"/>
    </w:lvl>
  </w:abstractNum>
  <w:abstractNum w:abstractNumId="78">
    <w:nsid w:val="175DFCF0"/>
    <w:multiLevelType w:val="hybridMultilevel"/>
    <w:lvl w:ilvl="0">
      <w:lvlJc w:val="left"/>
      <w:lvlText w:val="%1."/>
      <w:numFmt w:val="decimal"/>
      <w:start w:val="9"/>
    </w:lvl>
  </w:abstractNum>
  <w:abstractNum w:abstractNumId="79">
    <w:nsid w:val="4F97E3E4"/>
    <w:multiLevelType w:val="hybridMultilevel"/>
    <w:lvl w:ilvl="0">
      <w:lvlJc w:val="left"/>
      <w:lvlText w:val="%1."/>
      <w:numFmt w:val="decimal"/>
      <w:start w:val="10"/>
    </w:lvl>
  </w:abstractNum>
  <w:abstractNum w:abstractNumId="80">
    <w:nsid w:val="53B0A9E"/>
    <w:multiLevelType w:val="hybridMultilevel"/>
    <w:lvl w:ilvl="0">
      <w:lvlJc w:val="left"/>
      <w:lvlText w:val="%1."/>
      <w:numFmt w:val="decimal"/>
      <w:start w:val="1"/>
    </w:lvl>
    <w:lvl w:ilvl="1">
      <w:lvlJc w:val="left"/>
      <w:lvlText w:val="(%2)"/>
      <w:numFmt w:val="lowerRoman"/>
      <w:start w:val="1"/>
    </w:lvl>
  </w:abstractNum>
  <w:abstractNum w:abstractNumId="81">
    <w:nsid w:val="34FD6B4F"/>
    <w:multiLevelType w:val="hybridMultilevel"/>
    <w:lvl w:ilvl="0">
      <w:lvlJc w:val="left"/>
      <w:lvlText w:val="(%1)"/>
      <w:numFmt w:val="lowerRoman"/>
      <w:start w:val="5"/>
    </w:lvl>
  </w:abstractNum>
  <w:abstractNum w:abstractNumId="82">
    <w:nsid w:val="5915FF32"/>
    <w:multiLevelType w:val="hybridMultilevel"/>
    <w:lvl w:ilvl="0">
      <w:lvlJc w:val="left"/>
      <w:lvlText w:val="%1."/>
      <w:numFmt w:val="decimal"/>
      <w:start w:val="2"/>
    </w:lvl>
    <w:lvl w:ilvl="1">
      <w:lvlJc w:val="left"/>
      <w:lvlText w:val="(%2)"/>
      <w:numFmt w:val="lowerLetter"/>
      <w:start w:val="1"/>
    </w:lvl>
  </w:abstractNum>
  <w:abstractNum w:abstractNumId="83">
    <w:nsid w:val="56438D15"/>
    <w:multiLevelType w:val="hybridMultilevel"/>
    <w:lvl w:ilvl="0">
      <w:lvlJc w:val="left"/>
      <w:lvlText w:val="(%1)"/>
      <w:numFmt w:val="lowerLetter"/>
      <w:start w:val="3"/>
    </w:lvl>
    <w:lvl w:ilvl="1">
      <w:lvlJc w:val="left"/>
      <w:lvlText w:val="(%2)"/>
      <w:numFmt w:val="lowerRoman"/>
      <w:start w:val="1"/>
    </w:lvl>
  </w:abstractNum>
  <w:abstractNum w:abstractNumId="84">
    <w:nsid w:val="519E3149"/>
    <w:multiLevelType w:val="hybridMultilevel"/>
    <w:lvl w:ilvl="0">
      <w:lvlJc w:val="left"/>
      <w:lvlText w:val="(%1)"/>
      <w:numFmt w:val="lowerRoman"/>
      <w:start w:val="6"/>
    </w:lvl>
  </w:abstractNum>
  <w:abstractNum w:abstractNumId="85">
    <w:nsid w:val="2C6E4AFD"/>
    <w:multiLevelType w:val="hybridMultilevel"/>
    <w:lvl w:ilvl="0">
      <w:lvlJc w:val="left"/>
      <w:lvlText w:val="(%1)"/>
      <w:numFmt w:val="lowerRoman"/>
      <w:start w:val="10"/>
    </w:lvl>
  </w:abstractNum>
  <w:abstractNum w:abstractNumId="86">
    <w:nsid w:val="17A1B582"/>
    <w:multiLevelType w:val="hybridMultilevel"/>
    <w:lvl w:ilvl="0">
      <w:lvlJc w:val="left"/>
      <w:lvlText w:val="(%1)"/>
      <w:numFmt w:val="lowerLetter"/>
      <w:start w:val="4"/>
    </w:lvl>
    <w:lvl w:ilvl="1">
      <w:lvlJc w:val="left"/>
      <w:lvlText w:val="(%2)"/>
      <w:numFmt w:val="lowerLetter"/>
      <w:start w:val="9"/>
    </w:lvl>
  </w:abstractNum>
  <w:abstractNum w:abstractNumId="87">
    <w:nsid w:val="4DF72E4E"/>
    <w:multiLevelType w:val="hybridMultilevel"/>
    <w:lvl w:ilvl="0">
      <w:lvlJc w:val="left"/>
      <w:lvlText w:val="(%1)"/>
      <w:numFmt w:val="lowerRoman"/>
      <w:start w:val="2"/>
    </w:lvl>
  </w:abstractNum>
  <w:abstractNum w:abstractNumId="88">
    <w:nsid w:val="5046B5A9"/>
    <w:multiLevelType w:val="hybridMultilevel"/>
    <w:lvl w:ilvl="0">
      <w:lvlJc w:val="left"/>
      <w:lvlText w:val="%1"/>
      <w:numFmt w:val="lowerLetter"/>
      <w:start w:val="1"/>
    </w:lvl>
    <w:lvl w:ilvl="1">
      <w:lvlJc w:val="left"/>
      <w:lvlText w:val="(%2)"/>
      <w:numFmt w:val="lowerRoman"/>
      <w:start w:val="1"/>
    </w:lvl>
  </w:abstractNum>
  <w:abstractNum w:abstractNumId="89">
    <w:nsid w:val="5D888A08"/>
    <w:multiLevelType w:val="hybridMultilevel"/>
    <w:lvl w:ilvl="0">
      <w:lvlJc w:val="left"/>
      <w:lvlText w:val="(%1)"/>
      <w:numFmt w:val="lowerLetter"/>
      <w:start w:val="6"/>
    </w:lvl>
    <w:lvl w:ilvl="1">
      <w:lvlJc w:val="left"/>
      <w:lvlText w:val="%2"/>
      <w:numFmt w:val="lowerRoman"/>
      <w:start w:val="1"/>
    </w:lvl>
  </w:abstractNum>
  <w:abstractNum w:abstractNumId="90">
    <w:nsid w:val="2A082C70"/>
    <w:multiLevelType w:val="hybridMultilevel"/>
    <w:lvl w:ilvl="0">
      <w:lvlJc w:val="left"/>
      <w:lvlText w:val="(%1)"/>
      <w:numFmt w:val="lowerLetter"/>
      <w:start w:val="8"/>
    </w:lvl>
  </w:abstractNum>
  <w:abstractNum w:abstractNumId="91">
    <w:nsid w:val="5EC6AFD4"/>
    <w:multiLevelType w:val="hybridMultilevel"/>
    <w:lvl w:ilvl="0">
      <w:lvlJc w:val="left"/>
      <w:lvlText w:val="%1."/>
      <w:numFmt w:val="decimal"/>
      <w:start w:val="5"/>
    </w:lvl>
    <w:lvl w:ilvl="1">
      <w:lvlJc w:val="left"/>
      <w:lvlText w:val="(%2)"/>
      <w:numFmt w:val="lowerLetter"/>
      <w:start w:val="1"/>
    </w:lvl>
  </w:abstractNum>
  <w:abstractNum w:abstractNumId="92">
    <w:nsid w:val="19E21BB2"/>
    <w:multiLevelType w:val="hybridMultilevel"/>
    <w:lvl w:ilvl="0">
      <w:lvlJc w:val="left"/>
      <w:lvlText w:val="%1"/>
      <w:numFmt w:val="decimal"/>
      <w:start w:val="1"/>
    </w:lvl>
    <w:lvl w:ilvl="1">
      <w:lvlJc w:val="left"/>
      <w:lvlText w:val="(%2)"/>
      <w:numFmt w:val="lowerLetter"/>
      <w:start w:val="6"/>
    </w:lvl>
  </w:abstractNum>
  <w:abstractNum w:abstractNumId="93">
    <w:nsid w:val="75E0858A"/>
    <w:multiLevelType w:val="hybridMultilevel"/>
    <w:lvl w:ilvl="0">
      <w:lvlJc w:val="left"/>
      <w:lvlText w:val="%1."/>
      <w:numFmt w:val="decimal"/>
      <w:start w:val="6"/>
    </w:lvl>
    <w:lvl w:ilvl="1">
      <w:lvlJc w:val="left"/>
      <w:lvlText w:val="(%2)"/>
      <w:numFmt w:val="lowerLetter"/>
      <w:start w:val="1"/>
    </w:lvl>
  </w:abstractNum>
  <w:abstractNum w:abstractNumId="94">
    <w:nsid w:val="57A61A29"/>
    <w:multiLevelType w:val="hybridMultilevel"/>
    <w:lvl w:ilvl="0">
      <w:lvlJc w:val="left"/>
      <w:lvlText w:val="%1"/>
      <w:numFmt w:val="decimal"/>
      <w:start w:val="1"/>
    </w:lvl>
    <w:lvl w:ilvl="1">
      <w:lvlJc w:val="left"/>
      <w:lvlText w:val="(%2)"/>
      <w:numFmt w:val="lowerRoman"/>
      <w:start w:val="1"/>
    </w:lvl>
  </w:abstractNum>
  <w:abstractNum w:abstractNumId="95">
    <w:nsid w:val="5399C654"/>
    <w:multiLevelType w:val="hybridMultilevel"/>
    <w:lvl w:ilvl="0">
      <w:lvlJc w:val="left"/>
      <w:lvlText w:val="%1."/>
      <w:numFmt w:val="decimal"/>
      <w:start w:val="7"/>
    </w:lvl>
    <w:lvl w:ilvl="1">
      <w:lvlJc w:val="left"/>
      <w:lvlText w:val="%2"/>
      <w:numFmt w:val="lowerRoman"/>
      <w:start w:val="1"/>
    </w:lvl>
  </w:abstractNum>
  <w:abstractNum w:abstractNumId="96">
    <w:nsid w:val="20EE1348"/>
    <w:multiLevelType w:val="hybridMultilevel"/>
    <w:lvl w:ilvl="0">
      <w:lvlJc w:val="left"/>
      <w:lvlText w:val="(%1)"/>
      <w:numFmt w:val="lowerRoman"/>
      <w:start w:val="1"/>
    </w:lvl>
  </w:abstractNum>
  <w:abstractNum w:abstractNumId="97">
    <w:nsid w:val="4427069A"/>
    <w:multiLevelType w:val="hybridMultilevel"/>
    <w:lvl w:ilvl="0">
      <w:lvlJc w:val="left"/>
      <w:lvlText w:val="%1"/>
      <w:numFmt w:val="lowerLetter"/>
      <w:start w:val="1"/>
    </w:lvl>
    <w:lvl w:ilvl="1">
      <w:lvlJc w:val="left"/>
      <w:lvlText w:val="%2."/>
      <w:numFmt w:val="decimal"/>
      <w:start w:val="8"/>
    </w:lvl>
  </w:abstractNum>
  <w:abstractNum w:abstractNumId="98">
    <w:nsid w:val="B37E80A"/>
    <w:multiLevelType w:val="hybridMultilevel"/>
    <w:lvl w:ilvl="0">
      <w:lvlJc w:val="left"/>
      <w:lvlText w:val="(%1)"/>
      <w:numFmt w:val="lowerLetter"/>
      <w:start w:val="1"/>
    </w:lvl>
    <w:lvl w:ilvl="1">
      <w:lvlJc w:val="left"/>
      <w:lvlText w:val="%2"/>
      <w:numFmt w:val="decimal"/>
      <w:start w:val="1"/>
    </w:lvl>
  </w:abstractNum>
  <w:abstractNum w:abstractNumId="99">
    <w:nsid w:val="2157F6BC"/>
    <w:multiLevelType w:val="hybridMultilevel"/>
    <w:lvl w:ilvl="0">
      <w:lvlJc w:val="left"/>
      <w:lvlText w:val="%1."/>
      <w:numFmt w:val="decimal"/>
      <w:start w:val="9"/>
    </w:lvl>
  </w:abstractNum>
  <w:abstractNum w:abstractNumId="100">
    <w:nsid w:val="704E1DD5"/>
    <w:multiLevelType w:val="hybridMultilevel"/>
    <w:lvl w:ilvl="0">
      <w:lvlJc w:val="left"/>
      <w:lvlText w:val="%1."/>
      <w:numFmt w:val="decimal"/>
      <w:start w:val="10"/>
    </w:lvl>
  </w:abstractNum>
  <w:abstractNum w:abstractNumId="101">
    <w:nsid w:val="57D2F10E"/>
    <w:multiLevelType w:val="hybridMultilevel"/>
    <w:lvl w:ilvl="0">
      <w:lvlJc w:val="left"/>
      <w:lvlText w:val="(%1)"/>
      <w:numFmt w:val="lowerRoman"/>
      <w:start w:val="3"/>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1)"/>
      <w:numFmt w:val="lowerLetter"/>
      <w:start w:val="1"/>
    </w:lvl>
    <w:lvl w:ilvl="1">
      <w:lvlJc w:val="left"/>
      <w:lvlText w:val="(%2)"/>
      <w:numFmt w:val="lowerRoman"/>
      <w:start w:val="1"/>
    </w:lvl>
  </w:abstractNum>
  <w:abstractNum w:abstractNumId="104">
    <w:nsid w:val="2E48F044"/>
    <w:multiLevelType w:val="hybridMultilevel"/>
    <w:lvl w:ilvl="0">
      <w:lvlJc w:val="left"/>
      <w:lvlText w:val="(%1)"/>
      <w:numFmt w:val="lowerLetter"/>
      <w:start w:val="1"/>
    </w:lvl>
  </w:abstractNum>
  <w:abstractNum w:abstractNumId="105">
    <w:nsid w:val="49D0FEAC"/>
    <w:multiLevelType w:val="hybridMultilevel"/>
    <w:lvl w:ilvl="0">
      <w:lvlJc w:val="left"/>
      <w:lvlText w:val="(%1)"/>
      <w:numFmt w:val="lowerLetter"/>
      <w:start w:val="1"/>
    </w:lvl>
  </w:abstractNum>
  <w:abstractNum w:abstractNumId="106">
    <w:nsid w:val="4BEE5A5B"/>
    <w:multiLevelType w:val="hybridMultilevel"/>
    <w:lvl w:ilvl="0">
      <w:lvlJc w:val="left"/>
      <w:lvlText w:val="(%1)"/>
      <w:numFmt w:val="lowerLetter"/>
      <w:start w:val="3"/>
    </w:lvl>
  </w:abstractNum>
  <w:abstractNum w:abstractNumId="107">
    <w:nsid w:val="5551B9F3"/>
    <w:multiLevelType w:val="hybridMultilevel"/>
    <w:lvl w:ilvl="0">
      <w:lvlJc w:val="left"/>
      <w:lvlText w:val="%1"/>
      <w:numFmt w:val="lowerLetter"/>
      <w:start w:val="1"/>
    </w:lvl>
    <w:lvl w:ilvl="1">
      <w:lvlJc w:val="left"/>
      <w:lvlText w:val="(%2)"/>
      <w:numFmt w:val="lowerLetter"/>
      <w:start w:val="1"/>
    </w:lvl>
  </w:abstractNum>
  <w:abstractNum w:abstractNumId="108">
    <w:nsid w:val="24F6AB8E"/>
    <w:multiLevelType w:val="hybridMultilevel"/>
    <w:lvl w:ilvl="0">
      <w:lvlJc w:val="left"/>
      <w:lvlText w:val="(%1)"/>
      <w:numFmt w:val="lowerLetter"/>
      <w:start w:val="35"/>
    </w:lvl>
    <w:lvl w:ilvl="1">
      <w:lvlJc w:val="left"/>
      <w:lvlText w:val="(%2)"/>
      <w:numFmt w:val="lowerLetter"/>
      <w:start w:val="2"/>
    </w:lvl>
  </w:abstractNum>
  <w:abstractNum w:abstractNumId="109">
    <w:nsid w:val="634C574C"/>
    <w:multiLevelType w:val="hybridMultilevel"/>
    <w:lvl w:ilvl="0">
      <w:lvlJc w:val="left"/>
      <w:lvlText w:val="(%1)"/>
      <w:numFmt w:val="lowerLetter"/>
      <w:start w:val="1"/>
    </w:lvl>
  </w:abstractNum>
  <w:abstractNum w:abstractNumId="110">
    <w:nsid w:val="24E99DD7"/>
    <w:multiLevelType w:val="hybridMultilevel"/>
    <w:lvl w:ilvl="0">
      <w:lvlJc w:val="left"/>
      <w:lvlText w:val="(%1)"/>
      <w:numFmt w:val="lowerLetter"/>
      <w:start w:val="9"/>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1)"/>
      <w:numFmt w:val="lowerLetter"/>
      <w:start w:val="2"/>
    </w:lvl>
    <w:lvl w:ilvl="1">
      <w:lvlJc w:val="left"/>
      <w:lvlText w:val="(%2)"/>
      <w:numFmt w:val="lowerRoman"/>
      <w:start w:val="1"/>
    </w:lvl>
  </w:abstractNum>
  <w:abstractNum w:abstractNumId="113">
    <w:nsid w:val="7DFF9D09"/>
    <w:multiLevelType w:val="hybridMultilevel"/>
    <w:lvl w:ilvl="0">
      <w:lvlJc w:val="left"/>
      <w:lvlText w:val="(%1)"/>
      <w:numFmt w:val="lowerRoman"/>
      <w:start w:val="4"/>
    </w:lvl>
  </w:abstractNum>
  <w:abstractNum w:abstractNumId="114">
    <w:nsid w:val="754342"/>
    <w:multiLevelType w:val="hybridMultilevel"/>
    <w:lvl w:ilvl="0">
      <w:lvlJc w:val="left"/>
      <w:lvlText w:val="(%1)"/>
      <w:numFmt w:val="lowerRoman"/>
      <w:start w:val="1"/>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lowerLetter"/>
      <w:start w:val="1"/>
    </w:lvl>
  </w:abstractNum>
  <w:abstractNum w:abstractNumId="118">
    <w:nsid w:val="37DF2233"/>
    <w:multiLevelType w:val="hybridMultilevel"/>
    <w:lvl w:ilvl="0">
      <w:lvlJc w:val="left"/>
      <w:lvlText w:val="(%1)"/>
      <w:numFmt w:val="lowerLetter"/>
      <w:start w:val="4"/>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lowerLetter"/>
      <w:start w:val="1"/>
    </w:lvl>
    <w:lvl w:ilvl="1">
      <w:lvlJc w:val="left"/>
      <w:lvlText w:val="(%2)"/>
      <w:numFmt w:val="lowerRoman"/>
      <w:start w:val="1"/>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1)"/>
      <w:numFmt w:val="lowerLetter"/>
      <w:start w:val="5"/>
    </w:lvl>
  </w:abstractNum>
  <w:abstractNum w:abstractNumId="123">
    <w:nsid w:val="F819E7F"/>
    <w:multiLevelType w:val="hybridMultilevel"/>
    <w:lvl w:ilvl="0">
      <w:lvlJc w:val="left"/>
      <w:lvlText w:val="(%1)"/>
      <w:numFmt w:val="lowerLetter"/>
      <w:start w:val="11"/>
    </w:lvl>
  </w:abstractNum>
  <w:abstractNum w:abstractNumId="124">
    <w:nsid w:val="57C7D42D"/>
    <w:multiLevelType w:val="hybridMultilevel"/>
    <w:lvl w:ilvl="0">
      <w:lvlJc w:val="left"/>
      <w:lvlText w:val="(%1)"/>
      <w:numFmt w:val="lowerLetter"/>
      <w:start w:val="2"/>
    </w:lvl>
    <w:lvl w:ilvl="1">
      <w:lvlJc w:val="left"/>
      <w:lvlText w:val="(%2)"/>
      <w:numFmt w:val="lowerRoman"/>
      <w:start w:val="1"/>
    </w:lvl>
  </w:abstractNum>
  <w:abstractNum w:abstractNumId="125">
    <w:nsid w:val="312167AD"/>
    <w:multiLevelType w:val="hybridMultilevel"/>
    <w:lvl w:ilvl="0">
      <w:lvlJc w:val="left"/>
      <w:lvlText w:val="(%1)"/>
      <w:numFmt w:val="lowerLetter"/>
      <w:start w:val="3"/>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Letter"/>
      <w:start w:val="3"/>
    </w:lvl>
  </w:abstractNum>
  <w:abstractNum w:abstractNumId="128">
    <w:nsid w:val="75486E47"/>
    <w:multiLevelType w:val="hybridMultilevel"/>
    <w:lvl w:ilvl="0">
      <w:lvlJc w:val="left"/>
      <w:lvlText w:val="(%1)"/>
      <w:numFmt w:val="lowerRoman"/>
      <w:start w:val="1"/>
    </w:lvl>
  </w:abstractNum>
  <w:abstractNum w:abstractNumId="129">
    <w:nsid w:val="6E534CDE"/>
    <w:multiLevelType w:val="hybridMultilevel"/>
    <w:lvl w:ilvl="0">
      <w:lvlJc w:val="left"/>
      <w:lvlText w:val="(%1)"/>
      <w:numFmt w:val="lowerRoman"/>
      <w:start w:val="9"/>
    </w:lvl>
  </w:abstractNum>
  <w:abstractNum w:abstractNumId="130">
    <w:nsid w:val="1A0DDE32"/>
    <w:multiLevelType w:val="hybridMultilevel"/>
    <w:lvl w:ilvl="0">
      <w:lvlJc w:val="left"/>
      <w:lvlText w:val="(%1)"/>
      <w:numFmt w:val="lowerRoman"/>
      <w:start w:val="1"/>
    </w:lvl>
  </w:abstractNum>
  <w:abstractNum w:abstractNumId="131">
    <w:nsid w:val="65968C1C"/>
    <w:multiLevelType w:val="hybridMultilevel"/>
    <w:lvl w:ilvl="0">
      <w:lvlJc w:val="left"/>
      <w:lvlText w:val="(%1)"/>
      <w:numFmt w:val="lowerRoman"/>
      <w:start w:val="1"/>
    </w:lvl>
  </w:abstractNum>
  <w:abstractNum w:abstractNumId="132">
    <w:nsid w:val="46263DEC"/>
    <w:multiLevelType w:val="hybridMultilevel"/>
    <w:lvl w:ilvl="0">
      <w:lvlJc w:val="left"/>
      <w:lvlText w:val="(%1)"/>
      <w:numFmt w:val="lowerRoman"/>
      <w:start w:val="1"/>
    </w:lvl>
  </w:abstractNum>
  <w:abstractNum w:abstractNumId="133">
    <w:nsid w:val="260D8C4A"/>
    <w:multiLevelType w:val="hybridMultilevel"/>
    <w:lvl w:ilvl="0">
      <w:lvlJc w:val="left"/>
      <w:lvlText w:val="(%1)"/>
      <w:numFmt w:val="lowerRoman"/>
      <w:start w:val="5"/>
    </w:lvl>
  </w:abstractNum>
  <w:abstractNum w:abstractNumId="134">
    <w:nsid w:val="73D4D3C4"/>
    <w:multiLevelType w:val="hybridMultilevel"/>
    <w:lvl w:ilvl="0">
      <w:lvlJc w:val="left"/>
      <w:lvlText w:val="(%1)"/>
      <w:numFmt w:val="lowerLetter"/>
      <w:start w:val="1"/>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lowerLetter"/>
      <w:start w:val="1"/>
    </w:lvl>
  </w:abstractNum>
  <w:abstractNum w:abstractNumId="137">
    <w:nsid w:val="3FC32E20"/>
    <w:multiLevelType w:val="hybridMultilevel"/>
    <w:lvl w:ilvl="0">
      <w:lvlJc w:val="left"/>
      <w:lvlText w:val="(%1)"/>
      <w:numFmt w:val="lowerLetter"/>
      <w:start w:val="2"/>
    </w:lvl>
  </w:abstractNum>
  <w:abstractNum w:abstractNumId="138">
    <w:nsid w:val="49C0E823"/>
    <w:multiLevelType w:val="hybridMultilevel"/>
    <w:lvl w:ilvl="0">
      <w:lvlJc w:val="left"/>
      <w:lvlText w:val="(%1)"/>
      <w:numFmt w:val="lowerLetter"/>
      <w:start w:val="3"/>
    </w:lvl>
  </w:abstractNum>
  <w:abstractNum w:abstractNumId="139">
    <w:nsid w:val="14D53685"/>
    <w:multiLevelType w:val="hybridMultilevel"/>
    <w:lvl w:ilvl="0">
      <w:lvlJc w:val="left"/>
      <w:lvlText w:val="(%1)"/>
      <w:numFmt w:val="lowerLetter"/>
      <w:start w:val="4"/>
    </w:lvl>
  </w:abstractNum>
  <w:abstractNum w:abstractNumId="140">
    <w:nsid w:val="230F856C"/>
    <w:multiLevelType w:val="hybridMultilevel"/>
    <w:lvl w:ilvl="0">
      <w:lvlJc w:val="left"/>
      <w:lvlText w:val="(%1)"/>
      <w:numFmt w:val="lowerLetter"/>
      <w:start w:val="6"/>
    </w:lvl>
  </w:abstractNum>
  <w:abstractNum w:abstractNumId="141">
    <w:nsid w:val="6EAA85FB"/>
    <w:multiLevelType w:val="hybridMultilevel"/>
    <w:lvl w:ilvl="0">
      <w:lvlJc w:val="left"/>
      <w:lvlText w:val="(%1)"/>
      <w:numFmt w:val="lowerLetter"/>
      <w:start w:val="9"/>
    </w:lvl>
  </w:abstractNum>
  <w:abstractNum w:abstractNumId="142">
    <w:nsid w:val="3F06ECB2"/>
    <w:multiLevelType w:val="hybridMultilevel"/>
    <w:lvl w:ilvl="0">
      <w:lvlJc w:val="left"/>
      <w:lvlText w:val="(%1)"/>
      <w:numFmt w:val="lowerLetter"/>
      <w:start w:val="1"/>
    </w:lvl>
  </w:abstractNum>
  <w:abstractNum w:abstractNumId="143">
    <w:nsid w:val="3B594807"/>
    <w:multiLevelType w:val="hybridMultilevel"/>
    <w:lvl w:ilvl="0">
      <w:lvlJc w:val="left"/>
      <w:lvlText w:val="(%1)"/>
      <w:numFmt w:val="lowerLetter"/>
      <w:start w:val="1"/>
    </w:lvl>
  </w:abstractNum>
  <w:abstractNum w:abstractNumId="144">
    <w:nsid w:val="6CAA2304"/>
    <w:multiLevelType w:val="hybridMultilevel"/>
    <w:lvl w:ilvl="0">
      <w:lvlJc w:val="left"/>
      <w:lvlText w:val="(%1)"/>
      <w:numFmt w:val="lowerLetter"/>
      <w:start w:val="1"/>
    </w:lvl>
  </w:abstractNum>
  <w:abstractNum w:abstractNumId="145">
    <w:nsid w:val="3F7C2FF4"/>
    <w:multiLevelType w:val="hybridMultilevel"/>
    <w:lvl w:ilvl="0">
      <w:lvlJc w:val="left"/>
      <w:lvlText w:val="(%1)"/>
      <w:numFmt w:val="upperLetter"/>
      <w:start w:val="2"/>
    </w:lvl>
  </w:abstractNum>
  <w:abstractNum w:abstractNumId="146">
    <w:nsid w:val="25413BEC"/>
    <w:multiLevelType w:val="hybridMultilevel"/>
    <w:lvl w:ilvl="0">
      <w:lvlJc w:val="left"/>
      <w:lvlText w:val="(%1)"/>
      <w:numFmt w:val="lowerRoman"/>
      <w:start w:val="8"/>
    </w:lvl>
  </w:abstractNum>
  <w:abstractNum w:abstractNumId="147">
    <w:nsid w:val="17180B0B"/>
    <w:multiLevelType w:val="hybridMultilevel"/>
    <w:lvl w:ilvl="0">
      <w:lvlJc w:val="left"/>
      <w:lvlText w:val="%1."/>
      <w:numFmt w:val="decimal"/>
      <w:start w:val="1"/>
    </w:lvl>
  </w:abstractNum>
  <w:abstractNum w:abstractNumId="148">
    <w:nsid w:val="579328B9"/>
    <w:multiLevelType w:val="hybridMultilevel"/>
    <w:lvl w:ilvl="0">
      <w:lvlJc w:val="left"/>
      <w:lvlText w:val="%1."/>
      <w:numFmt w:val="decimal"/>
      <w:start w:val="2"/>
    </w:lvl>
  </w:abstractNum>
  <w:abstractNum w:abstractNumId="149">
    <w:nsid w:val="5D205E20"/>
    <w:multiLevelType w:val="hybridMultilevel"/>
    <w:lvl w:ilvl="0">
      <w:lvlJc w:val="left"/>
      <w:lvlText w:val="%1."/>
      <w:numFmt w:val="decimal"/>
      <w:start w:val="1"/>
    </w:lvl>
  </w:abstractNum>
  <w:abstractNum w:abstractNumId="150">
    <w:nsid w:val="11CCA8BA"/>
    <w:multiLevelType w:val="hybridMultilevel"/>
    <w:lvl w:ilvl="0">
      <w:lvlJc w:val="left"/>
      <w:lvlText w:val="%1."/>
      <w:numFmt w:val="decimal"/>
      <w:start w:val="3"/>
    </w:lvl>
  </w:abstractNum>
  <w:abstractNum w:abstractNumId="151">
    <w:nsid w:val="4D32AB86"/>
    <w:multiLevelType w:val="hybridMultilevel"/>
    <w:lvl w:ilvl="0">
      <w:lvlJc w:val="left"/>
      <w:lvlText w:val="%1."/>
      <w:numFmt w:val="decimal"/>
      <w:start w:val="6"/>
    </w:lvl>
  </w:abstractNum>
  <w:abstractNum w:abstractNumId="152">
    <w:nsid w:val="3F07ACC3"/>
    <w:multiLevelType w:val="hybridMultilevel"/>
    <w:lvl w:ilvl="0">
      <w:lvlJc w:val="left"/>
      <w:lvlText w:val="(%1)"/>
      <w:numFmt w:val="decimal"/>
      <w:start w:val="1"/>
    </w:lvl>
  </w:abstractNum>
  <w:abstractNum w:abstractNumId="153">
    <w:nsid w:val="6B47F63E"/>
    <w:multiLevelType w:val="hybridMultilevel"/>
    <w:lvl w:ilvl="0">
      <w:lvlJc w:val="left"/>
      <w:lvlText w:val="(%1)"/>
      <w:numFmt w:val="decimal"/>
      <w:start w:val="1"/>
    </w:lvl>
    <w:lvl w:ilvl="1">
      <w:lvlJc w:val="left"/>
      <w:lvlText w:val="(%2)"/>
      <w:numFmt w:val="lowerLetter"/>
      <w:start w:val="1"/>
    </w:lvl>
  </w:abstractNum>
  <w:abstractNum w:abstractNumId="154">
    <w:nsid w:val="5CB44A05"/>
    <w:multiLevelType w:val="hybridMultilevel"/>
    <w:lvl w:ilvl="0">
      <w:lvlJc w:val="left"/>
      <w:lvlText w:val="(%1)"/>
      <w:numFmt w:val="lowerLetter"/>
      <w:start w:val="2"/>
    </w:lvl>
  </w:abstractNum>
  <w:abstractNum w:abstractNumId="155">
    <w:nsid w:val="16CF80F1"/>
    <w:multiLevelType w:val="hybridMultilevel"/>
    <w:lvl w:ilvl="0">
      <w:lvlJc w:val="left"/>
      <w:lvlText w:val="%1."/>
      <w:numFmt w:val="decimal"/>
      <w:start w:val="1"/>
    </w:lvl>
    <w:lvl w:ilvl="1">
      <w:lvlJc w:val="left"/>
      <w:lvlText w:val="(%2)"/>
      <w:numFmt w:val="lowerLetter"/>
      <w:start w:val="1"/>
    </w:lvl>
  </w:abstractNum>
  <w:abstractNum w:abstractNumId="156">
    <w:nsid w:val="1C695DEC"/>
    <w:multiLevelType w:val="hybridMultilevel"/>
    <w:lvl w:ilvl="0">
      <w:lvlJc w:val="left"/>
      <w:lvlText w:val="(%1)"/>
      <w:numFmt w:val="lowerLetter"/>
      <w:start w:val="2"/>
    </w:lvl>
  </w:abstractNum>
  <w:abstractNum w:abstractNumId="157">
    <w:nsid w:val="3FCFAED9"/>
    <w:multiLevelType w:val="hybridMultilevel"/>
    <w:lvl w:ilvl="0">
      <w:lvlJc w:val="left"/>
      <w:lvlText w:val="%1."/>
      <w:numFmt w:val="decimal"/>
      <w:start w:val="2"/>
    </w:lvl>
  </w:abstractNum>
  <w:abstractNum w:abstractNumId="158">
    <w:nsid w:val="F856867"/>
    <w:multiLevelType w:val="hybridMultilevel"/>
    <w:lvl w:ilvl="0">
      <w:lvlJc w:val="left"/>
      <w:lvlText w:val="%1."/>
      <w:numFmt w:val="decimal"/>
      <w:start w:val="16"/>
    </w:lvl>
    <w:lvl w:ilvl="1">
      <w:lvlJc w:val="left"/>
      <w:lvlText w:val="%2."/>
      <w:numFmt w:val="decimal"/>
      <w:start w:val="1"/>
    </w:lvl>
  </w:abstractNum>
  <w:abstractNum w:abstractNumId="159">
    <w:nsid w:val="11B1CC33"/>
    <w:multiLevelType w:val="hybridMultilevel"/>
    <w:lvl w:ilvl="0">
      <w:lvlJc w:val="left"/>
      <w:lvlText w:val="%1."/>
      <w:numFmt w:val="decimal"/>
      <w:start w:val="4"/>
    </w:lvl>
    <w:lvl w:ilvl="1">
      <w:lvlJc w:val="left"/>
      <w:lvlText w:val="-"/>
      <w:numFmt w:val="bullet"/>
      <w:start w:val="1"/>
    </w:lvl>
  </w:abstractNum>
  <w:abstractNum w:abstractNumId="160">
    <w:nsid w:val="2E22FBB7"/>
    <w:multiLevelType w:val="hybridMultilevel"/>
    <w:lvl w:ilvl="0">
      <w:lvlJc w:val="left"/>
      <w:lvlText w:val="%1."/>
      <w:numFmt w:val="decimal"/>
      <w:start w:val="6"/>
    </w:lvl>
    <w:lvl w:ilvl="1">
      <w:lvlJc w:val="left"/>
      <w:lvlText w:val="-"/>
      <w:numFmt w:val="bullet"/>
      <w:start w:val="1"/>
    </w:lvl>
  </w:abstractNum>
  <w:abstractNum w:abstractNumId="161">
    <w:nsid w:val="29934699"/>
    <w:multiLevelType w:val="hybridMultilevel"/>
    <w:lvl w:ilvl="0">
      <w:lvlJc w:val="left"/>
      <w:lvlText w:val="%1."/>
      <w:numFmt w:val="decimal"/>
      <w:start w:val="1"/>
    </w:lvl>
    <w:lvl w:ilvl="1">
      <w:lvlJc w:val="left"/>
      <w:lvlText w:val="(%2)"/>
      <w:numFmt w:val="lowerLetter"/>
      <w:start w:val="1"/>
    </w:lvl>
  </w:abstractNum>
  <w:abstractNum w:abstractNumId="162">
    <w:nsid w:val="77485850"/>
    <w:multiLevelType w:val="hybridMultilevel"/>
    <w:lvl w:ilvl="0">
      <w:lvlJc w:val="left"/>
      <w:lvlText w:val="(%1)"/>
      <w:numFmt w:val="lowerLetter"/>
      <w:start w:val="2"/>
    </w:lvl>
  </w:abstractNum>
  <w:abstractNum w:abstractNumId="163">
    <w:nsid w:val="744939A3"/>
    <w:multiLevelType w:val="hybridMultilevel"/>
    <w:lvl w:ilvl="0">
      <w:lvlJc w:val="left"/>
      <w:lvlText w:val="%1."/>
      <w:numFmt w:val="decimal"/>
      <w:start w:val="2"/>
    </w:lvl>
  </w:abstractNum>
  <w:abstractNum w:abstractNumId="164">
    <w:nsid w:val="4FA0D2E3"/>
    <w:multiLevelType w:val="hybridMultilevel"/>
    <w:lvl w:ilvl="0">
      <w:lvlJc w:val="left"/>
      <w:lvlText w:val="%1."/>
      <w:numFmt w:val="decimal"/>
      <w:start w:val="16"/>
    </w:lvl>
    <w:lvl w:ilvl="1">
      <w:lvlJc w:val="left"/>
      <w:lvlText w:val="%2."/>
      <w:numFmt w:val="decimal"/>
      <w:start w:val="1"/>
    </w:lvl>
  </w:abstractNum>
  <w:abstractNum w:abstractNumId="165">
    <w:nsid w:val="6B1D2C14"/>
    <w:multiLevelType w:val="hybridMultilevel"/>
    <w:lvl w:ilvl="0">
      <w:lvlJc w:val="left"/>
      <w:lvlText w:val="%1."/>
      <w:numFmt w:val="decimal"/>
      <w:start w:val="4"/>
    </w:lvl>
  </w:abstractNum>
  <w:abstractNum w:abstractNumId="166">
    <w:nsid w:val="68B867D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2019-12-15T07:22:56Z</dcterms:created>
  <dcterms:modified xsi:type="dcterms:W3CDTF">2019-12-15T07:22:56Z</dcterms:modified>
</cp:coreProperties>
</file>