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882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4"/>
          <w:szCs w:val="24"/>
          <w:color w:val="auto"/>
        </w:rPr>
      </w:pPr>
    </w:p>
    <w:p>
      <w:pPr>
        <w:ind w:left="882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4"/>
          <w:szCs w:val="24"/>
          <w:color w:val="auto"/>
        </w:rPr>
      </w:pPr>
    </w:p>
    <w:p>
      <w:pPr>
        <w:ind w:left="882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88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10060" w:space="380"/>
            <w:col w:w="980"/>
          </w:cols>
          <w:pgMar w:left="240" w:top="391" w:right="239" w:bottom="1440" w:gutter="0" w:footer="0" w:header="0"/>
        </w:sectPr>
      </w:pP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00" w:type="dxa"/>
            <w:vAlign w:val="bottom"/>
          </w:tcPr>
          <w:p>
            <w:pPr>
              <w:ind w:left="24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450 Lexington Avenue</w:t>
            </w:r>
          </w:p>
        </w:tc>
        <w:tc>
          <w:tcPr>
            <w:tcW w:w="1500" w:type="dxa"/>
            <w:vAlign w:val="bottom"/>
          </w:tcPr>
          <w:p>
            <w:pPr>
              <w:ind w:left="24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New York, NY 10017</w:t>
            </w:r>
          </w:p>
        </w:tc>
        <w:tc>
          <w:tcPr>
            <w:tcW w:w="1500" w:type="dxa"/>
            <w:vAlign w:val="bottom"/>
          </w:tcPr>
          <w:p>
            <w:pPr>
              <w:spacing w:after="0"/>
              <w:rPr>
                <w:sz w:val="20"/>
                <w:szCs w:val="20"/>
                <w:color w:val="auto"/>
              </w:rPr>
            </w:pPr>
          </w:p>
        </w:tc>
      </w:tr>
    </w:tbl>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August 29, 2014</w:t>
      </w:r>
    </w:p>
    <w:p>
      <w:pPr>
        <w:spacing w:after="0" w:line="16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4 to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August 26,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333-194698</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Attn: Larry Spirgel, Assistant Director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79" w:lineRule="exact"/>
        <w:rPr>
          <w:sz w:val="24"/>
          <w:szCs w:val="24"/>
          <w:color w:val="auto"/>
        </w:rPr>
      </w:pPr>
    </w:p>
    <w:p>
      <w:pPr>
        <w:ind w:right="180"/>
        <w:spacing w:after="0" w:line="302" w:lineRule="auto"/>
        <w:rPr>
          <w:sz w:val="20"/>
          <w:szCs w:val="20"/>
          <w:color w:val="auto"/>
        </w:rPr>
      </w:pPr>
      <w:r>
        <w:rPr>
          <w:rFonts w:ascii="Arial" w:cs="Arial" w:eastAsia="Arial" w:hAnsi="Arial"/>
          <w:sz w:val="16"/>
          <w:szCs w:val="16"/>
          <w:color w:val="auto"/>
        </w:rPr>
        <w:t>On behalf of Comcast Corporation (“Comcast”), we hereby submit Comcast’s responses to the comment of the Staff of the Division of Corporation Finance of the Securities and Exchange Commission (the “Commission”) set forth in your letter dated August 29, 2014 with respect to the above-referenced Registration Statement on Form S-4 (the “Registration Statement”), which includes a related joint proxy statement/prospectus, filed in connection with the Agreement and Plan of Merger dated as of February 12, 2014, among Comcast, Time Warner Cable Inc. (“TWC”) and Tango Acquisition Sub, Inc.</w:t>
      </w: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For the convenience of the Staff, the Staff’s comment is reproduced below and followed by the response of Comcast. All references to page numbers in Comcast’s response are to the pages in the filed version of Amendment No. 4.</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The Divestiture Transactions, page 202</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Contribution and Spin-Off, page 202</w:t>
      </w:r>
    </w:p>
    <w:p>
      <w:pPr>
        <w:spacing w:after="0" w:line="279" w:lineRule="exact"/>
        <w:rPr>
          <w:sz w:val="24"/>
          <w:szCs w:val="24"/>
          <w:color w:val="auto"/>
        </w:rPr>
      </w:pPr>
    </w:p>
    <w:p>
      <w:pPr>
        <w:jc w:val="both"/>
        <w:ind w:left="420" w:right="140" w:hanging="277"/>
        <w:spacing w:after="0" w:line="303" w:lineRule="auto"/>
        <w:tabs>
          <w:tab w:leader="none" w:pos="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4 from our letter dated August 18, 2014. The reference to SpinCo shareholders receiving “the right” to receive New Charter shares implies that SpinCo shareholders are being given a choice. Consequently, you should replace the description of the SpinCo merger on page 204: “in a portion of each holder’s SpinCo shares being converted into the right to receive New Charter shares…” with “a portion of each holder’s SpinCo shares being automatically exchanged for New Charter shares….”</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response to the Staff’s comment, we will revise the disclosure on page 204 of the joint proxy statement/prospectus as follows:</w:t>
      </w:r>
    </w:p>
    <w:p>
      <w:pPr>
        <w:spacing w:after="0" w:line="279" w:lineRule="exact"/>
        <w:rPr>
          <w:sz w:val="24"/>
          <w:szCs w:val="24"/>
          <w:color w:val="auto"/>
        </w:rPr>
      </w:pPr>
    </w:p>
    <w:p>
      <w:pPr>
        <w:ind w:left="660" w:right="120"/>
        <w:spacing w:after="0" w:line="291" w:lineRule="auto"/>
        <w:rPr>
          <w:sz w:val="20"/>
          <w:szCs w:val="20"/>
          <w:color w:val="auto"/>
        </w:rPr>
      </w:pPr>
      <w:r>
        <w:rPr>
          <w:rFonts w:ascii="Arial" w:cs="Arial" w:eastAsia="Arial" w:hAnsi="Arial"/>
          <w:sz w:val="16"/>
          <w:szCs w:val="16"/>
          <w:i w:val="1"/>
          <w:iCs w:val="1"/>
          <w:color w:val="auto"/>
        </w:rPr>
        <w:t xml:space="preserve">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Although the SpinCo shares will be distributed in the spin-off pro rata to Comcast shareholders (including former TWC stockholders), the SpinCo merger will result in a portion of each holder’s SpinCo shares being converted into </w:t>
      </w:r>
      <w:r>
        <w:rPr>
          <w:rFonts w:ascii="Arial" w:cs="Arial" w:eastAsia="Arial" w:hAnsi="Arial"/>
          <w:sz w:val="16"/>
          <w:szCs w:val="16"/>
          <w:i w:val="1"/>
          <w:iCs w:val="1"/>
          <w:color w:val="FF0000"/>
          <w:strike w:val="1"/>
        </w:rPr>
        <w:t>the right to receive</w:t>
      </w:r>
      <w:r>
        <w:rPr>
          <w:rFonts w:ascii="Arial" w:cs="Arial" w:eastAsia="Arial" w:hAnsi="Arial"/>
          <w:sz w:val="16"/>
          <w:szCs w:val="16"/>
          <w:i w:val="1"/>
          <w:iCs w:val="1"/>
          <w:color w:val="auto"/>
        </w:rPr>
        <w:t xml:space="preserve"> New Charter shares </w:t>
      </w:r>
      <w:r>
        <w:rPr>
          <w:rFonts w:ascii="Arial" w:cs="Arial" w:eastAsia="Arial" w:hAnsi="Arial"/>
          <w:sz w:val="16"/>
          <w:szCs w:val="16"/>
          <w:i w:val="1"/>
          <w:iCs w:val="1"/>
          <w:u w:val="single" w:color="auto"/>
          <w:color w:val="1F497D"/>
        </w:rPr>
        <w:t>in the SpinCo merger</w:t>
      </w:r>
      <w:r>
        <w:rPr>
          <w:rFonts w:ascii="Arial" w:cs="Arial" w:eastAsia="Arial" w:hAnsi="Arial"/>
          <w:sz w:val="16"/>
          <w:szCs w:val="16"/>
          <w:i w:val="1"/>
          <w:iCs w:val="1"/>
          <w:color w:val="auto"/>
        </w:rPr>
        <w:t xml:space="preserve"> with New Charter owning an amount (estimated to be approximately 33%) of the outstanding SpinCo shares. Accordingly, the SpinCo merger will result in Comcast shareholders (including former TWC stockholders) each owning a proportional interest in SpinCo that is approximately 67% as large as their aggregate proportional interest in Comcast following the merger with TWC.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 w:name="page2"/>
    <w:bookmarkEnd w:id="1"/>
    <w:p>
      <w:pPr>
        <w:spacing w:after="0"/>
        <w:tabs>
          <w:tab w:leader="none" w:pos="5700" w:val="left"/>
          <w:tab w:leader="none" w:pos="102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29, 2014</w:t>
      </w:r>
    </w:p>
    <w:p>
      <w:pPr>
        <w:spacing w:after="0" w:line="200" w:lineRule="exact"/>
        <w:rPr>
          <w:sz w:val="20"/>
          <w:szCs w:val="20"/>
          <w:color w:val="auto"/>
        </w:rPr>
      </w:pPr>
    </w:p>
    <w:p>
      <w:pPr>
        <w:spacing w:after="0" w:line="34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plan to file an amended Registration Statement electronically by 5:30 p.m., Eastern Time, on September 3, 2014, along with a request to accelerate the effective date of the Registration Statement to September 5, 2014. The amended Registration Statement will include executed tax opinions, updated accountants’ and Comcast’s financial advisor’s consents, pro forma information updated for today’s closing stock price, final numbers in connection with outstanding shares as of the record date, final page references and meeting dates and information. We do not anticipate any other changes.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request to accelerate the effective date of the Registration Statement, Comcast will provide a written statement acknowledging that:</w:t>
      </w:r>
    </w:p>
    <w:p>
      <w:pPr>
        <w:spacing w:after="0" w:line="302" w:lineRule="exact"/>
        <w:rPr>
          <w:sz w:val="20"/>
          <w:szCs w:val="20"/>
          <w:color w:val="auto"/>
        </w:rPr>
      </w:pPr>
    </w:p>
    <w:p>
      <w:pPr>
        <w:ind w:left="660" w:right="3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2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2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 w:name="page3"/>
    <w:bookmarkEnd w:id="2"/>
    <w:p>
      <w:pPr>
        <w:spacing w:after="0"/>
        <w:tabs>
          <w:tab w:leader="none" w:pos="5700" w:val="left"/>
          <w:tab w:leader="none" w:pos="102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29, 2014</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pacing w:after="0" w:line="241" w:lineRule="exact"/>
        <w:rPr>
          <w:sz w:val="20"/>
          <w:szCs w:val="20"/>
          <w:color w:val="auto"/>
        </w:rPr>
      </w:pPr>
    </w:p>
    <w:p>
      <w:pPr>
        <w:ind w:left="520" w:right="51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B. Schumer, Esq., Ariel J. Deckelbaum, Esq. and Ross A. Fieldston, Esq. Paul, Weiss, Rifkind, Wharton &amp; Garrison LLP</w:t>
      </w:r>
    </w:p>
    <w:sectPr>
      <w:pgSz w:w="11900" w:h="16838" w:orient="portrait"/>
      <w:cols w:equalWidth="0" w:num="1">
        <w:col w:w="11420"/>
      </w:cols>
      <w:pgMar w:left="240" w:top="4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2019-12-07T02:44:28Z</dcterms:created>
  <dcterms:modified xsi:type="dcterms:W3CDTF">2019-12-07T02:44:28Z</dcterms:modified>
</cp:coreProperties>
</file>