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 Comcast Corp.</w:t>
      </w:r>
    </w:p>
    <w:p>
      <w:pPr>
        <w:spacing w:after="0" w:line="207" w:lineRule="exact"/>
        <w:rPr>
          <w:sz w:val="24"/>
          <w:szCs w:val="24"/>
          <w:color w:val="auto"/>
        </w:rPr>
      </w:pPr>
    </w:p>
    <w:p>
      <w:pPr>
        <w:ind w:right="4839"/>
        <w:spacing w:after="0" w:line="470" w:lineRule="auto"/>
        <w:rPr>
          <w:sz w:val="20"/>
          <w:szCs w:val="20"/>
          <w:color w:val="auto"/>
        </w:rPr>
      </w:pPr>
      <w:r>
        <w:rPr>
          <w:rFonts w:ascii="Courier New" w:cs="Courier New" w:eastAsia="Courier New" w:hAnsi="Courier New"/>
          <w:sz w:val="18"/>
          <w:szCs w:val="18"/>
          <w:color w:val="auto"/>
        </w:rPr>
        <w:t>Title or Class of Securities - Class A Common Stock CUSIP Number - 200300101</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 [ X ].</w:t>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200300101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10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799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747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347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N/A</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10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99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747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347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N/A</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10 Pages</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999" w:firstLine="8"/>
        <w:spacing w:after="0" w:line="470"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7479" w:firstLine="8"/>
        <w:spacing w:after="0" w:line="470"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3479" w:firstLine="8"/>
        <w:spacing w:after="0" w:line="470"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N/A</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10 Pages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999" w:firstLine="8"/>
        <w:spacing w:after="0" w:line="470"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7479" w:firstLine="8"/>
        <w:spacing w:after="0" w:line="470"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2,000,000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right="3479" w:firstLine="8"/>
        <w:spacing w:after="0" w:line="470"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N/A</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1234 Market Street</w:t>
      </w:r>
    </w:p>
    <w:p>
      <w:pPr>
        <w:ind w:left="540"/>
        <w:spacing w:after="0" w:line="238" w:lineRule="auto"/>
        <w:rPr>
          <w:sz w:val="20"/>
          <w:szCs w:val="20"/>
          <w:color w:val="auto"/>
        </w:rPr>
      </w:pPr>
      <w:r>
        <w:rPr>
          <w:rFonts w:ascii="Courier New" w:cs="Courier New" w:eastAsia="Courier New" w:hAnsi="Courier New"/>
          <w:sz w:val="18"/>
          <w:szCs w:val="18"/>
          <w:color w:val="auto"/>
        </w:rPr>
        <w:t>Philadelphia, PA 19107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540" w:right="3899"/>
        <w:spacing w:after="0" w:line="235" w:lineRule="auto"/>
        <w:rPr>
          <w:sz w:val="20"/>
          <w:szCs w:val="20"/>
          <w:color w:val="auto"/>
        </w:rPr>
      </w:pPr>
      <w:r>
        <w:rPr>
          <w:rFonts w:ascii="Courier New" w:cs="Courier New" w:eastAsia="Courier New" w:hAnsi="Courier New"/>
          <w:sz w:val="18"/>
          <w:szCs w:val="18"/>
          <w:color w:val="auto"/>
        </w:rPr>
        <w:t>Twentieth Century Companies, Inc., on its behalf and on behalf 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Investors Research Corporation</w:t>
      </w:r>
    </w:p>
    <w:p>
      <w:pPr>
        <w:ind w:left="540"/>
        <w:spacing w:after="0" w:line="238" w:lineRule="auto"/>
        <w:rPr>
          <w:sz w:val="20"/>
          <w:szCs w:val="20"/>
          <w:color w:val="auto"/>
        </w:rPr>
      </w:pPr>
      <w:r>
        <w:rPr>
          <w:rFonts w:ascii="Courier New" w:cs="Courier New" w:eastAsia="Courier New" w:hAnsi="Courier New"/>
          <w:sz w:val="18"/>
          <w:szCs w:val="18"/>
          <w:color w:val="auto"/>
        </w:rPr>
        <w:t>Twentieth Century Investors, Inc.</w:t>
      </w:r>
    </w:p>
    <w:p>
      <w:pPr>
        <w:ind w:left="540"/>
        <w:spacing w:after="0"/>
        <w:rPr>
          <w:sz w:val="20"/>
          <w:szCs w:val="20"/>
          <w:color w:val="auto"/>
        </w:rPr>
      </w:pPr>
      <w:r>
        <w:rPr>
          <w:rFonts w:ascii="Courier New" w:cs="Courier New" w:eastAsia="Courier New" w:hAnsi="Courier New"/>
          <w:sz w:val="18"/>
          <w:szCs w:val="18"/>
          <w:color w:val="auto"/>
        </w:rPr>
        <w:t>James E. Stowers, Jr.</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4500 Main Street, P.O. Box 418210, Kansas City, MO 64141-</w:t>
      </w:r>
    </w:p>
    <w:p>
      <w:pPr>
        <w:ind w:left="540"/>
        <w:spacing w:after="0"/>
        <w:tabs>
          <w:tab w:leader="none" w:pos="1140" w:val="left"/>
          <w:tab w:leader="none" w:pos="1880" w:val="left"/>
        </w:tabs>
        <w:rPr>
          <w:sz w:val="20"/>
          <w:szCs w:val="20"/>
          <w:color w:val="auto"/>
        </w:rPr>
      </w:pPr>
      <w:r>
        <w:rPr>
          <w:rFonts w:ascii="Courier New" w:cs="Courier New" w:eastAsia="Courier New" w:hAnsi="Courier New"/>
          <w:sz w:val="18"/>
          <w:szCs w:val="18"/>
          <w:color w:val="auto"/>
        </w:rPr>
        <w:t>9210</w:t>
        <w:tab/>
        <w:t>Attn:</w:t>
      </w:r>
      <w:r>
        <w:rPr>
          <w:sz w:val="20"/>
          <w:szCs w:val="20"/>
          <w:color w:val="auto"/>
        </w:rPr>
        <w:tab/>
      </w:r>
      <w:r>
        <w:rPr>
          <w:rFonts w:ascii="Courier New" w:cs="Courier New" w:eastAsia="Courier New" w:hAnsi="Courier New"/>
          <w:sz w:val="16"/>
          <w:szCs w:val="16"/>
          <w:color w:val="auto"/>
        </w:rPr>
        <w:t>Patrick A. Looby</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200300101</w:t>
      </w:r>
    </w:p>
    <w:p>
      <w:pPr>
        <w:spacing w:after="0" w:line="207"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170" w:lineRule="exact"/>
        <w:rPr>
          <w:sz w:val="20"/>
          <w:szCs w:val="20"/>
          <w:color w:val="auto"/>
        </w:rPr>
      </w:pPr>
    </w:p>
    <w:p>
      <w:pPr>
        <w:ind w:left="1580" w:right="4199" w:hanging="1052"/>
        <w:spacing w:after="0" w:line="290" w:lineRule="auto"/>
        <w:tabs>
          <w:tab w:leader="none" w:pos="1560" w:val="left"/>
        </w:tabs>
        <w:rPr>
          <w:sz w:val="20"/>
          <w:szCs w:val="20"/>
          <w:color w:val="auto"/>
        </w:rPr>
      </w:pPr>
      <w:r>
        <w:rPr>
          <w:rFonts w:ascii="Courier New" w:cs="Courier New" w:eastAsia="Courier New" w:hAnsi="Courier New"/>
          <w:sz w:val="18"/>
          <w:szCs w:val="18"/>
          <w:color w:val="auto"/>
        </w:rPr>
        <w:t>g [ X ]</w:t>
      </w:r>
      <w:r>
        <w:rPr>
          <w:sz w:val="20"/>
          <w:szCs w:val="20"/>
          <w:color w:val="auto"/>
        </w:rPr>
        <w:tab/>
      </w:r>
      <w:r>
        <w:rPr>
          <w:rFonts w:ascii="Courier New" w:cs="Courier New" w:eastAsia="Courier New" w:hAnsi="Courier New"/>
          <w:sz w:val="16"/>
          <w:szCs w:val="16"/>
          <w:color w:val="auto"/>
        </w:rPr>
        <w:t>Parent Holding Company, in accordance with Rule 13d-1(b)(ii)(G) (Note: See Item 7).</w:t>
      </w:r>
    </w:p>
    <w:p>
      <w:pPr>
        <w:spacing w:after="0" w:line="3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5359" w:hanging="525"/>
        <w:spacing w:after="0" w:line="470"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2,000,000</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580" w:right="4319" w:hanging="519"/>
        <w:spacing w:after="0" w:line="235"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2,000,000</w:t>
      </w:r>
    </w:p>
    <w:p>
      <w:pPr>
        <w:spacing w:after="0" w:line="208" w:lineRule="exact"/>
        <w:rPr>
          <w:rFonts w:ascii="Courier New" w:cs="Courier New" w:eastAsia="Courier New" w:hAnsi="Courier New"/>
          <w:sz w:val="18"/>
          <w:szCs w:val="18"/>
          <w:color w:val="auto"/>
        </w:rPr>
      </w:pPr>
    </w:p>
    <w:p>
      <w:pPr>
        <w:ind w:left="1580" w:right="4099" w:hanging="519"/>
        <w:spacing w:after="0" w:line="235"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(iii)sole power to dispose or to direct the</w:t>
      </w:r>
    </w:p>
    <w:p>
      <w:pPr>
        <w:ind w:left="1580"/>
        <w:spacing w:after="0" w:line="238" w:lineRule="auto"/>
        <w:rPr>
          <w:sz w:val="20"/>
          <w:szCs w:val="20"/>
          <w:color w:val="auto"/>
        </w:rPr>
      </w:pPr>
      <w:r>
        <w:rPr>
          <w:rFonts w:ascii="Courier New" w:cs="Courier New" w:eastAsia="Courier New" w:hAnsi="Courier New"/>
          <w:sz w:val="18"/>
          <w:szCs w:val="18"/>
          <w:color w:val="auto"/>
        </w:rPr>
        <w:t>disposition of: 2,000,000</w:t>
      </w:r>
    </w:p>
    <w:p>
      <w:pPr>
        <w:spacing w:after="0" w:line="207" w:lineRule="exact"/>
        <w:rPr>
          <w:sz w:val="20"/>
          <w:szCs w:val="20"/>
          <w:color w:val="auto"/>
        </w:rPr>
      </w:pPr>
    </w:p>
    <w:p>
      <w:pPr>
        <w:ind w:left="1580" w:right="4419" w:hanging="519"/>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514"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259" w:hanging="104"/>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740" w:space="420"/>
            <w:col w:w="9059"/>
          </w:cols>
          <w:pgMar w:left="240" w:top="514" w:right="1440" w:bottom="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Investors Research Corporation, a registered investment adviser and</w:t>
      </w:r>
    </w:p>
    <w:p>
      <w:pPr>
        <w:sectPr>
          <w:pgSz w:w="11900" w:h="16838" w:orient="portrait"/>
          <w:cols w:equalWidth="0" w:num="1">
            <w:col w:w="10219"/>
          </w:cols>
          <w:pgMar w:left="240" w:top="514" w:right="1440" w:bottom="0" w:gutter="0" w:footer="0" w:header="0"/>
          <w:type w:val="continuous"/>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a wholly-owned subsidiary of Twentieth Century Companies, Inc., manages, pursuant to management agreements, the investments of four registered investment companies, Twentieth Century Investors, Inc., Twentieth Century World Investors, Inc., Twentieth Century Capital Portfolios, Inc. and TCI Portfolios, Inc. It also manages the assets of institutional investor accounts. The securities that are the subject of this report are owned by and held for such investment companies and separate institutional investor accounts. Any dividends received from such securities, or the proceeds of any sale of such securities, are for the benefit of, and are held for such investment companies and separate institutional investor accounts.</w:t>
      </w:r>
    </w:p>
    <w:p>
      <w:pPr>
        <w:spacing w:after="0" w:line="215"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Twentieth Century Investors, Inc. owned 2,000,000 shares or 5.1% of the securities that are the subject of this report.</w:t>
      </w:r>
    </w:p>
    <w:p>
      <w:pPr>
        <w:spacing w:after="0" w:line="208" w:lineRule="exact"/>
        <w:rPr>
          <w:sz w:val="20"/>
          <w:szCs w:val="20"/>
          <w:color w:val="auto"/>
        </w:rPr>
      </w:pPr>
    </w:p>
    <w:p>
      <w:pPr>
        <w:ind w:right="2319" w:firstLine="1053"/>
        <w:spacing w:after="0" w:line="290" w:lineRule="auto"/>
        <w:rPr>
          <w:sz w:val="20"/>
          <w:szCs w:val="20"/>
          <w:color w:val="auto"/>
        </w:rPr>
      </w:pPr>
      <w:r>
        <w:rPr>
          <w:rFonts w:ascii="Courier New" w:cs="Courier New" w:eastAsia="Courier New" w:hAnsi="Courier New"/>
          <w:sz w:val="16"/>
          <w:szCs w:val="16"/>
          <w:color w:val="auto"/>
        </w:rPr>
        <w:t>For further information regarding the ownership of the securities that are the subject of this report, see Exhibit A attached hereto.</w:t>
      </w:r>
    </w:p>
    <w:p>
      <w:pPr>
        <w:spacing w:after="0" w:line="170" w:lineRule="exact"/>
        <w:rPr>
          <w:sz w:val="20"/>
          <w:szCs w:val="20"/>
          <w:color w:val="auto"/>
        </w:rPr>
      </w:pPr>
    </w:p>
    <w:p>
      <w:pPr>
        <w:ind w:left="1060" w:right="35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1994</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TWENTIETH CENTURY COMPANIES, INC.</w:t>
      </w:r>
    </w:p>
    <w:p>
      <w:pPr>
        <w:spacing w:after="0" w:line="419" w:lineRule="exact"/>
        <w:rPr>
          <w:sz w:val="20"/>
          <w:szCs w:val="20"/>
          <w:color w:val="auto"/>
        </w:rPr>
      </w:pPr>
    </w:p>
    <w:p>
      <w:pPr>
        <w:sectPr>
          <w:pgSz w:w="11900" w:h="16838" w:orient="portrait"/>
          <w:cols w:equalWidth="0" w:num="2">
            <w:col w:w="3080" w:space="720"/>
            <w:col w:w="6419"/>
          </w:cols>
          <w:pgMar w:left="240" w:top="142" w:right="1440" w:bottom="1440" w:gutter="0" w:footer="0" w:header="0"/>
          <w:type w:val="continuous"/>
        </w:sectPr>
      </w:pP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M. Lyons</w:t>
      </w:r>
    </w:p>
    <w:p>
      <w:pPr>
        <w:ind w:left="4860"/>
        <w:spacing w:after="0" w:line="238" w:lineRule="auto"/>
        <w:rPr>
          <w:sz w:val="20"/>
          <w:szCs w:val="20"/>
          <w:color w:val="auto"/>
        </w:rPr>
      </w:pPr>
      <w:r>
        <w:rPr>
          <w:rFonts w:ascii="Courier New" w:cs="Courier New" w:eastAsia="Courier New" w:hAnsi="Courier New"/>
          <w:sz w:val="18"/>
          <w:szCs w:val="18"/>
          <w:color w:val="auto"/>
        </w:rPr>
        <w:t>William M. Lyons</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Executive Vice President</w:t>
      </w:r>
    </w:p>
    <w:p>
      <w:pPr>
        <w:sectPr>
          <w:pgSz w:w="11900" w:h="16838" w:orient="portrait"/>
          <w:cols w:equalWidth="0" w:num="1">
            <w:col w:w="10219"/>
          </w:cols>
          <w:pgMar w:left="240" w:top="142"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IDENTITY AND ITEM 3 CLASSIFICATION OF A SUBSIDIARY OF PARENT HOLDING COMPANIES</w:t>
      </w: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This Schedule 13G is being filed by Twentieth Century Companies, Inc. ("TCC"). Investors Research Corporation ("IRC"), an investment advisor registered under Section 203 of the Investment Advisors Act of 1940, is a wholly-owned subsidiary of TCC. Mr. James E. Stowers, Jr., controls TCC by virtue of his ownership of approximately 60% of the voting stock of TCC.</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a result of its status as investment advisor to four investment companies registered under Section 8 of the Investment Company Act and to several institutional investors, IRC is deemed to be the beneficial owner of and has the sole authority to dispose of and vote 2,000,000 shares (the "Shares") or 5.1% of the outstanding Class A common stock of Comcast Corp.(the "Issuer").</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TCC, as a result of its control of IRC, and Mr. Stowers, as a result of his control of TCC, are also deemed to beneficially own all such shares deemed to be beneficially owned by IRC. Mr. Stowers, TCC and IRC all disclaim beneficial ownership of the Shares.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ownership of one investment company client of IRC, Twentieth Century Investors, Inc. ("TCI"), totalled 2,000,000 shares or 5.1% of the outstanding Class A common stock of the Issuer.</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This Schedule 13G is being filed by TCC on behalf of TCC, IRC, TCI and Mr. Stowers.</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13d-1(f)(1)(iii)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Each of the undersigned hereby agrees and consents to the execution and joint filing on its or his behalf by Twentieth Century Companies, Inc. of this Schedule 13G respecting the beneficial ownership of the Class A common stock of Comcast Corp. at December 31, 1993.</w:t>
      </w:r>
    </w:p>
    <w:p>
      <w:pPr>
        <w:ind w:left="540"/>
        <w:spacing w:after="0"/>
        <w:rPr>
          <w:sz w:val="20"/>
          <w:szCs w:val="20"/>
          <w:color w:val="auto"/>
        </w:rPr>
      </w:pPr>
      <w:r>
        <w:rPr>
          <w:rFonts w:ascii="Courier New" w:cs="Courier New" w:eastAsia="Courier New" w:hAnsi="Courier New"/>
          <w:sz w:val="18"/>
          <w:szCs w:val="18"/>
          <w:color w:val="auto"/>
        </w:rPr>
        <w:t>Dated this 10th day of February, 1994.</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Twentieth Century Companies,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M. Lyons</w:t>
      </w:r>
    </w:p>
    <w:p>
      <w:pPr>
        <w:ind w:left="496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Investors Research Corporation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M. Lyons</w:t>
      </w:r>
    </w:p>
    <w:p>
      <w:pPr>
        <w:ind w:left="496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Twentieth Century Investors,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M. Lyons</w:t>
      </w:r>
    </w:p>
    <w:p>
      <w:pPr>
        <w:ind w:left="496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/s/ James E. Stowers, Jr.</w:t>
      </w:r>
    </w:p>
    <w:p>
      <w:pPr>
        <w:spacing w:after="0" w:line="201"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James E. Stowers, Jr.</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5"/>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decimal"/>
      <w:start w:val="12"/>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2019-12-12T23:17:24Z</dcterms:created>
  <dcterms:modified xsi:type="dcterms:W3CDTF">2019-12-12T23:17:24Z</dcterms:modified>
</cp:coreProperties>
</file>