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3" w:lineRule="exact"/>
        <w:rPr>
          <w:sz w:val="24"/>
          <w:szCs w:val="24"/>
          <w:color w:val="auto"/>
        </w:rPr>
      </w:pPr>
    </w:p>
    <w:p>
      <w:pPr>
        <w:ind w:left="3980" w:right="3960" w:hanging="3740"/>
        <w:spacing w:after="0" w:line="311" w:lineRule="auto"/>
        <w:tabs>
          <w:tab w:leader="none" w:pos="595"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80" w:hanging="327"/>
        <w:spacing w:after="0"/>
        <w:tabs>
          <w:tab w:leader="none" w:pos="580" w:val="left"/>
        </w:tabs>
        <w:numPr>
          <w:ilvl w:val="0"/>
          <w:numId w:val="2"/>
        </w:numPr>
        <w:rPr>
          <w:rFonts w:ascii="Arial" w:cs="Arial" w:eastAsia="Arial" w:hAnsi="Arial"/>
          <w:sz w:val="29"/>
          <w:szCs w:val="29"/>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15" w:lineRule="exact"/>
        <w:rPr>
          <w:sz w:val="24"/>
          <w:szCs w:val="24"/>
          <w:color w:val="auto"/>
        </w:rPr>
      </w:pPr>
    </w:p>
    <w:p>
      <w:pPr>
        <w:ind w:left="346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99060</wp:posOffset>
            </wp:positionV>
            <wp:extent cx="3258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219075</wp:posOffset>
            </wp:positionV>
            <wp:extent cx="1826895" cy="685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Exact Name of Registrant; State of</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Incorporation; Address and Telephone</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auto"/>
                <w:w w:val="95"/>
              </w:rPr>
              <w:t>Commission File Number</w:t>
            </w:r>
          </w:p>
        </w:tc>
        <w:tc>
          <w:tcPr>
            <w:tcW w:w="5320" w:type="dxa"/>
            <w:vAlign w:val="bottom"/>
            <w:tcBorders>
              <w:bottom w:val="single" w:sz="8" w:color="auto"/>
            </w:tcBorders>
          </w:tcPr>
          <w:p>
            <w:pPr>
              <w:jc w:val="center"/>
              <w:ind w:left="46"/>
              <w:spacing w:after="0"/>
              <w:rPr>
                <w:sz w:val="20"/>
                <w:szCs w:val="20"/>
                <w:color w:val="auto"/>
              </w:rPr>
            </w:pPr>
            <w:r>
              <w:rPr>
                <w:rFonts w:ascii="Arial" w:cs="Arial" w:eastAsia="Arial" w:hAnsi="Arial"/>
                <w:sz w:val="16"/>
                <w:szCs w:val="16"/>
                <w:color w:val="auto"/>
                <w:w w:val="94"/>
              </w:rPr>
              <w:t>Number of Principal Executive Offices</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190"/>
        </w:trPr>
        <w:tc>
          <w:tcPr>
            <w:tcW w:w="304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001-32871</w:t>
            </w:r>
          </w:p>
        </w:tc>
        <w:tc>
          <w:tcPr>
            <w:tcW w:w="5320" w:type="dxa"/>
            <w:vAlign w:val="bottom"/>
            <w:vMerge w:val="restart"/>
          </w:tcPr>
          <w:p>
            <w:pPr>
              <w:jc w:val="center"/>
              <w:ind w:left="46"/>
              <w:spacing w:after="0"/>
              <w:rPr>
                <w:sz w:val="20"/>
                <w:szCs w:val="20"/>
                <w:color w:val="auto"/>
              </w:rPr>
            </w:pPr>
            <w:r>
              <w:rPr>
                <w:rFonts w:ascii="Arial" w:cs="Arial" w:eastAsia="Arial" w:hAnsi="Arial"/>
                <w:sz w:val="29"/>
                <w:szCs w:val="29"/>
                <w:b w:val="1"/>
                <w:bCs w:val="1"/>
                <w:color w:val="auto"/>
                <w:w w:val="99"/>
              </w:rPr>
              <w:t>COMCAST CORPORATION</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27-0000798</w:t>
            </w: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6"/>
                <w:szCs w:val="16"/>
                <w:color w:val="auto"/>
              </w:rPr>
            </w:pPr>
          </w:p>
        </w:tc>
        <w:tc>
          <w:tcPr>
            <w:tcW w:w="5320" w:type="dxa"/>
            <w:vAlign w:val="bottom"/>
            <w:vMerge w:val="continue"/>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040" w:type="dxa"/>
            <w:vAlign w:val="bottom"/>
          </w:tcPr>
          <w:p>
            <w:pPr>
              <w:spacing w:after="0"/>
              <w:rPr>
                <w:sz w:val="14"/>
                <w:szCs w:val="14"/>
                <w:color w:val="auto"/>
              </w:rPr>
            </w:pPr>
          </w:p>
        </w:tc>
        <w:tc>
          <w:tcPr>
            <w:tcW w:w="5320" w:type="dxa"/>
            <w:vAlign w:val="bottom"/>
          </w:tcPr>
          <w:p>
            <w:pPr>
              <w:jc w:val="center"/>
              <w:ind w:left="66"/>
              <w:spacing w:after="0"/>
              <w:rPr>
                <w:sz w:val="20"/>
                <w:szCs w:val="20"/>
                <w:color w:val="auto"/>
              </w:rPr>
            </w:pPr>
            <w:r>
              <w:rPr>
                <w:rFonts w:ascii="Arial" w:cs="Arial" w:eastAsia="Arial" w:hAnsi="Arial"/>
                <w:sz w:val="14"/>
                <w:szCs w:val="14"/>
                <w:b w:val="1"/>
                <w:bCs w:val="1"/>
                <w:color w:val="auto"/>
              </w:rPr>
              <w:t>PENNSYLVANIA</w:t>
            </w:r>
          </w:p>
        </w:tc>
        <w:tc>
          <w:tcPr>
            <w:tcW w:w="3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5320" w:type="dxa"/>
            <w:vAlign w:val="bottom"/>
          </w:tcPr>
          <w:p>
            <w:pPr>
              <w:jc w:val="center"/>
              <w:ind w:left="66"/>
              <w:spacing w:after="0" w:line="149" w:lineRule="exact"/>
              <w:rPr>
                <w:sz w:val="20"/>
                <w:szCs w:val="20"/>
                <w:color w:val="auto"/>
              </w:rPr>
            </w:pPr>
            <w:r>
              <w:rPr>
                <w:rFonts w:ascii="Arial" w:cs="Arial" w:eastAsia="Arial" w:hAnsi="Arial"/>
                <w:sz w:val="14"/>
                <w:szCs w:val="14"/>
                <w:b w:val="1"/>
                <w:bCs w:val="1"/>
                <w:color w:val="auto"/>
                <w:w w:val="92"/>
              </w:rPr>
              <w:t>One Comcast Center</w:t>
            </w: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5320" w:type="dxa"/>
            <w:vAlign w:val="bottom"/>
          </w:tcPr>
          <w:p>
            <w:pPr>
              <w:jc w:val="center"/>
              <w:ind w:left="66"/>
              <w:spacing w:after="0" w:line="149" w:lineRule="exact"/>
              <w:rPr>
                <w:sz w:val="20"/>
                <w:szCs w:val="20"/>
                <w:color w:val="auto"/>
              </w:rPr>
            </w:pPr>
            <w:r>
              <w:rPr>
                <w:rFonts w:ascii="Arial" w:cs="Arial" w:eastAsia="Arial" w:hAnsi="Arial"/>
                <w:sz w:val="14"/>
                <w:szCs w:val="14"/>
                <w:b w:val="1"/>
                <w:bCs w:val="1"/>
                <w:color w:val="auto"/>
                <w:w w:val="93"/>
              </w:rPr>
              <w:t>Philadelphia, PA 19103-2838</w:t>
            </w: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5320" w:type="dxa"/>
            <w:vAlign w:val="bottom"/>
          </w:tcPr>
          <w:p>
            <w:pPr>
              <w:jc w:val="center"/>
              <w:ind w:left="46"/>
              <w:spacing w:after="0"/>
              <w:rPr>
                <w:sz w:val="20"/>
                <w:szCs w:val="20"/>
                <w:color w:val="auto"/>
              </w:rPr>
            </w:pPr>
            <w:r>
              <w:rPr>
                <w:rFonts w:ascii="Arial" w:cs="Arial" w:eastAsia="Arial" w:hAnsi="Arial"/>
                <w:sz w:val="14"/>
                <w:szCs w:val="14"/>
                <w:b w:val="1"/>
                <w:bCs w:val="1"/>
                <w:color w:val="auto"/>
                <w:w w:val="93"/>
              </w:rPr>
              <w:t>(215) 286-1700</w:t>
            </w: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304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001-36438</w:t>
            </w:r>
          </w:p>
        </w:tc>
        <w:tc>
          <w:tcPr>
            <w:tcW w:w="5320" w:type="dxa"/>
            <w:vAlign w:val="bottom"/>
            <w:vMerge w:val="restart"/>
          </w:tcPr>
          <w:p>
            <w:pPr>
              <w:jc w:val="center"/>
              <w:ind w:left="66"/>
              <w:spacing w:after="0"/>
              <w:rPr>
                <w:sz w:val="20"/>
                <w:szCs w:val="20"/>
                <w:color w:val="auto"/>
              </w:rPr>
            </w:pPr>
            <w:r>
              <w:rPr>
                <w:rFonts w:ascii="Arial" w:cs="Arial" w:eastAsia="Arial" w:hAnsi="Arial"/>
                <w:sz w:val="29"/>
                <w:szCs w:val="29"/>
                <w:b w:val="1"/>
                <w:bCs w:val="1"/>
                <w:color w:val="auto"/>
              </w:rPr>
              <w:t>NBCUNIVERSAL MEDIA, LLC</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14-1682529</w:t>
            </w:r>
          </w:p>
        </w:tc>
        <w:tc>
          <w:tcPr>
            <w:tcW w:w="0" w:type="dxa"/>
            <w:vAlign w:val="bottom"/>
          </w:tcPr>
          <w:p>
            <w:pPr>
              <w:spacing w:after="0"/>
              <w:rPr>
                <w:sz w:val="1"/>
                <w:szCs w:val="1"/>
                <w:color w:val="auto"/>
              </w:rPr>
            </w:pPr>
          </w:p>
        </w:tc>
      </w:tr>
      <w:tr>
        <w:trPr>
          <w:trHeight w:val="179"/>
        </w:trPr>
        <w:tc>
          <w:tcPr>
            <w:tcW w:w="3040" w:type="dxa"/>
            <w:vAlign w:val="bottom"/>
          </w:tcPr>
          <w:p>
            <w:pPr>
              <w:spacing w:after="0"/>
              <w:rPr>
                <w:sz w:val="15"/>
                <w:szCs w:val="15"/>
                <w:color w:val="auto"/>
              </w:rPr>
            </w:pPr>
          </w:p>
        </w:tc>
        <w:tc>
          <w:tcPr>
            <w:tcW w:w="5320" w:type="dxa"/>
            <w:vAlign w:val="bottom"/>
            <w:vMerge w:val="continue"/>
          </w:tcPr>
          <w:p>
            <w:pPr>
              <w:spacing w:after="0"/>
              <w:rPr>
                <w:sz w:val="15"/>
                <w:szCs w:val="15"/>
                <w:color w:val="auto"/>
              </w:rPr>
            </w:pPr>
          </w:p>
        </w:tc>
        <w:tc>
          <w:tcPr>
            <w:tcW w:w="3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DELAWARE</w:t>
      </w:r>
    </w:p>
    <w:p>
      <w:pPr>
        <w:jc w:val="center"/>
        <w:ind w:right="-119"/>
        <w:spacing w:after="0" w:line="226" w:lineRule="auto"/>
        <w:rPr>
          <w:sz w:val="20"/>
          <w:szCs w:val="20"/>
          <w:color w:val="auto"/>
        </w:rPr>
      </w:pPr>
      <w:r>
        <w:rPr>
          <w:rFonts w:ascii="Arial" w:cs="Arial" w:eastAsia="Arial" w:hAnsi="Arial"/>
          <w:sz w:val="14"/>
          <w:szCs w:val="14"/>
          <w:b w:val="1"/>
          <w:bCs w:val="1"/>
          <w:color w:val="auto"/>
        </w:rPr>
        <w:t>30 Rockefeller Plaza</w:t>
      </w:r>
    </w:p>
    <w:p>
      <w:pPr>
        <w:jc w:val="center"/>
        <w:ind w:right="-119"/>
        <w:spacing w:after="0" w:line="222" w:lineRule="auto"/>
        <w:rPr>
          <w:sz w:val="20"/>
          <w:szCs w:val="20"/>
          <w:color w:val="auto"/>
        </w:rPr>
      </w:pPr>
      <w:r>
        <w:rPr>
          <w:rFonts w:ascii="Arial" w:cs="Arial" w:eastAsia="Arial" w:hAnsi="Arial"/>
          <w:sz w:val="14"/>
          <w:szCs w:val="14"/>
          <w:b w:val="1"/>
          <w:bCs w:val="1"/>
          <w:color w:val="auto"/>
        </w:rPr>
        <w:t>New York, NY 10112-0015</w:t>
      </w:r>
    </w:p>
    <w:p>
      <w:pPr>
        <w:jc w:val="center"/>
        <w:ind w:right="-119"/>
        <w:spacing w:after="0"/>
        <w:rPr>
          <w:sz w:val="20"/>
          <w:szCs w:val="20"/>
          <w:color w:val="auto"/>
        </w:rPr>
      </w:pPr>
      <w:r>
        <w:rPr>
          <w:rFonts w:ascii="Arial" w:cs="Arial" w:eastAsia="Arial" w:hAnsi="Arial"/>
          <w:sz w:val="14"/>
          <w:szCs w:val="14"/>
          <w:b w:val="1"/>
          <w:bCs w:val="1"/>
          <w:color w:val="auto"/>
        </w:rPr>
        <w:t>(212) 664-4444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13335</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34"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20" w:lineRule="exact"/>
        <w:rPr>
          <w:sz w:val="24"/>
          <w:szCs w:val="24"/>
          <w:color w:val="auto"/>
        </w:rPr>
      </w:pPr>
    </w:p>
    <w:tbl>
      <w:tblPr>
        <w:tblLayout w:type="fixed"/>
        <w:tblInd w:w="3240"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2037715</wp:posOffset>
            </wp:positionH>
            <wp:positionV relativeFrom="paragraph">
              <wp:posOffset>85090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6"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pacing w:after="0" w:line="120" w:lineRule="exact"/>
        <w:rPr>
          <w:sz w:val="24"/>
          <w:szCs w:val="24"/>
          <w:color w:val="auto"/>
        </w:rPr>
      </w:pPr>
    </w:p>
    <w:tbl>
      <w:tblPr>
        <w:tblLayout w:type="fixed"/>
        <w:tblInd w:w="3240" w:type="dxa"/>
        <w:tblCellMar>
          <w:top w:w="0" w:type="dxa"/>
          <w:left w:w="0" w:type="dxa"/>
          <w:bottom w:w="0" w:type="dxa"/>
          <w:right w:w="0" w:type="dxa"/>
        </w:tblCellMar>
      </w:tblPr>
      <w:tr>
        <w:trPr>
          <w:trHeight w:val="182"/>
        </w:trPr>
        <w:tc>
          <w:tcPr>
            <w:tcW w:w="2500" w:type="dxa"/>
            <w:vAlign w:val="bottom"/>
          </w:tcPr>
          <w:p>
            <w:pPr>
              <w:spacing w:after="0"/>
              <w:rPr>
                <w:sz w:val="20"/>
                <w:szCs w:val="20"/>
                <w:color w:val="auto"/>
              </w:rPr>
            </w:pPr>
            <w:r>
              <w:rPr>
                <w:rFonts w:ascii="Arial" w:cs="Arial" w:eastAsia="Arial" w:hAnsi="Arial"/>
                <w:sz w:val="14"/>
                <w:szCs w:val="14"/>
                <w:color w:val="auto"/>
              </w:rPr>
              <w:t>Comcast Corporation</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20"/>
                <w:szCs w:val="20"/>
                <w:color w:val="auto"/>
              </w:rPr>
            </w:pPr>
            <w:r>
              <w:rPr>
                <w:rFonts w:ascii="Arial" w:cs="Arial" w:eastAsia="Arial" w:hAnsi="Arial"/>
                <w:sz w:val="14"/>
                <w:szCs w:val="14"/>
                <w:color w:val="auto"/>
              </w:rPr>
              <w:t>NBCUniversal Media, LLC</w:t>
            </w:r>
          </w:p>
        </w:tc>
        <w:tc>
          <w:tcPr>
            <w:tcW w:w="1200" w:type="dxa"/>
            <w:vAlign w:val="bottom"/>
            <w:vMerge w:val="restart"/>
          </w:tcPr>
          <w:p>
            <w:pPr>
              <w:ind w:left="900"/>
              <w:spacing w:after="0"/>
              <w:rPr>
                <w:sz w:val="20"/>
                <w:szCs w:val="20"/>
                <w:color w:val="auto"/>
              </w:rPr>
            </w:pPr>
            <w:r>
              <w:rPr>
                <w:rFonts w:ascii="Arial" w:cs="Arial" w:eastAsia="Arial" w:hAnsi="Arial"/>
                <w:sz w:val="14"/>
                <w:szCs w:val="14"/>
                <w:color w:val="auto"/>
              </w:rPr>
              <w:t>Yes</w:t>
            </w:r>
          </w:p>
        </w:tc>
        <w:tc>
          <w:tcPr>
            <w:tcW w:w="560" w:type="dxa"/>
            <w:vAlign w:val="bottom"/>
            <w:vMerge w:val="restart"/>
          </w:tcPr>
          <w:p>
            <w:pPr>
              <w:ind w:left="80"/>
              <w:spacing w:after="0"/>
              <w:rPr>
                <w:sz w:val="20"/>
                <w:szCs w:val="20"/>
                <w:color w:val="auto"/>
              </w:rPr>
            </w:pPr>
            <w:r>
              <w:rPr>
                <w:rFonts w:ascii="Arial" w:cs="Arial" w:eastAsia="Arial" w:hAnsi="Arial"/>
                <w:sz w:val="14"/>
                <w:szCs w:val="14"/>
                <w:color w:val="auto"/>
              </w:rPr>
              <w:t>x</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No</w:t>
            </w:r>
          </w:p>
        </w:tc>
        <w:tc>
          <w:tcPr>
            <w:tcW w:w="120" w:type="dxa"/>
            <w:vAlign w:val="bottom"/>
            <w:vMerge w:val="restart"/>
          </w:tcPr>
          <w:p>
            <w:pPr>
              <w:ind w:left="60"/>
              <w:spacing w:after="0"/>
              <w:rPr>
                <w:sz w:val="20"/>
                <w:szCs w:val="20"/>
                <w:color w:val="auto"/>
              </w:rPr>
            </w:pPr>
            <w:r>
              <w:rPr>
                <w:rFonts w:ascii="Arial" w:cs="Arial" w:eastAsia="Arial" w:hAnsi="Arial"/>
                <w:sz w:val="11"/>
                <w:szCs w:val="11"/>
                <w:color w:val="auto"/>
                <w:w w:val="71"/>
              </w:rPr>
              <w:t>c</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1"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1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Comcast Corporation</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x  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3"/>
          <w:szCs w:val="13"/>
          <w:color w:val="auto"/>
        </w:rPr>
        <w:t>c  Non-accelerated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  Smaller reporting company</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c  Emerging growth company</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2"/>
          <w:szCs w:val="12"/>
          <w:color w:val="auto"/>
        </w:rPr>
        <w:t>c</w:t>
      </w:r>
    </w:p>
    <w:p>
      <w:pPr>
        <w:spacing w:after="0" w:line="64" w:lineRule="exact"/>
        <w:rPr>
          <w:sz w:val="24"/>
          <w:szCs w:val="24"/>
          <w:color w:val="auto"/>
        </w:rPr>
      </w:pPr>
    </w:p>
    <w:p>
      <w:pPr>
        <w:sectPr>
          <w:pgSz w:w="11900" w:h="16838" w:orient="portrait"/>
          <w:cols w:equalWidth="0" w:num="7">
            <w:col w:w="1280" w:space="700"/>
            <w:col w:w="1300" w:space="360"/>
            <w:col w:w="1140" w:space="340"/>
            <w:col w:w="1400" w:space="440"/>
            <w:col w:w="1760" w:space="420"/>
            <w:col w:w="1740" w:space="400"/>
            <w:col w:w="140"/>
          </w:cols>
          <w:pgMar w:left="240" w:top="229" w:right="2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NBCUniversal Media, LLC</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c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  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x  Smaller reporting company</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3"/>
          <w:szCs w:val="13"/>
          <w:color w:val="auto"/>
        </w:rPr>
        <w:t>c  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c</w:t>
      </w:r>
    </w:p>
    <w:p>
      <w:pPr>
        <w:spacing w:after="0" w:line="145" w:lineRule="exact"/>
        <w:rPr>
          <w:sz w:val="24"/>
          <w:szCs w:val="24"/>
          <w:color w:val="auto"/>
        </w:rPr>
      </w:pPr>
    </w:p>
    <w:p>
      <w:pPr>
        <w:sectPr>
          <w:pgSz w:w="11900" w:h="16838" w:orient="portrait"/>
          <w:cols w:equalWidth="0" w:num="7">
            <w:col w:w="1640" w:space="340"/>
            <w:col w:w="1300" w:space="360"/>
            <w:col w:w="1140" w:space="340"/>
            <w:col w:w="1400" w:space="440"/>
            <w:col w:w="1760" w:space="420"/>
            <w:col w:w="1740" w:space="400"/>
            <w:col w:w="140"/>
          </w:cols>
          <w:pgMar w:left="240" w:top="229" w:right="239" w:bottom="1440" w:gutter="0" w:footer="0" w:header="0"/>
          <w:type w:val="continuous"/>
        </w:sectPr>
      </w:pPr>
    </w:p>
    <w:p>
      <w:pPr>
        <w:spacing w:after="0" w:line="273" w:lineRule="auto"/>
        <w:rPr>
          <w:sz w:val="20"/>
          <w:szCs w:val="20"/>
          <w:color w:val="auto"/>
        </w:rPr>
      </w:pPr>
      <w:r>
        <w:rPr>
          <w:rFonts w:ascii="Arial" w:cs="Arial" w:eastAsia="Arial" w:hAnsi="Arial"/>
          <w:sz w:val="14"/>
          <w:szCs w:val="14"/>
          <w:color w:val="auto"/>
        </w:rPr>
        <w:t>If an emerging growth company, indicate by check mark whether the registrant has elected not to use the extended transition period for complying with any new or revised financial accounting standards provided pursuant to Section 13(a) of the Exchange Act.</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6300" w:type="dxa"/>
            <w:vAlign w:val="bottom"/>
          </w:tcPr>
          <w:p>
            <w:pPr>
              <w:ind w:left="3600"/>
              <w:spacing w:after="0"/>
              <w:rPr>
                <w:sz w:val="20"/>
                <w:szCs w:val="20"/>
                <w:color w:val="auto"/>
              </w:rPr>
            </w:pPr>
            <w:r>
              <w:rPr>
                <w:rFonts w:ascii="Arial" w:cs="Arial" w:eastAsia="Arial" w:hAnsi="Arial"/>
                <w:sz w:val="14"/>
                <w:szCs w:val="14"/>
                <w:color w:val="auto"/>
              </w:rPr>
              <w:t>Comcast Corporation</w:t>
            </w: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ind w:left="32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3600"/>
              <w:spacing w:after="0"/>
              <w:rPr>
                <w:sz w:val="20"/>
                <w:szCs w:val="20"/>
                <w:color w:val="auto"/>
              </w:rPr>
            </w:pPr>
            <w:r>
              <w:rPr>
                <w:rFonts w:ascii="Arial" w:cs="Arial" w:eastAsia="Arial" w:hAnsi="Arial"/>
                <w:sz w:val="14"/>
                <w:szCs w:val="14"/>
                <w:color w:val="auto"/>
              </w:rPr>
              <w:t>NBCUniversal Media, LLC</w:t>
            </w: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ind w:left="320"/>
              <w:spacing w:after="0"/>
              <w:rPr>
                <w:sz w:val="20"/>
                <w:szCs w:val="20"/>
                <w:color w:val="auto"/>
              </w:rPr>
            </w:pPr>
            <w:r>
              <w:rPr>
                <w:rFonts w:ascii="Arial" w:cs="Arial" w:eastAsia="Arial" w:hAnsi="Arial"/>
                <w:sz w:val="14"/>
                <w:szCs w:val="14"/>
                <w:color w:val="auto"/>
              </w:rPr>
              <w:t>c</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6300" w:type="dxa"/>
            <w:vAlign w:val="bottom"/>
          </w:tcPr>
          <w:p>
            <w:pPr>
              <w:spacing w:after="0"/>
              <w:rPr>
                <w:sz w:val="20"/>
                <w:szCs w:val="20"/>
                <w:color w:val="auto"/>
              </w:rPr>
            </w:pPr>
            <w:r>
              <w:rPr>
                <w:rFonts w:ascii="Arial" w:cs="Arial" w:eastAsia="Arial" w:hAnsi="Arial"/>
                <w:sz w:val="14"/>
                <w:szCs w:val="14"/>
                <w:color w:val="auto"/>
                <w:w w:val="99"/>
              </w:rPr>
              <w:t>Indicate by check mark whether the registrant is a shell company (as defined in Rule 12b-2 of the Act).</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00" w:type="dxa"/>
            <w:vAlign w:val="bottom"/>
          </w:tcPr>
          <w:p>
            <w:pPr>
              <w:ind w:left="3240"/>
              <w:spacing w:after="0"/>
              <w:rPr>
                <w:sz w:val="20"/>
                <w:szCs w:val="20"/>
                <w:color w:val="auto"/>
              </w:rPr>
            </w:pPr>
            <w:r>
              <w:rPr>
                <w:rFonts w:ascii="Arial" w:cs="Arial" w:eastAsia="Arial" w:hAnsi="Arial"/>
                <w:sz w:val="14"/>
                <w:szCs w:val="14"/>
                <w:color w:val="auto"/>
              </w:rPr>
              <w:t>Comcast Corporation</w:t>
            </w:r>
          </w:p>
        </w:tc>
        <w:tc>
          <w:tcPr>
            <w:tcW w:w="600" w:type="dxa"/>
            <w:vAlign w:val="bottom"/>
            <w:vMerge w:val="restart"/>
          </w:tcPr>
          <w:p>
            <w:pPr>
              <w:ind w:left="340"/>
              <w:spacing w:after="0"/>
              <w:rPr>
                <w:sz w:val="20"/>
                <w:szCs w:val="20"/>
                <w:color w:val="auto"/>
              </w:rPr>
            </w:pPr>
            <w:r>
              <w:rPr>
                <w:rFonts w:ascii="Arial" w:cs="Arial" w:eastAsia="Arial" w:hAnsi="Arial"/>
                <w:sz w:val="14"/>
                <w:szCs w:val="14"/>
                <w:color w:val="auto"/>
                <w:w w:val="99"/>
              </w:rPr>
              <w:t>Yes</w:t>
            </w:r>
          </w:p>
        </w:tc>
        <w:tc>
          <w:tcPr>
            <w:tcW w:w="460" w:type="dxa"/>
            <w:vAlign w:val="bottom"/>
            <w:vMerge w:val="restart"/>
          </w:tcPr>
          <w:p>
            <w:pPr>
              <w:ind w:left="60"/>
              <w:spacing w:after="0"/>
              <w:rPr>
                <w:sz w:val="20"/>
                <w:szCs w:val="20"/>
                <w:color w:val="auto"/>
              </w:rPr>
            </w:pPr>
            <w:r>
              <w:rPr>
                <w:rFonts w:ascii="Arial" w:cs="Arial" w:eastAsia="Arial" w:hAnsi="Arial"/>
                <w:sz w:val="14"/>
                <w:szCs w:val="14"/>
                <w:color w:val="auto"/>
              </w:rPr>
              <w:t>c</w:t>
            </w:r>
          </w:p>
        </w:tc>
        <w:tc>
          <w:tcPr>
            <w:tcW w:w="700" w:type="dxa"/>
            <w:vAlign w:val="bottom"/>
            <w:vMerge w:val="restart"/>
          </w:tcPr>
          <w:p>
            <w:pPr>
              <w:ind w:left="440"/>
              <w:spacing w:after="0"/>
              <w:rPr>
                <w:sz w:val="20"/>
                <w:szCs w:val="20"/>
                <w:color w:val="auto"/>
              </w:rPr>
            </w:pPr>
            <w:r>
              <w:rPr>
                <w:rFonts w:ascii="Arial" w:cs="Arial" w:eastAsia="Arial" w:hAnsi="Arial"/>
                <w:sz w:val="14"/>
                <w:szCs w:val="14"/>
                <w:color w:val="auto"/>
              </w:rPr>
              <w:t>No</w:t>
            </w:r>
          </w:p>
        </w:tc>
        <w:tc>
          <w:tcPr>
            <w:tcW w:w="140" w:type="dxa"/>
            <w:vAlign w:val="bottom"/>
            <w:vMerge w:val="restart"/>
          </w:tcPr>
          <w:p>
            <w:pPr>
              <w:ind w:left="80"/>
              <w:spacing w:after="0"/>
              <w:rPr>
                <w:sz w:val="20"/>
                <w:szCs w:val="20"/>
                <w:color w:val="auto"/>
              </w:rPr>
            </w:pPr>
            <w:r>
              <w:rPr>
                <w:rFonts w:ascii="Arial" w:cs="Arial" w:eastAsia="Arial" w:hAnsi="Arial"/>
                <w:sz w:val="11"/>
                <w:szCs w:val="11"/>
                <w:color w:val="auto"/>
                <w:w w:val="71"/>
              </w:rPr>
              <w:t>x</w:t>
            </w:r>
          </w:p>
        </w:tc>
        <w:tc>
          <w:tcPr>
            <w:tcW w:w="0" w:type="dxa"/>
            <w:vAlign w:val="bottom"/>
          </w:tcPr>
          <w:p>
            <w:pPr>
              <w:spacing w:after="0"/>
              <w:rPr>
                <w:sz w:val="1"/>
                <w:szCs w:val="1"/>
                <w:color w:val="auto"/>
              </w:rPr>
            </w:pPr>
          </w:p>
        </w:tc>
      </w:tr>
      <w:tr>
        <w:trPr>
          <w:trHeight w:val="68"/>
        </w:trPr>
        <w:tc>
          <w:tcPr>
            <w:tcW w:w="63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3240"/>
              <w:spacing w:after="0"/>
              <w:rPr>
                <w:sz w:val="20"/>
                <w:szCs w:val="20"/>
                <w:color w:val="auto"/>
              </w:rPr>
            </w:pPr>
            <w:r>
              <w:rPr>
                <w:rFonts w:ascii="Arial" w:cs="Arial" w:eastAsia="Arial" w:hAnsi="Arial"/>
                <w:sz w:val="14"/>
                <w:szCs w:val="14"/>
                <w:color w:val="auto"/>
              </w:rPr>
              <w:t>NBCUniversal Media, LLC</w:t>
            </w:r>
          </w:p>
        </w:tc>
        <w:tc>
          <w:tcPr>
            <w:tcW w:w="600" w:type="dxa"/>
            <w:vAlign w:val="bottom"/>
            <w:vMerge w:val="restart"/>
          </w:tcPr>
          <w:p>
            <w:pPr>
              <w:ind w:left="340"/>
              <w:spacing w:after="0"/>
              <w:rPr>
                <w:sz w:val="20"/>
                <w:szCs w:val="20"/>
                <w:color w:val="auto"/>
              </w:rPr>
            </w:pPr>
            <w:r>
              <w:rPr>
                <w:rFonts w:ascii="Arial" w:cs="Arial" w:eastAsia="Arial" w:hAnsi="Arial"/>
                <w:sz w:val="14"/>
                <w:szCs w:val="14"/>
                <w:color w:val="auto"/>
                <w:w w:val="99"/>
              </w:rPr>
              <w:t>Yes</w:t>
            </w:r>
          </w:p>
        </w:tc>
        <w:tc>
          <w:tcPr>
            <w:tcW w:w="460" w:type="dxa"/>
            <w:vAlign w:val="bottom"/>
            <w:vMerge w:val="restart"/>
          </w:tcPr>
          <w:p>
            <w:pPr>
              <w:ind w:left="60"/>
              <w:spacing w:after="0"/>
              <w:rPr>
                <w:sz w:val="20"/>
                <w:szCs w:val="20"/>
                <w:color w:val="auto"/>
              </w:rPr>
            </w:pPr>
            <w:r>
              <w:rPr>
                <w:rFonts w:ascii="Arial" w:cs="Arial" w:eastAsia="Arial" w:hAnsi="Arial"/>
                <w:sz w:val="14"/>
                <w:szCs w:val="14"/>
                <w:color w:val="auto"/>
              </w:rPr>
              <w:t>c</w:t>
            </w:r>
          </w:p>
        </w:tc>
        <w:tc>
          <w:tcPr>
            <w:tcW w:w="700" w:type="dxa"/>
            <w:vAlign w:val="bottom"/>
            <w:vMerge w:val="restart"/>
          </w:tcPr>
          <w:p>
            <w:pPr>
              <w:ind w:left="440"/>
              <w:spacing w:after="0"/>
              <w:rPr>
                <w:sz w:val="20"/>
                <w:szCs w:val="20"/>
                <w:color w:val="auto"/>
              </w:rPr>
            </w:pPr>
            <w:r>
              <w:rPr>
                <w:rFonts w:ascii="Arial" w:cs="Arial" w:eastAsia="Arial" w:hAnsi="Arial"/>
                <w:sz w:val="14"/>
                <w:szCs w:val="14"/>
                <w:color w:val="auto"/>
              </w:rPr>
              <w:t>No</w:t>
            </w:r>
          </w:p>
        </w:tc>
        <w:tc>
          <w:tcPr>
            <w:tcW w:w="140" w:type="dxa"/>
            <w:vAlign w:val="bottom"/>
            <w:vMerge w:val="restart"/>
          </w:tcPr>
          <w:p>
            <w:pPr>
              <w:ind w:left="80"/>
              <w:spacing w:after="0"/>
              <w:rPr>
                <w:sz w:val="20"/>
                <w:szCs w:val="20"/>
                <w:color w:val="auto"/>
              </w:rPr>
            </w:pPr>
            <w:r>
              <w:rPr>
                <w:rFonts w:ascii="Arial" w:cs="Arial" w:eastAsia="Arial" w:hAnsi="Arial"/>
                <w:sz w:val="11"/>
                <w:szCs w:val="11"/>
                <w:color w:val="auto"/>
                <w:w w:val="71"/>
              </w:rPr>
              <w:t>x</w:t>
            </w:r>
          </w:p>
        </w:tc>
        <w:tc>
          <w:tcPr>
            <w:tcW w:w="0" w:type="dxa"/>
            <w:vAlign w:val="bottom"/>
          </w:tcPr>
          <w:p>
            <w:pPr>
              <w:spacing w:after="0"/>
              <w:rPr>
                <w:sz w:val="1"/>
                <w:szCs w:val="1"/>
                <w:color w:val="auto"/>
              </w:rPr>
            </w:pPr>
          </w:p>
        </w:tc>
      </w:tr>
      <w:tr>
        <w:trPr>
          <w:trHeight w:val="68"/>
        </w:trPr>
        <w:tc>
          <w:tcPr>
            <w:tcW w:w="63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55"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registrant’s classes of stock, as of the latest practical date:</w:t>
      </w:r>
    </w:p>
    <w:p>
      <w:pPr>
        <w:spacing w:after="0" w:line="55" w:lineRule="exact"/>
        <w:rPr>
          <w:sz w:val="24"/>
          <w:szCs w:val="24"/>
          <w:color w:val="auto"/>
        </w:rPr>
      </w:pPr>
    </w:p>
    <w:p>
      <w:pPr>
        <w:spacing w:after="0"/>
        <w:rPr>
          <w:sz w:val="20"/>
          <w:szCs w:val="20"/>
          <w:color w:val="auto"/>
        </w:rPr>
      </w:pPr>
      <w:r>
        <w:rPr>
          <w:rFonts w:ascii="Arial" w:cs="Arial" w:eastAsia="Arial" w:hAnsi="Arial"/>
          <w:sz w:val="13"/>
          <w:szCs w:val="13"/>
          <w:color w:val="auto"/>
        </w:rPr>
        <w:t>As of June 30, 2017, there were 4,703,928,010 shares of Comcast Corporation Class A common stock and 9,444,375 shares of Comcast Corporation Class B common stock outstanding.</w:t>
      </w:r>
    </w:p>
    <w:p>
      <w:pPr>
        <w:spacing w:after="0" w:line="67" w:lineRule="exact"/>
        <w:rPr>
          <w:sz w:val="24"/>
          <w:szCs w:val="24"/>
          <w:color w:val="auto"/>
        </w:rPr>
      </w:pPr>
    </w:p>
    <w:p>
      <w:pPr>
        <w:spacing w:after="0"/>
        <w:rPr>
          <w:sz w:val="20"/>
          <w:szCs w:val="20"/>
          <w:color w:val="auto"/>
        </w:rPr>
      </w:pPr>
      <w:r>
        <w:rPr>
          <w:rFonts w:ascii="Arial" w:cs="Arial" w:eastAsia="Arial" w:hAnsi="Arial"/>
          <w:sz w:val="14"/>
          <w:szCs w:val="14"/>
          <w:color w:val="auto"/>
        </w:rPr>
        <w:t>Not applicable for NBCUniversal Media, LLC.</w:t>
      </w:r>
    </w:p>
    <w:p>
      <w:pPr>
        <w:spacing w:after="0" w:line="5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NBCUniversal Media, LLC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8"/>
        </w:trPr>
        <w:tc>
          <w:tcPr>
            <w:tcW w:w="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0580" w:type="dxa"/>
            <w:vAlign w:val="bottom"/>
            <w:gridSpan w:val="22"/>
          </w:tcPr>
          <w:p>
            <w:pPr>
              <w:spacing w:after="0" w:line="20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w:t>
            </w:r>
          </w:p>
        </w:tc>
        <w:tc>
          <w:tcPr>
            <w:tcW w:w="31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Comcast Corporation Financial Statements</w:t>
              </w:r>
            </w:hyperlink>
          </w:p>
        </w:tc>
        <w:tc>
          <w:tcPr>
            <w:tcW w:w="6000" w:type="dxa"/>
            <w:vAlign w:val="bottom"/>
            <w:gridSpan w:val="10"/>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0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 as of June 30, 2017 and December 31, 2016 (Unaudited)</w:t>
              </w:r>
            </w:hyperlink>
          </w:p>
        </w:tc>
        <w:tc>
          <w:tcPr>
            <w:tcW w:w="80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00" w:type="dxa"/>
            <w:vAlign w:val="bottom"/>
            <w:gridSpan w:val="20"/>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Condensed Consolidated Statement of Income for the Three and Six Months Ended June 30, 2017 and 2016 (Unaudited)</w:t>
              </w:r>
            </w:hyperlink>
          </w:p>
        </w:tc>
        <w:tc>
          <w:tcPr>
            <w:tcW w:w="80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00" w:type="dxa"/>
            <w:vAlign w:val="bottom"/>
            <w:gridSpan w:val="20"/>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 of Comprehensive Income for the Three and Six Months Ended June 30, 2017 and 2016</w:t>
              </w:r>
            </w:hyperlink>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(Unaudited)</w:t>
              </w:r>
            </w:hyperlink>
          </w:p>
        </w:tc>
        <w:tc>
          <w:tcPr>
            <w:tcW w:w="8060" w:type="dxa"/>
            <w:vAlign w:val="bottom"/>
            <w:tcBorders>
              <w:top w:val="single" w:sz="8" w:color="0000EE"/>
            </w:tcBorders>
            <w:gridSpan w:val="17"/>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196" w:lineRule="exact"/>
              <w:rPr>
                <w:rFonts w:ascii="Arial" w:cs="Arial" w:eastAsia="Arial" w:hAnsi="Arial"/>
                <w:sz w:val="18"/>
                <w:szCs w:val="18"/>
                <w:color w:val="auto"/>
              </w:rPr>
            </w:pPr>
            <w:hyperlink w:anchor="page6">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00" w:type="dxa"/>
            <w:vAlign w:val="bottom"/>
            <w:gridSpan w:val="20"/>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 of Cash Flows for the Six Months Ended June 30, 2017 and 2016 (Unaudited)</w:t>
              </w:r>
            </w:hyperlink>
          </w:p>
        </w:tc>
        <w:tc>
          <w:tcPr>
            <w:tcW w:w="80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00" w:type="dxa"/>
            <w:vAlign w:val="bottom"/>
            <w:gridSpan w:val="20"/>
          </w:tcPr>
          <w:p>
            <w:pPr>
              <w:spacing w:after="0"/>
              <w:rPr>
                <w:rFonts w:ascii="Arial" w:cs="Arial" w:eastAsia="Arial" w:hAnsi="Arial"/>
                <w:sz w:val="18"/>
                <w:szCs w:val="18"/>
                <w:color w:val="0000EE"/>
                <w:w w:val="94"/>
              </w:rPr>
            </w:pPr>
            <w:hyperlink w:anchor="page8">
              <w:r>
                <w:rPr>
                  <w:rFonts w:ascii="Arial" w:cs="Arial" w:eastAsia="Arial" w:hAnsi="Arial"/>
                  <w:sz w:val="18"/>
                  <w:szCs w:val="18"/>
                  <w:color w:val="0000EE"/>
                  <w:w w:val="94"/>
                </w:rPr>
                <w:t>Condensed Consolidated Statement of Changes in Equity for the Six Months Ended June 30, 2017 and 2016 (Unaudited)</w:t>
              </w:r>
            </w:hyperlink>
          </w:p>
        </w:tc>
        <w:tc>
          <w:tcPr>
            <w:tcW w:w="80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700" w:type="dxa"/>
            <w:vAlign w:val="bottom"/>
            <w:tcBorders>
              <w:top w:val="single" w:sz="8" w:color="0000EE"/>
            </w:tcBorders>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400" w:type="dxa"/>
            <w:vAlign w:val="bottom"/>
            <w:gridSpan w:val="2"/>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Discussion and Analysis of Financial Condition and Results of Operations</w:t>
              </w:r>
            </w:hyperlink>
          </w:p>
        </w:tc>
        <w:tc>
          <w:tcPr>
            <w:tcW w:w="2640" w:type="dxa"/>
            <w:vAlign w:val="bottom"/>
            <w:gridSpan w:val="6"/>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25</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3.</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Quantitative and Qualitative Disclosures About Market Risk</w:t>
              </w:r>
            </w:hyperlink>
          </w:p>
        </w:tc>
        <w:tc>
          <w:tcPr>
            <w:tcW w:w="4740" w:type="dxa"/>
            <w:vAlign w:val="bottom"/>
            <w:gridSpan w:val="8"/>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Controls and Procedures</w:t>
              </w:r>
            </w:hyperlink>
          </w:p>
        </w:tc>
        <w:tc>
          <w:tcPr>
            <w:tcW w:w="7320" w:type="dxa"/>
            <w:vAlign w:val="bottom"/>
            <w:gridSpan w:val="12"/>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580" w:type="dxa"/>
            <w:vAlign w:val="bottom"/>
            <w:gridSpan w:val="22"/>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 OTHER INFORMATION</w:t>
              </w:r>
            </w:hyperlink>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76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w:t>
            </w: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Legal Proceedings</w:t>
              </w:r>
            </w:hyperlink>
          </w:p>
        </w:tc>
        <w:tc>
          <w:tcPr>
            <w:tcW w:w="7760" w:type="dxa"/>
            <w:vAlign w:val="bottom"/>
            <w:gridSpan w:val="14"/>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1A.</w:t>
            </w:r>
          </w:p>
        </w:tc>
        <w:tc>
          <w:tcPr>
            <w:tcW w:w="9100" w:type="dxa"/>
            <w:vAlign w:val="bottom"/>
            <w:gridSpan w:val="2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80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476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9100" w:type="dxa"/>
            <w:vAlign w:val="bottom"/>
            <w:gridSpan w:val="2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Unregistered Sales of Equity Securities and Use of Proceeds</w:t>
              </w:r>
            </w:hyperlink>
          </w:p>
        </w:tc>
        <w:tc>
          <w:tcPr>
            <w:tcW w:w="80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5.</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Other Information</w:t>
              </w:r>
            </w:hyperlink>
          </w:p>
        </w:tc>
        <w:tc>
          <w:tcPr>
            <w:tcW w:w="3020" w:type="dxa"/>
            <w:vAlign w:val="bottom"/>
            <w:tcBorders>
              <w:top w:val="single" w:sz="8" w:color="0000EE"/>
            </w:tcBorders>
            <w:gridSpan w:val="6"/>
          </w:tcPr>
          <w:p>
            <w:pPr>
              <w:spacing w:after="0"/>
              <w:rPr>
                <w:sz w:val="21"/>
                <w:szCs w:val="21"/>
                <w:color w:val="auto"/>
              </w:rPr>
            </w:pPr>
          </w:p>
        </w:tc>
        <w:tc>
          <w:tcPr>
            <w:tcW w:w="4760" w:type="dxa"/>
            <w:vAlign w:val="bottom"/>
            <w:gridSpan w:val="9"/>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Item 6.</w:t>
            </w:r>
          </w:p>
        </w:tc>
        <w:tc>
          <w:tcPr>
            <w:tcW w:w="9100" w:type="dxa"/>
            <w:vAlign w:val="bottom"/>
            <w:gridSpan w:val="2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c>
          <w:tcPr>
            <w:tcW w:w="80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160" w:type="dxa"/>
            <w:vAlign w:val="bottom"/>
            <w:tcBorders>
              <w:bottom w:val="single" w:sz="8" w:color="0000EE"/>
            </w:tcBorders>
          </w:tcPr>
          <w:p>
            <w:pPr>
              <w:spacing w:after="0"/>
              <w:rPr>
                <w:rFonts w:ascii="Arial" w:cs="Arial" w:eastAsia="Arial" w:hAnsi="Arial"/>
                <w:sz w:val="18"/>
                <w:szCs w:val="18"/>
                <w:b w:val="1"/>
                <w:bCs w:val="1"/>
                <w:color w:val="0000EE"/>
                <w:w w:val="96"/>
              </w:rPr>
            </w:pPr>
            <w:hyperlink w:anchor="page45">
              <w:r>
                <w:rPr>
                  <w:rFonts w:ascii="Arial" w:cs="Arial" w:eastAsia="Arial" w:hAnsi="Arial"/>
                  <w:sz w:val="18"/>
                  <w:szCs w:val="18"/>
                  <w:b w:val="1"/>
                  <w:bCs w:val="1"/>
                  <w:color w:val="0000EE"/>
                  <w:w w:val="96"/>
                </w:rPr>
                <w:t>SIGNATURES</w:t>
              </w:r>
            </w:hyperlink>
          </w:p>
        </w:tc>
        <w:tc>
          <w:tcPr>
            <w:tcW w:w="320" w:type="dxa"/>
            <w:vAlign w:val="bottom"/>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580" w:type="dxa"/>
            <w:vAlign w:val="bottom"/>
            <w:gridSpan w:val="2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NBCUniversal Media, LLC Financial Statements</w:t>
              </w:r>
            </w:hyperlink>
          </w:p>
        </w:tc>
        <w:tc>
          <w:tcPr>
            <w:tcW w:w="800" w:type="dxa"/>
            <w:vAlign w:val="bottom"/>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48"/>
        </w:trPr>
        <w:tc>
          <w:tcPr>
            <w:tcW w:w="40" w:type="dxa"/>
            <w:vAlign w:val="bottom"/>
            <w:tcBorders>
              <w:bottom w:val="single" w:sz="8" w:color="auto"/>
            </w:tcBorders>
          </w:tcPr>
          <w:p>
            <w:pPr>
              <w:spacing w:after="0"/>
              <w:rPr>
                <w:sz w:val="4"/>
                <w:szCs w:val="4"/>
                <w:color w:val="auto"/>
              </w:rPr>
            </w:pPr>
          </w:p>
        </w:tc>
        <w:tc>
          <w:tcPr>
            <w:tcW w:w="1160" w:type="dxa"/>
            <w:vAlign w:val="bottom"/>
            <w:tcBorders>
              <w:top w:val="single" w:sz="8" w:color="0000EE"/>
              <w:bottom w:val="single" w:sz="8" w:color="auto"/>
            </w:tcBorders>
          </w:tcPr>
          <w:p>
            <w:pPr>
              <w:spacing w:after="0"/>
              <w:rPr>
                <w:sz w:val="4"/>
                <w:szCs w:val="4"/>
                <w:color w:val="auto"/>
              </w:rPr>
            </w:pPr>
          </w:p>
        </w:tc>
        <w:tc>
          <w:tcPr>
            <w:tcW w:w="320" w:type="dxa"/>
            <w:vAlign w:val="bottom"/>
            <w:tcBorders>
              <w:top w:val="single" w:sz="8" w:color="0000EE"/>
              <w:bottom w:val="single" w:sz="8" w:color="auto"/>
            </w:tcBorders>
          </w:tcPr>
          <w:p>
            <w:pPr>
              <w:spacing w:after="0"/>
              <w:rPr>
                <w:sz w:val="4"/>
                <w:szCs w:val="4"/>
                <w:color w:val="auto"/>
              </w:rPr>
            </w:pPr>
          </w:p>
        </w:tc>
        <w:tc>
          <w:tcPr>
            <w:tcW w:w="600" w:type="dxa"/>
            <w:vAlign w:val="bottom"/>
            <w:tcBorders>
              <w:top w:val="single" w:sz="8" w:color="0000EE"/>
              <w:bottom w:val="single" w:sz="8" w:color="auto"/>
            </w:tcBorders>
          </w:tcPr>
          <w:p>
            <w:pPr>
              <w:spacing w:after="0"/>
              <w:rPr>
                <w:sz w:val="4"/>
                <w:szCs w:val="4"/>
                <w:color w:val="auto"/>
              </w:rPr>
            </w:pPr>
          </w:p>
        </w:tc>
        <w:tc>
          <w:tcPr>
            <w:tcW w:w="28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380" w:type="dxa"/>
            <w:vAlign w:val="bottom"/>
            <w:tcBorders>
              <w:top w:val="single" w:sz="8" w:color="0000EE"/>
              <w:bottom w:val="single" w:sz="8" w:color="auto"/>
            </w:tcBorders>
          </w:tcPr>
          <w:p>
            <w:pPr>
              <w:spacing w:after="0"/>
              <w:rPr>
                <w:sz w:val="4"/>
                <w:szCs w:val="4"/>
                <w:color w:val="auto"/>
              </w:rPr>
            </w:pPr>
          </w:p>
        </w:tc>
        <w:tc>
          <w:tcPr>
            <w:tcW w:w="40" w:type="dxa"/>
            <w:vAlign w:val="bottom"/>
            <w:tcBorders>
              <w:top w:val="single" w:sz="8" w:color="0000EE"/>
              <w:bottom w:val="single" w:sz="8" w:color="auto"/>
            </w:tcBorders>
          </w:tcPr>
          <w:p>
            <w:pPr>
              <w:spacing w:after="0"/>
              <w:rPr>
                <w:sz w:val="4"/>
                <w:szCs w:val="4"/>
                <w:color w:val="auto"/>
              </w:rPr>
            </w:pPr>
          </w:p>
        </w:tc>
        <w:tc>
          <w:tcPr>
            <w:tcW w:w="20" w:type="dxa"/>
            <w:vAlign w:val="bottom"/>
            <w:tcBorders>
              <w:top w:val="single" w:sz="8" w:color="0000EE"/>
              <w:bottom w:val="single" w:sz="8" w:color="auto"/>
            </w:tcBorders>
          </w:tcPr>
          <w:p>
            <w:pPr>
              <w:spacing w:after="0"/>
              <w:rPr>
                <w:sz w:val="4"/>
                <w:szCs w:val="4"/>
                <w:color w:val="auto"/>
              </w:rPr>
            </w:pPr>
          </w:p>
        </w:tc>
        <w:tc>
          <w:tcPr>
            <w:tcW w:w="240" w:type="dxa"/>
            <w:vAlign w:val="bottom"/>
            <w:tcBorders>
              <w:top w:val="single" w:sz="8" w:color="0000EE"/>
              <w:bottom w:val="single" w:sz="8" w:color="auto"/>
            </w:tcBorders>
          </w:tcPr>
          <w:p>
            <w:pPr>
              <w:spacing w:after="0"/>
              <w:rPr>
                <w:sz w:val="4"/>
                <w:szCs w:val="4"/>
                <w:color w:val="auto"/>
              </w:rPr>
            </w:pPr>
          </w:p>
        </w:tc>
        <w:tc>
          <w:tcPr>
            <w:tcW w:w="200" w:type="dxa"/>
            <w:vAlign w:val="bottom"/>
            <w:tcBorders>
              <w:top w:val="single" w:sz="8" w:color="0000EE"/>
              <w:bottom w:val="single" w:sz="8" w:color="auto"/>
            </w:tcBorders>
          </w:tcPr>
          <w:p>
            <w:pPr>
              <w:spacing w:after="0"/>
              <w:rPr>
                <w:sz w:val="4"/>
                <w:szCs w:val="4"/>
                <w:color w:val="auto"/>
              </w:rPr>
            </w:pPr>
          </w:p>
        </w:tc>
        <w:tc>
          <w:tcPr>
            <w:tcW w:w="280" w:type="dxa"/>
            <w:vAlign w:val="bottom"/>
            <w:tcBorders>
              <w:top w:val="single" w:sz="8" w:color="0000EE"/>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Quarterly Report on Form 10-Q is a combined report being filed separately by Comcast Corporation (“Comcast”) and NBCUniversal Media, LLC (“NBCUniversal”). Comcast owns all of the common equity interests in NBCUniversal, and NBCUniversal meets the conditions set forth in General Instruction H(1)(a) and (b) of Form 10-Q and is therefore filing its information within this Form 10-Q with the reduced disclosure format. Each of Comcast and NBCUniversal is filing on its own behalf the information contained in this report that relates to itself, and neither company makes any representation as to information relating to the other company. Where information or an explanation is provided that is substantially the same for each company, such information or explanation has been combined in this report. Where information or an explanation is not substantially the same for each company, separate information and explanation has been provided. In addition, separate condensed consolidated financial statements for each company, along with notes to the condensed consolidated financial statements, are included in this report. Unless indicated otherwise, throughout this Quarterly Report on Form 10-Q, we refer to Comcast and its consolidated subsidiaries, including NBCUniversal and its consolidated subsidiaries, as “we,” “us” and “our;” Comcast Cable Communications, LLC and its consolidated subsidiaries as “Comcast Cable;” Comcast Holdings Corporation as “Comcast Holdings;” NBCUniversal, LLC as “NBCUniversal Holdings;” and NBCUniversal Enterprise, Inc. as “NBCUniversal Enterprise.”</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Quarterly Report on Form 10-Q is for the three and six months ended June 30, 2017. This Quarterly Report on Form 10-Q modifies and supersedes documents filed before it.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should carefully review the information contained in this Quarterly Report on Form 10-Q and particularly consider any risk factors set forth in this Quarterly Report on Form 10-Q and in other reports or documents that we file from time to time with the</w:t>
      </w:r>
    </w:p>
    <w:p>
      <w:pPr>
        <w:sectPr>
          <w:pgSz w:w="11900" w:h="16838" w:orient="portrait"/>
          <w:cols w:equalWidth="0" w:num="1">
            <w:col w:w="11420"/>
          </w:cols>
          <w:pgMar w:left="240" w:top="418" w:right="239" w:bottom="1440" w:gutter="0" w:footer="0" w:header="0"/>
        </w:sectPr>
      </w:pPr>
    </w:p>
    <w:bookmarkStart w:id="2" w:name="page3"/>
    <w:bookmarkEnd w:id="2"/>
    <w:p>
      <w:pPr>
        <w:jc w:val="both"/>
        <w:spacing w:after="0" w:line="273" w:lineRule="auto"/>
        <w:rPr>
          <w:sz w:val="20"/>
          <w:szCs w:val="20"/>
          <w:color w:val="auto"/>
        </w:rPr>
      </w:pPr>
      <w:r>
        <w:rPr>
          <w:rFonts w:ascii="Arial" w:cs="Arial" w:eastAsia="Arial" w:hAnsi="Arial"/>
          <w:sz w:val="17"/>
          <w:szCs w:val="17"/>
          <w:color w:val="auto"/>
        </w:rPr>
        <w:t>SEC. In this Quarterly Report on Form 10-Q,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these statements are only our predictions. In evaluating these statements, you should consider various factors, including the risks outlined below and in other reports we file with the SEC. Actual events or our actual results could differ materially from our forward-looking statements as a result of any such factors, which could adversely affect our businesses, results of operations or financial condition. We undertake no obligation to update any forward-looking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117"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behavior driven by new technologies and distribution platforms for viewing content may adversely affect our businesses and challenge existing business models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to existing statutes, rules, regulations, or interpretations thereof, or adoption of new ones, could have an adverse effect on our businesses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programming expenses for our video services are increasing, which could adversely affect our Cable Communications segment’s video business</w:t>
      </w:r>
    </w:p>
    <w:p>
      <w:pPr>
        <w:spacing w:after="0" w:line="8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businesses depend on using and protecting certain intellectual property rights and on not infringing the intellectual property rights of others</w:t>
      </w:r>
    </w:p>
    <w:p>
      <w:pPr>
        <w:spacing w:after="0" w:line="74"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and other strategic initiatives, including the launch of our wireless phone service, present many risks, and we may not realize the financial and strategic goals that we had contemplated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disputes, whether involving employees or sports organizations, may disrupt our operations and adversely affect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ectPr>
          <w:pgSz w:w="11900" w:h="16838" w:orient="portrait"/>
          <w:cols w:equalWidth="0" w:num="1">
            <w:col w:w="11420"/>
          </w:cols>
          <w:pgMar w:left="240" w:top="43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jc w:val="right"/>
              <w:ind w:right="531"/>
              <w:spacing w:after="0"/>
              <w:rPr>
                <w:sz w:val="20"/>
                <w:szCs w:val="20"/>
                <w:color w:val="auto"/>
              </w:rPr>
            </w:pPr>
            <w:r>
              <w:rPr>
                <w:rFonts w:ascii="Arial" w:cs="Arial" w:eastAsia="Arial" w:hAnsi="Arial"/>
                <w:sz w:val="14"/>
                <w:szCs w:val="14"/>
                <w:color w:val="auto"/>
              </w:rPr>
              <w:t>June 30,</w:t>
            </w:r>
          </w:p>
        </w:tc>
        <w:tc>
          <w:tcPr>
            <w:tcW w:w="34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r>
      <w:tr>
        <w:trPr>
          <w:trHeight w:val="188"/>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share data)</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2017</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2016</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2,693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3,301</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7,849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7,955</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Programming rights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1,633</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1,250</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2,657</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3,855</w:t>
            </w:r>
          </w:p>
        </w:tc>
      </w:tr>
      <w:tr>
        <w:trPr>
          <w:trHeight w:val="27"/>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14,832</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16,361</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6,595</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7,252</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6,521</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5,247</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$49,951 and $49,694</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37,171</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36,253</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59,364</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59,364</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36,742</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35,980</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Other intangible assets, net of accumulated amortization of $11,900 and $11,013</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18,907</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17,274</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2,899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2,769</w:t>
            </w:r>
          </w:p>
        </w:tc>
      </w:tr>
      <w:tr>
        <w:trPr>
          <w:trHeight w:val="27"/>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b w:val="1"/>
                <w:bCs w:val="1"/>
                <w:color w:val="auto"/>
              </w:rPr>
              <w:t>183,031</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180,500</w:t>
            </w:r>
          </w:p>
        </w:tc>
      </w:tr>
      <w:tr>
        <w:trPr>
          <w:trHeight w:val="34"/>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6,730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6,915</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Accrued participations and residuals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1,882</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1,726</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1,448</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1,132</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5,858</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6,282</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6,358</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5,480</w:t>
            </w:r>
          </w:p>
        </w:tc>
      </w:tr>
      <w:tr>
        <w:trPr>
          <w:trHeight w:val="27"/>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22,276</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21,535</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57,210</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55,566</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35,409</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34,854</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10,837</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10,925</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Commitments and contingencies (Note 10)</w:t>
            </w: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1,451</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1,446</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Preferred stock—authorized, 20,000,000 shares; issued, zero</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56"/>
        </w:trPr>
        <w:tc>
          <w:tcPr>
            <w:tcW w:w="8200" w:type="dxa"/>
            <w:vAlign w:val="bottom"/>
          </w:tcPr>
          <w:p>
            <w:pPr>
              <w:ind w:left="380"/>
              <w:spacing w:after="0"/>
              <w:rPr>
                <w:sz w:val="20"/>
                <w:szCs w:val="20"/>
                <w:color w:val="auto"/>
              </w:rPr>
            </w:pPr>
            <w:r>
              <w:rPr>
                <w:rFonts w:ascii="Arial" w:cs="Arial" w:eastAsia="Arial" w:hAnsi="Arial"/>
                <w:sz w:val="18"/>
                <w:szCs w:val="18"/>
                <w:color w:val="auto"/>
                <w:w w:val="94"/>
              </w:rPr>
              <w:t>Class A common stock, $0.01 par value—authorized, 7,500,000,000 shares; issued, 5,576,719,038 and</w:t>
            </w: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8200" w:type="dxa"/>
            <w:vAlign w:val="bottom"/>
          </w:tcPr>
          <w:p>
            <w:pPr>
              <w:ind w:left="540"/>
              <w:spacing w:after="0"/>
              <w:rPr>
                <w:sz w:val="20"/>
                <w:szCs w:val="20"/>
                <w:color w:val="auto"/>
              </w:rPr>
            </w:pPr>
            <w:r>
              <w:rPr>
                <w:rFonts w:ascii="Arial" w:cs="Arial" w:eastAsia="Arial" w:hAnsi="Arial"/>
                <w:sz w:val="18"/>
                <w:szCs w:val="18"/>
                <w:color w:val="auto"/>
              </w:rPr>
              <w:t>5,614,950,039; outstanding, 4,703,928,010 and 4,742,159,011</w:t>
            </w:r>
          </w:p>
        </w:tc>
        <w:tc>
          <w:tcPr>
            <w:tcW w:w="34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56</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w w:val="90"/>
              </w:rPr>
              <w:t>Class B common stock, $0.01 par value—authorized, 75,000,000 shares; issued and outstanding, 9,444,375</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37,478</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38,230</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24,560</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23,076</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Treasury stock, 872,791,028 Class A common shares</w:t>
            </w:r>
          </w:p>
        </w:tc>
        <w:tc>
          <w:tcPr>
            <w:tcW w:w="340" w:type="dxa"/>
            <w:vAlign w:val="bottom"/>
          </w:tcPr>
          <w:p>
            <w:pPr>
              <w:spacing w:after="0"/>
              <w:rPr>
                <w:sz w:val="23"/>
                <w:szCs w:val="23"/>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(7,517)</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(7,517)</w:t>
            </w:r>
          </w:p>
        </w:tc>
      </w:tr>
      <w:tr>
        <w:trPr>
          <w:trHeight w:val="270"/>
        </w:trPr>
        <w:tc>
          <w:tcPr>
            <w:tcW w:w="820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428</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98</w:t>
            </w:r>
          </w:p>
        </w:tc>
      </w:tr>
      <w:tr>
        <w:trPr>
          <w:trHeight w:val="27"/>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Comcast Corporation shareholders’ equity</w:t>
            </w:r>
          </w:p>
        </w:tc>
        <w:tc>
          <w:tcPr>
            <w:tcW w:w="34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55,005</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53,943</w:t>
            </w:r>
          </w:p>
        </w:tc>
      </w:tr>
      <w:tr>
        <w:trPr>
          <w:trHeight w:val="270"/>
        </w:trPr>
        <w:tc>
          <w:tcPr>
            <w:tcW w:w="82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spacing w:after="0"/>
              <w:rPr>
                <w:sz w:val="23"/>
                <w:szCs w:val="23"/>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843</w:t>
            </w:r>
          </w:p>
        </w:tc>
        <w:tc>
          <w:tcPr>
            <w:tcW w:w="34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2,231</w:t>
            </w:r>
          </w:p>
        </w:tc>
      </w:tr>
      <w:tr>
        <w:trPr>
          <w:trHeight w:val="27"/>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34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55,848</w:t>
            </w:r>
          </w:p>
        </w:tc>
        <w:tc>
          <w:tcPr>
            <w:tcW w:w="34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56,174</w:t>
            </w:r>
          </w:p>
        </w:tc>
      </w:tr>
      <w:tr>
        <w:trPr>
          <w:trHeight w:val="27"/>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b w:val="1"/>
                <w:bCs w:val="1"/>
                <w:color w:val="auto"/>
              </w:rPr>
              <w:t>183,031</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180,500</w:t>
            </w:r>
          </w:p>
        </w:tc>
      </w:tr>
      <w:tr>
        <w:trPr>
          <w:trHeight w:val="34"/>
        </w:trPr>
        <w:tc>
          <w:tcPr>
            <w:tcW w:w="8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1"/>
        </w:trPr>
        <w:tc>
          <w:tcPr>
            <w:tcW w:w="82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420"/>
          </w:cols>
          <w:pgMar w:left="240" w:top="175" w:right="239"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75"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2017</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2016</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2017</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21,165</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19,269</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41,628</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38,059</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6,341</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5,492</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12,415</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10,923</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6,060</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5,763</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11,887</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11,289</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1,665</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1,559</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3,195</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3,025</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1,970</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1,868</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3,885</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3,653</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571</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521</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1,158</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1,014</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16,607</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15,203</w:t>
            </w:r>
          </w:p>
        </w:tc>
        <w:tc>
          <w:tcPr>
            <w:tcW w:w="48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32,540</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29,904</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4,558</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4,066</w:t>
            </w:r>
          </w:p>
        </w:tc>
        <w:tc>
          <w:tcPr>
            <w:tcW w:w="48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9,088</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8,155</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(758)</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(732)</w:t>
            </w:r>
          </w:p>
        </w:tc>
        <w:tc>
          <w:tcPr>
            <w:tcW w:w="48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(1,513)</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(1,435)</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Investment income (loss), net</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64</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58</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123</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88</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Equity in net income (losses) of investees, net</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15</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23"/>
                <w:szCs w:val="23"/>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55</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115</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(659)</w:t>
            </w:r>
          </w:p>
        </w:tc>
        <w:tc>
          <w:tcPr>
            <w:tcW w:w="6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(708)</w:t>
            </w:r>
          </w:p>
        </w:tc>
        <w:tc>
          <w:tcPr>
            <w:tcW w:w="48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(1,284)</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(1,262)</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3,899</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3,358</w:t>
            </w:r>
          </w:p>
        </w:tc>
        <w:tc>
          <w:tcPr>
            <w:tcW w:w="48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7,804</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6,893</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(1,364)</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(1,278)</w:t>
            </w:r>
          </w:p>
        </w:tc>
        <w:tc>
          <w:tcPr>
            <w:tcW w:w="480" w:type="dxa"/>
            <w:vAlign w:val="bottom"/>
          </w:tcPr>
          <w:p>
            <w:pPr>
              <w:spacing w:after="0"/>
              <w:rPr>
                <w:sz w:val="23"/>
                <w:szCs w:val="23"/>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(2,622)</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(2,589)</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2,535</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2,080</w:t>
            </w:r>
          </w:p>
        </w:tc>
        <w:tc>
          <w:tcPr>
            <w:tcW w:w="48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5,182</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4,304</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8"/>
              </w:rPr>
              <w:t>Net (income) loss attributable to noncontrolling interests and</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360" w:type="dxa"/>
            <w:vAlign w:val="bottom"/>
          </w:tcPr>
          <w:p>
            <w:pPr>
              <w:spacing w:after="0"/>
              <w:rPr>
                <w:sz w:val="20"/>
                <w:szCs w:val="20"/>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(22)</w:t>
            </w:r>
          </w:p>
        </w:tc>
        <w:tc>
          <w:tcPr>
            <w:tcW w:w="6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(52)</w:t>
            </w:r>
          </w:p>
        </w:tc>
        <w:tc>
          <w:tcPr>
            <w:tcW w:w="480" w:type="dxa"/>
            <w:vAlign w:val="bottom"/>
          </w:tcPr>
          <w:p>
            <w:pPr>
              <w:spacing w:after="0"/>
              <w:rPr>
                <w:sz w:val="20"/>
                <w:szCs w:val="20"/>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(103)</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b w:val="1"/>
                <w:bCs w:val="1"/>
                <w:color w:val="auto"/>
              </w:rPr>
              <w:t>2,513</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2,028</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5,079</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4,162</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5"/>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w w:val="94"/>
              </w:rPr>
              <w:t>Basic earnings per common share attributable to Comcast</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4800" w:type="dxa"/>
            <w:vAlign w:val="bottom"/>
          </w:tcPr>
          <w:p>
            <w:pPr>
              <w:ind w:left="200"/>
              <w:spacing w:after="0"/>
              <w:rPr>
                <w:sz w:val="20"/>
                <w:szCs w:val="20"/>
                <w:color w:val="auto"/>
              </w:rPr>
            </w:pPr>
            <w:r>
              <w:rPr>
                <w:rFonts w:ascii="Arial" w:cs="Arial" w:eastAsia="Arial" w:hAnsi="Arial"/>
                <w:sz w:val="18"/>
                <w:szCs w:val="18"/>
                <w:b w:val="1"/>
                <w:bCs w:val="1"/>
                <w:color w:val="auto"/>
              </w:rPr>
              <w:t>Corporation shareholders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b w:val="1"/>
                <w:bCs w:val="1"/>
                <w:color w:val="auto"/>
              </w:rPr>
              <w:t>0.53</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0.42</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1.07</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0.86</w:t>
            </w:r>
          </w:p>
        </w:tc>
      </w:tr>
      <w:tr>
        <w:trPr>
          <w:trHeight w:val="252"/>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w w:val="92"/>
              </w:rPr>
              <w:t>Diluted earnings per common share attributable to Comcast</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4"/>
        </w:trPr>
        <w:tc>
          <w:tcPr>
            <w:tcW w:w="4800" w:type="dxa"/>
            <w:vAlign w:val="bottom"/>
          </w:tcPr>
          <w:p>
            <w:pPr>
              <w:ind w:left="200"/>
              <w:spacing w:after="0"/>
              <w:rPr>
                <w:sz w:val="20"/>
                <w:szCs w:val="20"/>
                <w:color w:val="auto"/>
              </w:rPr>
            </w:pPr>
            <w:r>
              <w:rPr>
                <w:rFonts w:ascii="Arial" w:cs="Arial" w:eastAsia="Arial" w:hAnsi="Arial"/>
                <w:sz w:val="18"/>
                <w:szCs w:val="18"/>
                <w:b w:val="1"/>
                <w:bCs w:val="1"/>
                <w:color w:val="auto"/>
              </w:rPr>
              <w:t>Corporation shareholders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b w:val="1"/>
                <w:bCs w:val="1"/>
                <w:color w:val="auto"/>
              </w:rPr>
              <w:t>0.52</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0.41</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1.05</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0.85</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b w:val="1"/>
                <w:bCs w:val="1"/>
                <w:color w:val="auto"/>
              </w:rPr>
              <w:t>0.1575</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0.1375</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2"/>
              <w:spacing w:after="0"/>
              <w:rPr>
                <w:sz w:val="20"/>
                <w:szCs w:val="20"/>
                <w:color w:val="auto"/>
              </w:rPr>
            </w:pPr>
            <w:r>
              <w:rPr>
                <w:rFonts w:ascii="Arial" w:cs="Arial" w:eastAsia="Arial" w:hAnsi="Arial"/>
                <w:sz w:val="18"/>
                <w:szCs w:val="18"/>
                <w:b w:val="1"/>
                <w:bCs w:val="1"/>
                <w:color w:val="auto"/>
              </w:rPr>
              <w:t>0.315</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0.275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2017</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2016</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2017</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2,535</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2,080</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5,182</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4,304</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 net of</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deferred taxes of $52, $—, $(9) and $(1)</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(87)</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17</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89"/>
              </w:rPr>
              <w:t>Deferred gains (losses) on cash flow hedges, net of deferred taxes</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of $(3), $35, $(7) and $53</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(60)</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12</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Amounts reclassified to net income:</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6"/>
        </w:trPr>
        <w:tc>
          <w:tcPr>
            <w:tcW w:w="4800" w:type="dxa"/>
            <w:vAlign w:val="bottom"/>
          </w:tcPr>
          <w:p>
            <w:pPr>
              <w:ind w:left="380"/>
              <w:spacing w:after="0"/>
              <w:rPr>
                <w:sz w:val="20"/>
                <w:szCs w:val="20"/>
                <w:color w:val="auto"/>
              </w:rPr>
            </w:pPr>
            <w:r>
              <w:rPr>
                <w:rFonts w:ascii="Arial" w:cs="Arial" w:eastAsia="Arial" w:hAnsi="Arial"/>
                <w:sz w:val="18"/>
                <w:szCs w:val="18"/>
                <w:color w:val="auto"/>
                <w:w w:val="99"/>
              </w:rPr>
              <w:t>Realized (gains) losses on marketable securities, net of</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540"/>
              <w:spacing w:after="0"/>
              <w:rPr>
                <w:sz w:val="20"/>
                <w:szCs w:val="20"/>
                <w:color w:val="auto"/>
              </w:rPr>
            </w:pPr>
            <w:r>
              <w:rPr>
                <w:rFonts w:ascii="Arial" w:cs="Arial" w:eastAsia="Arial" w:hAnsi="Arial"/>
                <w:sz w:val="18"/>
                <w:szCs w:val="18"/>
                <w:color w:val="auto"/>
              </w:rPr>
              <w:t>deferred taxes of $—, $—, $— and $1</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6"/>
        </w:trPr>
        <w:tc>
          <w:tcPr>
            <w:tcW w:w="4800" w:type="dxa"/>
            <w:vAlign w:val="bottom"/>
          </w:tcPr>
          <w:p>
            <w:pPr>
              <w:ind w:left="380"/>
              <w:spacing w:after="0"/>
              <w:rPr>
                <w:sz w:val="20"/>
                <w:szCs w:val="20"/>
                <w:color w:val="auto"/>
              </w:rPr>
            </w:pPr>
            <w:r>
              <w:rPr>
                <w:rFonts w:ascii="Arial" w:cs="Arial" w:eastAsia="Arial" w:hAnsi="Arial"/>
                <w:sz w:val="18"/>
                <w:szCs w:val="18"/>
                <w:color w:val="auto"/>
                <w:w w:val="91"/>
              </w:rPr>
              <w:t>Realized (gains) losses on cash flow hedges, net of deferred</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540"/>
              <w:spacing w:after="0"/>
              <w:rPr>
                <w:sz w:val="20"/>
                <w:szCs w:val="20"/>
                <w:color w:val="auto"/>
              </w:rPr>
            </w:pPr>
            <w:r>
              <w:rPr>
                <w:rFonts w:ascii="Arial" w:cs="Arial" w:eastAsia="Arial" w:hAnsi="Arial"/>
                <w:sz w:val="18"/>
                <w:szCs w:val="18"/>
                <w:color w:val="auto"/>
              </w:rPr>
              <w:t>taxes of $8, $(26), $8 and $(36)</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(14)</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(14)</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62</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6"/>
              </w:rPr>
              <w:t>Employee benefit obligations, net of deferred taxes of $4, $—,</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$(33) and $(2)</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57</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7"/>
              </w:rPr>
              <w:t>Currency translation adjustments, net of deferred taxes of $2,</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$(58), $(39) and $(116)</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(11)</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249</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146</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487</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2,422</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2,315</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5,400</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4,766</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8"/>
              </w:rPr>
              <w:t>Net (income) loss attributable to noncontrolling interests and</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redeemable subsidiary preferred stock</w:t>
            </w:r>
          </w:p>
        </w:tc>
        <w:tc>
          <w:tcPr>
            <w:tcW w:w="360" w:type="dxa"/>
            <w:vAlign w:val="bottom"/>
          </w:tcPr>
          <w:p>
            <w:pPr>
              <w:spacing w:after="0"/>
              <w:rPr>
                <w:sz w:val="20"/>
                <w:szCs w:val="20"/>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(22)</w:t>
            </w:r>
          </w:p>
        </w:tc>
        <w:tc>
          <w:tcPr>
            <w:tcW w:w="6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(52)</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(103)</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1"/>
              </w:rPr>
              <w:t>Other comprehensive (income) loss attributable to noncontrolling</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(150)</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(82)</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w w:val="91"/>
              </w:rPr>
              <w:t>Comprehensive income attributable to Comcast Corporation</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b w:val="1"/>
                <w:bCs w:val="1"/>
                <w:color w:val="auto"/>
              </w:rPr>
              <w:t>2,405</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2,113</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b w:val="1"/>
                <w:bCs w:val="1"/>
                <w:color w:val="auto"/>
              </w:rPr>
              <w:t>5,215</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4,337</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1"/>
        </w:trPr>
        <w:tc>
          <w:tcPr>
            <w:tcW w:w="48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539"/>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574"/>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2017</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10,814</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9,794</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(4,405)</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(4,156)</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Cash paid for intangible assets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(836)</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(737)</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Acquisitions and construction of real estate properties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(250)</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Acquisitions, net of cash acquired</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(398)</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sales of investments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57</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138</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(1,825)</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170</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6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b w:val="1"/>
                <w:bCs w:val="1"/>
                <w:color w:val="auto"/>
              </w:rPr>
              <w:t>(7,487)</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(5,828)</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(repayments of) short-term borrowings, net</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(1,695)</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205</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Proceeds from borrowings</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8,963</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4,753</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Repurchases and repayments of debt</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(4,967)</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(2,551)</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Repurchases of common stock under repurchase program and employee plans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(2,476)</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(2,636)</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(1,404)</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(1,281)</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Purchase of Universal Studios Japan noncontrolling interests</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(2,299)</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Issuances of common stock</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360" w:type="dxa"/>
            <w:vAlign w:val="bottom"/>
          </w:tcPr>
          <w:p>
            <w:pPr>
              <w:spacing w:after="0"/>
              <w:rPr>
                <w:sz w:val="23"/>
                <w:szCs w:val="23"/>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(137)</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80</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6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b w:val="1"/>
                <w:bCs w:val="1"/>
                <w:color w:val="auto"/>
              </w:rPr>
              <w:t>(3,935)</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(1,596)</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60" w:type="dxa"/>
            <w:vAlign w:val="bottom"/>
          </w:tcPr>
          <w:p>
            <w:pPr>
              <w:spacing w:after="0"/>
              <w:rPr>
                <w:sz w:val="20"/>
                <w:szCs w:val="20"/>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(608)</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2,370</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Pr>
          <w:p>
            <w:pPr>
              <w:spacing w:after="0"/>
              <w:rPr>
                <w:sz w:val="23"/>
                <w:szCs w:val="23"/>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3,301</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2,295</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2,693</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4,665</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1"/>
        </w:trPr>
        <w:tc>
          <w:tcPr>
            <w:tcW w:w="82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539"/>
        </w:trPr>
        <w:tc>
          <w:tcPr>
            <w:tcW w:w="8240" w:type="dxa"/>
            <w:vAlign w:val="bottom"/>
          </w:tcPr>
          <w:p>
            <w:pPr>
              <w:ind w:left="566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Borders>
              <w:right w:val="single" w:sz="8" w:color="auto"/>
            </w:tcBorders>
          </w:tcPr>
          <w:p>
            <w:pPr>
              <w:jc w:val="center"/>
              <w:ind w:right="97"/>
              <w:spacing w:after="0"/>
              <w:rPr>
                <w:sz w:val="20"/>
                <w:szCs w:val="20"/>
                <w:color w:val="auto"/>
              </w:rPr>
            </w:pPr>
            <w:r>
              <w:rPr>
                <w:rFonts w:ascii="Arial" w:cs="Arial" w:eastAsia="Arial" w:hAnsi="Arial"/>
                <w:sz w:val="14"/>
                <w:szCs w:val="14"/>
                <w:color w:val="auto"/>
                <w:w w:val="88"/>
              </w:rPr>
              <w:t>Redeemable</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Borders>
              <w:right w:val="single" w:sz="8" w:color="auto"/>
            </w:tcBorders>
          </w:tcPr>
          <w:p>
            <w:pPr>
              <w:jc w:val="center"/>
              <w:ind w:right="117"/>
              <w:spacing w:after="0" w:line="149" w:lineRule="exact"/>
              <w:rPr>
                <w:sz w:val="20"/>
                <w:szCs w:val="20"/>
                <w:color w:val="auto"/>
              </w:rPr>
            </w:pPr>
            <w:r>
              <w:rPr>
                <w:rFonts w:ascii="Arial" w:cs="Arial" w:eastAsia="Arial" w:hAnsi="Arial"/>
                <w:sz w:val="14"/>
                <w:szCs w:val="14"/>
                <w:color w:val="auto"/>
                <w:w w:val="98"/>
              </w:rPr>
              <w:t>Noncontrolling</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Borders>
              <w:right w:val="single" w:sz="8" w:color="auto"/>
            </w:tcBorders>
          </w:tcPr>
          <w:p>
            <w:pPr>
              <w:jc w:val="center"/>
              <w:ind w:right="97"/>
              <w:spacing w:after="0" w:line="149" w:lineRule="exact"/>
              <w:rPr>
                <w:sz w:val="20"/>
                <w:szCs w:val="20"/>
                <w:color w:val="auto"/>
              </w:rPr>
            </w:pPr>
            <w:r>
              <w:rPr>
                <w:rFonts w:ascii="Arial" w:cs="Arial" w:eastAsia="Arial" w:hAnsi="Arial"/>
                <w:sz w:val="14"/>
                <w:szCs w:val="14"/>
                <w:color w:val="auto"/>
                <w:w w:val="91"/>
              </w:rPr>
              <w:t>Interests and</w:t>
            </w:r>
          </w:p>
        </w:tc>
        <w:tc>
          <w:tcPr>
            <w:tcW w:w="160" w:type="dxa"/>
            <w:vAlign w:val="bottom"/>
          </w:tcPr>
          <w:p>
            <w:pPr>
              <w:spacing w:after="0"/>
              <w:rPr>
                <w:sz w:val="12"/>
                <w:szCs w:val="12"/>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57"/>
              <w:spacing w:after="0" w:line="149" w:lineRule="exact"/>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Borders>
              <w:right w:val="single" w:sz="8" w:color="auto"/>
            </w:tcBorders>
          </w:tcPr>
          <w:p>
            <w:pPr>
              <w:jc w:val="center"/>
              <w:ind w:right="97"/>
              <w:spacing w:after="0" w:line="121" w:lineRule="exact"/>
              <w:rPr>
                <w:sz w:val="20"/>
                <w:szCs w:val="20"/>
                <w:color w:val="auto"/>
              </w:rPr>
            </w:pPr>
            <w:r>
              <w:rPr>
                <w:rFonts w:ascii="Arial" w:cs="Arial" w:eastAsia="Arial" w:hAnsi="Arial"/>
                <w:sz w:val="13"/>
                <w:szCs w:val="13"/>
                <w:color w:val="auto"/>
                <w:w w:val="94"/>
              </w:rPr>
              <w:t>Redeemable</w:t>
            </w:r>
          </w:p>
        </w:tc>
        <w:tc>
          <w:tcPr>
            <w:tcW w:w="1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54"/>
              <w:spacing w:after="0" w:line="121" w:lineRule="exact"/>
              <w:rPr>
                <w:sz w:val="20"/>
                <w:szCs w:val="20"/>
                <w:color w:val="auto"/>
              </w:rPr>
            </w:pPr>
            <w:r>
              <w:rPr>
                <w:rFonts w:ascii="Arial" w:cs="Arial" w:eastAsia="Arial" w:hAnsi="Arial"/>
                <w:sz w:val="13"/>
                <w:szCs w:val="13"/>
                <w:color w:val="auto"/>
              </w:rPr>
              <w:t>Additional</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ind w:left="40"/>
              <w:spacing w:after="0" w:line="121" w:lineRule="exact"/>
              <w:rPr>
                <w:sz w:val="20"/>
                <w:szCs w:val="20"/>
                <w:color w:val="auto"/>
              </w:rPr>
            </w:pPr>
            <w:r>
              <w:rPr>
                <w:rFonts w:ascii="Arial" w:cs="Arial" w:eastAsia="Arial" w:hAnsi="Arial"/>
                <w:sz w:val="13"/>
                <w:szCs w:val="13"/>
                <w:color w:val="auto"/>
              </w:rPr>
              <w:t>Treasury</w:t>
            </w:r>
          </w:p>
        </w:tc>
        <w:tc>
          <w:tcPr>
            <w:tcW w:w="160" w:type="dxa"/>
            <w:vAlign w:val="bottom"/>
          </w:tcPr>
          <w:p>
            <w:pPr>
              <w:spacing w:after="0"/>
              <w:rPr>
                <w:sz w:val="10"/>
                <w:szCs w:val="10"/>
                <w:color w:val="auto"/>
              </w:rPr>
            </w:pPr>
          </w:p>
        </w:tc>
        <w:tc>
          <w:tcPr>
            <w:tcW w:w="1100" w:type="dxa"/>
            <w:vAlign w:val="bottom"/>
          </w:tcPr>
          <w:p>
            <w:pPr>
              <w:jc w:val="center"/>
              <w:ind w:right="57"/>
              <w:spacing w:after="0" w:line="121" w:lineRule="exact"/>
              <w:rPr>
                <w:sz w:val="20"/>
                <w:szCs w:val="20"/>
                <w:color w:val="auto"/>
              </w:rPr>
            </w:pPr>
            <w:r>
              <w:rPr>
                <w:rFonts w:ascii="Arial" w:cs="Arial" w:eastAsia="Arial" w:hAnsi="Arial"/>
                <w:sz w:val="13"/>
                <w:szCs w:val="13"/>
                <w:color w:val="auto"/>
                <w:w w:val="98"/>
              </w:rPr>
              <w:t>Other</w:t>
            </w:r>
          </w:p>
        </w:tc>
        <w:tc>
          <w:tcPr>
            <w:tcW w:w="140" w:type="dxa"/>
            <w:vAlign w:val="bottom"/>
          </w:tcPr>
          <w:p>
            <w:pPr>
              <w:spacing w:after="0"/>
              <w:rPr>
                <w:sz w:val="10"/>
                <w:szCs w:val="10"/>
                <w:color w:val="auto"/>
              </w:rPr>
            </w:pPr>
          </w:p>
        </w:tc>
        <w:tc>
          <w:tcPr>
            <w:tcW w:w="760" w:type="dxa"/>
            <w:vAlign w:val="bottom"/>
          </w:tcPr>
          <w:p>
            <w:pPr>
              <w:jc w:val="center"/>
              <w:ind w:right="14"/>
              <w:spacing w:after="0" w:line="121" w:lineRule="exact"/>
              <w:rPr>
                <w:sz w:val="20"/>
                <w:szCs w:val="20"/>
                <w:color w:val="auto"/>
              </w:rPr>
            </w:pPr>
            <w:r>
              <w:rPr>
                <w:rFonts w:ascii="Arial" w:cs="Arial" w:eastAsia="Arial" w:hAnsi="Arial"/>
                <w:sz w:val="13"/>
                <w:szCs w:val="13"/>
                <w:color w:val="auto"/>
              </w:rPr>
              <w:t>Non-</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Borders>
              <w:right w:val="single" w:sz="8" w:color="auto"/>
            </w:tcBorders>
          </w:tcPr>
          <w:p>
            <w:pPr>
              <w:jc w:val="center"/>
              <w:ind w:right="97"/>
              <w:spacing w:after="0" w:line="157" w:lineRule="exact"/>
              <w:rPr>
                <w:sz w:val="20"/>
                <w:szCs w:val="20"/>
                <w:color w:val="auto"/>
              </w:rPr>
            </w:pPr>
            <w:r>
              <w:rPr>
                <w:rFonts w:ascii="Arial" w:cs="Arial" w:eastAsia="Arial" w:hAnsi="Arial"/>
                <w:sz w:val="14"/>
                <w:szCs w:val="14"/>
                <w:color w:val="auto"/>
                <w:w w:val="94"/>
              </w:rPr>
              <w:t>Subsidiary</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154"/>
              <w:spacing w:after="0" w:line="157" w:lineRule="exact"/>
              <w:rPr>
                <w:sz w:val="20"/>
                <w:szCs w:val="20"/>
                <w:color w:val="auto"/>
              </w:rPr>
            </w:pPr>
            <w:r>
              <w:rPr>
                <w:rFonts w:ascii="Arial" w:cs="Arial" w:eastAsia="Arial" w:hAnsi="Arial"/>
                <w:sz w:val="14"/>
                <w:szCs w:val="14"/>
                <w:color w:val="auto"/>
              </w:rPr>
              <w:t>Paid-In</w:t>
            </w:r>
          </w:p>
        </w:tc>
        <w:tc>
          <w:tcPr>
            <w:tcW w:w="160" w:type="dxa"/>
            <w:vAlign w:val="bottom"/>
          </w:tcPr>
          <w:p>
            <w:pPr>
              <w:spacing w:after="0"/>
              <w:rPr>
                <w:sz w:val="13"/>
                <w:szCs w:val="13"/>
                <w:color w:val="auto"/>
              </w:rPr>
            </w:pPr>
          </w:p>
        </w:tc>
        <w:tc>
          <w:tcPr>
            <w:tcW w:w="740" w:type="dxa"/>
            <w:vAlign w:val="bottom"/>
          </w:tcPr>
          <w:p>
            <w:pPr>
              <w:jc w:val="right"/>
              <w:ind w:right="93"/>
              <w:spacing w:after="0" w:line="157" w:lineRule="exact"/>
              <w:rPr>
                <w:sz w:val="20"/>
                <w:szCs w:val="20"/>
                <w:color w:val="auto"/>
              </w:rPr>
            </w:pPr>
            <w:r>
              <w:rPr>
                <w:rFonts w:ascii="Arial" w:cs="Arial" w:eastAsia="Arial" w:hAnsi="Arial"/>
                <w:sz w:val="14"/>
                <w:szCs w:val="14"/>
                <w:color w:val="auto"/>
                <w:w w:val="96"/>
              </w:rPr>
              <w:t>Retained</w:t>
            </w:r>
          </w:p>
        </w:tc>
        <w:tc>
          <w:tcPr>
            <w:tcW w:w="160" w:type="dxa"/>
            <w:vAlign w:val="bottom"/>
          </w:tcPr>
          <w:p>
            <w:pPr>
              <w:spacing w:after="0"/>
              <w:rPr>
                <w:sz w:val="13"/>
                <w:szCs w:val="13"/>
                <w:color w:val="auto"/>
              </w:rPr>
            </w:pPr>
          </w:p>
        </w:tc>
        <w:tc>
          <w:tcPr>
            <w:tcW w:w="740" w:type="dxa"/>
            <w:vAlign w:val="bottom"/>
          </w:tcPr>
          <w:p>
            <w:pPr>
              <w:ind w:left="60"/>
              <w:spacing w:after="0" w:line="157" w:lineRule="exact"/>
              <w:rPr>
                <w:sz w:val="20"/>
                <w:szCs w:val="20"/>
                <w:color w:val="auto"/>
              </w:rPr>
            </w:pPr>
            <w:r>
              <w:rPr>
                <w:rFonts w:ascii="Arial" w:cs="Arial" w:eastAsia="Arial" w:hAnsi="Arial"/>
                <w:sz w:val="14"/>
                <w:szCs w:val="14"/>
                <w:color w:val="auto"/>
              </w:rPr>
              <w:t>Stock at</w:t>
            </w:r>
          </w:p>
        </w:tc>
        <w:tc>
          <w:tcPr>
            <w:tcW w:w="160" w:type="dxa"/>
            <w:vAlign w:val="bottom"/>
          </w:tcPr>
          <w:p>
            <w:pPr>
              <w:spacing w:after="0"/>
              <w:rPr>
                <w:sz w:val="13"/>
                <w:szCs w:val="13"/>
                <w:color w:val="auto"/>
              </w:rPr>
            </w:pPr>
          </w:p>
        </w:tc>
        <w:tc>
          <w:tcPr>
            <w:tcW w:w="1100" w:type="dxa"/>
            <w:vAlign w:val="bottom"/>
          </w:tcPr>
          <w:p>
            <w:pPr>
              <w:jc w:val="center"/>
              <w:ind w:right="37"/>
              <w:spacing w:after="0" w:line="157" w:lineRule="exact"/>
              <w:rPr>
                <w:sz w:val="20"/>
                <w:szCs w:val="20"/>
                <w:color w:val="auto"/>
              </w:rPr>
            </w:pPr>
            <w:r>
              <w:rPr>
                <w:rFonts w:ascii="Arial" w:cs="Arial" w:eastAsia="Arial" w:hAnsi="Arial"/>
                <w:sz w:val="14"/>
                <w:szCs w:val="14"/>
                <w:color w:val="auto"/>
                <w:w w:val="91"/>
              </w:rPr>
              <w:t>Comprehensive</w:t>
            </w:r>
          </w:p>
        </w:tc>
        <w:tc>
          <w:tcPr>
            <w:tcW w:w="140" w:type="dxa"/>
            <w:vAlign w:val="bottom"/>
          </w:tcPr>
          <w:p>
            <w:pPr>
              <w:spacing w:after="0"/>
              <w:rPr>
                <w:sz w:val="13"/>
                <w:szCs w:val="13"/>
                <w:color w:val="auto"/>
              </w:rPr>
            </w:pPr>
          </w:p>
        </w:tc>
        <w:tc>
          <w:tcPr>
            <w:tcW w:w="760" w:type="dxa"/>
            <w:vAlign w:val="bottom"/>
          </w:tcPr>
          <w:p>
            <w:pPr>
              <w:jc w:val="center"/>
              <w:ind w:right="34"/>
              <w:spacing w:after="0" w:line="157" w:lineRule="exact"/>
              <w:rPr>
                <w:sz w:val="20"/>
                <w:szCs w:val="20"/>
                <w:color w:val="auto"/>
              </w:rPr>
            </w:pPr>
            <w:r>
              <w:rPr>
                <w:rFonts w:ascii="Arial" w:cs="Arial" w:eastAsia="Arial" w:hAnsi="Arial"/>
                <w:sz w:val="14"/>
                <w:szCs w:val="14"/>
                <w:color w:val="auto"/>
              </w:rPr>
              <w:t>controlling</w:t>
            </w:r>
          </w:p>
        </w:tc>
        <w:tc>
          <w:tcPr>
            <w:tcW w:w="200" w:type="dxa"/>
            <w:vAlign w:val="bottom"/>
          </w:tcPr>
          <w:p>
            <w:pPr>
              <w:spacing w:after="0"/>
              <w:rPr>
                <w:sz w:val="13"/>
                <w:szCs w:val="13"/>
                <w:color w:val="auto"/>
              </w:rPr>
            </w:pPr>
          </w:p>
        </w:tc>
        <w:tc>
          <w:tcPr>
            <w:tcW w:w="720" w:type="dxa"/>
            <w:vAlign w:val="bottom"/>
          </w:tcPr>
          <w:p>
            <w:pPr>
              <w:jc w:val="right"/>
              <w:ind w:right="212"/>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8"/>
        </w:trPr>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right w:val="single" w:sz="8" w:color="auto"/>
            </w:tcBorders>
          </w:tcPr>
          <w:p>
            <w:pPr>
              <w:jc w:val="center"/>
              <w:ind w:right="97"/>
              <w:spacing w:after="0"/>
              <w:rPr>
                <w:sz w:val="20"/>
                <w:szCs w:val="20"/>
                <w:color w:val="auto"/>
              </w:rPr>
            </w:pPr>
            <w:r>
              <w:rPr>
                <w:rFonts w:ascii="Arial" w:cs="Arial" w:eastAsia="Arial" w:hAnsi="Arial"/>
                <w:sz w:val="14"/>
                <w:szCs w:val="14"/>
                <w:color w:val="auto"/>
                <w:w w:val="92"/>
              </w:rPr>
              <w:t>Preferred Stock</w:t>
            </w: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A</w:t>
            </w:r>
          </w:p>
        </w:tc>
        <w:tc>
          <w:tcPr>
            <w:tcW w:w="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B</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Capital</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w w:val="97"/>
              </w:rPr>
              <w:t>Earnings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Cost</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color w:val="auto"/>
                <w:w w:val="94"/>
              </w:rPr>
              <w:t>Income (Loss)</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89"/>
              </w:rPr>
              <w:t>Interests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Balance, December 31, 2015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1,221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38,490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21,413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180"/>
              <w:spacing w:after="0"/>
              <w:rPr>
                <w:sz w:val="20"/>
                <w:szCs w:val="20"/>
                <w:color w:val="auto"/>
              </w:rPr>
            </w:pPr>
            <w:r>
              <w:rPr>
                <w:rFonts w:ascii="Arial" w:cs="Arial" w:eastAsia="Arial" w:hAnsi="Arial"/>
                <w:sz w:val="18"/>
                <w:szCs w:val="18"/>
                <w:color w:val="auto"/>
                <w:w w:val="94"/>
              </w:rPr>
              <w:t>(7,517)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1,709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53,978</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Stock compensation plans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422</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56"/>
        </w:trPr>
        <w:tc>
          <w:tcPr>
            <w:tcW w:w="2860" w:type="dxa"/>
            <w:vAlign w:val="bottom"/>
          </w:tcPr>
          <w:p>
            <w:pPr>
              <w:ind w:left="40"/>
              <w:spacing w:after="0"/>
              <w:rPr>
                <w:sz w:val="20"/>
                <w:szCs w:val="20"/>
                <w:color w:val="auto"/>
              </w:rPr>
            </w:pPr>
            <w:r>
              <w:rPr>
                <w:rFonts w:ascii="Arial" w:cs="Arial" w:eastAsia="Arial" w:hAnsi="Arial"/>
                <w:sz w:val="18"/>
                <w:szCs w:val="18"/>
                <w:color w:val="auto"/>
                <w:w w:val="93"/>
              </w:rPr>
              <w:t>Repurchases of common stock under</w:t>
            </w:r>
          </w:p>
        </w:tc>
        <w:tc>
          <w:tcPr>
            <w:tcW w:w="28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8"/>
                <w:szCs w:val="18"/>
                <w:color w:val="auto"/>
                <w:w w:val="94"/>
              </w:rPr>
              <w:t>repurchase program and employee</w:t>
            </w:r>
          </w:p>
        </w:tc>
        <w:tc>
          <w:tcPr>
            <w:tcW w:w="2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0"/>
              <w:spacing w:after="0"/>
              <w:rPr>
                <w:sz w:val="20"/>
                <w:szCs w:val="20"/>
                <w:color w:val="auto"/>
              </w:rPr>
            </w:pPr>
            <w:r>
              <w:rPr>
                <w:rFonts w:ascii="Arial" w:cs="Arial" w:eastAsia="Arial" w:hAnsi="Arial"/>
                <w:sz w:val="18"/>
                <w:szCs w:val="18"/>
                <w:color w:val="auto"/>
              </w:rPr>
              <w:t>plans</w:t>
            </w:r>
          </w:p>
        </w:tc>
        <w:tc>
          <w:tcPr>
            <w:tcW w:w="28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(2,121)</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(1,337)</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w w:val="98"/>
              </w:rPr>
              <w:t>Other comprehensive income (loss)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56"/>
        </w:trPr>
        <w:tc>
          <w:tcPr>
            <w:tcW w:w="2860" w:type="dxa"/>
            <w:vAlign w:val="bottom"/>
          </w:tcPr>
          <w:p>
            <w:pPr>
              <w:ind w:left="40"/>
              <w:spacing w:after="0"/>
              <w:rPr>
                <w:sz w:val="20"/>
                <w:szCs w:val="20"/>
                <w:color w:val="auto"/>
              </w:rPr>
            </w:pPr>
            <w:r>
              <w:rPr>
                <w:rFonts w:ascii="Arial" w:cs="Arial" w:eastAsia="Arial" w:hAnsi="Arial"/>
                <w:sz w:val="18"/>
                <w:szCs w:val="18"/>
                <w:color w:val="auto"/>
                <w:w w:val="99"/>
              </w:rPr>
              <w:t>Contributions from (distributions to)</w:t>
            </w:r>
          </w:p>
        </w:tc>
        <w:tc>
          <w:tcPr>
            <w:tcW w:w="28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280" w:type="dxa"/>
            <w:vAlign w:val="bottom"/>
          </w:tcPr>
          <w:p>
            <w:pPr>
              <w:spacing w:after="0"/>
              <w:rPr>
                <w:sz w:val="20"/>
                <w:szCs w:val="20"/>
                <w:color w:val="auto"/>
              </w:rPr>
            </w:pP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154</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3"/>
                <w:szCs w:val="23"/>
                <w:color w:val="auto"/>
              </w:rPr>
            </w:pP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4,162</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7"/>
        </w:trPr>
        <w:tc>
          <w:tcPr>
            <w:tcW w:w="2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8"/>
                <w:szCs w:val="18"/>
                <w:b w:val="1"/>
                <w:bCs w:val="1"/>
                <w:color w:val="auto"/>
              </w:rPr>
              <w:t>Balance, June 30, 2016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1,248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38,440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22,117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180"/>
              <w:spacing w:after="0"/>
              <w:rPr>
                <w:sz w:val="20"/>
                <w:szCs w:val="20"/>
                <w:color w:val="auto"/>
              </w:rPr>
            </w:pPr>
            <w:r>
              <w:rPr>
                <w:rFonts w:ascii="Arial" w:cs="Arial" w:eastAsia="Arial" w:hAnsi="Arial"/>
                <w:sz w:val="18"/>
                <w:szCs w:val="18"/>
                <w:color w:val="auto"/>
                <w:w w:val="94"/>
              </w:rPr>
              <w:t>(7,517)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2,178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55,276</w:t>
            </w:r>
          </w:p>
        </w:tc>
        <w:tc>
          <w:tcPr>
            <w:tcW w:w="0" w:type="dxa"/>
            <w:vAlign w:val="bottom"/>
          </w:tcPr>
          <w:p>
            <w:pPr>
              <w:spacing w:after="0"/>
              <w:rPr>
                <w:sz w:val="1"/>
                <w:szCs w:val="1"/>
                <w:color w:val="auto"/>
              </w:rPr>
            </w:pPr>
          </w:p>
        </w:tc>
      </w:tr>
      <w:tr>
        <w:trPr>
          <w:trHeight w:val="34"/>
        </w:trPr>
        <w:tc>
          <w:tcPr>
            <w:tcW w:w="2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1,446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38,230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23,076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180"/>
              <w:spacing w:after="0"/>
              <w:rPr>
                <w:sz w:val="20"/>
                <w:szCs w:val="20"/>
                <w:color w:val="auto"/>
              </w:rPr>
            </w:pPr>
            <w:r>
              <w:rPr>
                <w:rFonts w:ascii="Arial" w:cs="Arial" w:eastAsia="Arial" w:hAnsi="Arial"/>
                <w:sz w:val="18"/>
                <w:szCs w:val="18"/>
                <w:color w:val="auto"/>
                <w:w w:val="94"/>
              </w:rPr>
              <w:t>(7,517)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98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2,231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56,174</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Stock compensation plans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56"/>
        </w:trPr>
        <w:tc>
          <w:tcPr>
            <w:tcW w:w="2860" w:type="dxa"/>
            <w:vAlign w:val="bottom"/>
          </w:tcPr>
          <w:p>
            <w:pPr>
              <w:ind w:left="40"/>
              <w:spacing w:after="0"/>
              <w:rPr>
                <w:sz w:val="20"/>
                <w:szCs w:val="20"/>
                <w:color w:val="auto"/>
              </w:rPr>
            </w:pPr>
            <w:r>
              <w:rPr>
                <w:rFonts w:ascii="Arial" w:cs="Arial" w:eastAsia="Arial" w:hAnsi="Arial"/>
                <w:sz w:val="18"/>
                <w:szCs w:val="18"/>
                <w:color w:val="auto"/>
                <w:w w:val="93"/>
              </w:rPr>
              <w:t>Repurchases of common stock under</w:t>
            </w:r>
          </w:p>
        </w:tc>
        <w:tc>
          <w:tcPr>
            <w:tcW w:w="28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0"/>
              <w:spacing w:after="0"/>
              <w:rPr>
                <w:sz w:val="20"/>
                <w:szCs w:val="20"/>
                <w:color w:val="auto"/>
              </w:rPr>
            </w:pPr>
            <w:r>
              <w:rPr>
                <w:rFonts w:ascii="Arial" w:cs="Arial" w:eastAsia="Arial" w:hAnsi="Arial"/>
                <w:sz w:val="18"/>
                <w:szCs w:val="18"/>
                <w:color w:val="auto"/>
                <w:w w:val="94"/>
              </w:rPr>
              <w:t>repurchase program and employee</w:t>
            </w:r>
          </w:p>
        </w:tc>
        <w:tc>
          <w:tcPr>
            <w:tcW w:w="28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0"/>
              <w:spacing w:after="0"/>
              <w:rPr>
                <w:sz w:val="20"/>
                <w:szCs w:val="20"/>
                <w:color w:val="auto"/>
              </w:rPr>
            </w:pPr>
            <w:r>
              <w:rPr>
                <w:rFonts w:ascii="Arial" w:cs="Arial" w:eastAsia="Arial" w:hAnsi="Arial"/>
                <w:sz w:val="18"/>
                <w:szCs w:val="18"/>
                <w:color w:val="auto"/>
              </w:rPr>
              <w:t>plans</w:t>
            </w:r>
          </w:p>
        </w:tc>
        <w:tc>
          <w:tcPr>
            <w:tcW w:w="28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(2,097)</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(1,498)</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w w:val="98"/>
              </w:rPr>
              <w:t>Other comprehensive income (loss)</w:t>
            </w:r>
          </w:p>
        </w:tc>
        <w:tc>
          <w:tcPr>
            <w:tcW w:w="280" w:type="dxa"/>
            <w:vAlign w:val="bottom"/>
          </w:tcPr>
          <w:p>
            <w:pPr>
              <w:spacing w:after="0"/>
              <w:rPr>
                <w:sz w:val="23"/>
                <w:szCs w:val="23"/>
                <w:color w:val="auto"/>
              </w:rPr>
            </w:pPr>
          </w:p>
        </w:tc>
        <w:tc>
          <w:tcPr>
            <w:tcW w:w="11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56"/>
        </w:trPr>
        <w:tc>
          <w:tcPr>
            <w:tcW w:w="2860" w:type="dxa"/>
            <w:vAlign w:val="bottom"/>
          </w:tcPr>
          <w:p>
            <w:pPr>
              <w:ind w:left="40"/>
              <w:spacing w:after="0"/>
              <w:rPr>
                <w:sz w:val="20"/>
                <w:szCs w:val="20"/>
                <w:color w:val="auto"/>
              </w:rPr>
            </w:pPr>
            <w:r>
              <w:rPr>
                <w:rFonts w:ascii="Arial" w:cs="Arial" w:eastAsia="Arial" w:hAnsi="Arial"/>
                <w:sz w:val="18"/>
                <w:szCs w:val="18"/>
                <w:color w:val="auto"/>
                <w:w w:val="99"/>
              </w:rPr>
              <w:t>Contributions from (distributions to)</w:t>
            </w:r>
          </w:p>
        </w:tc>
        <w:tc>
          <w:tcPr>
            <w:tcW w:w="28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280" w:type="dxa"/>
            <w:vAlign w:val="bottom"/>
          </w:tcPr>
          <w:p>
            <w:pPr>
              <w:spacing w:after="0"/>
              <w:rPr>
                <w:sz w:val="20"/>
                <w:szCs w:val="20"/>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56"/>
        </w:trPr>
        <w:tc>
          <w:tcPr>
            <w:tcW w:w="2860" w:type="dxa"/>
            <w:vAlign w:val="bottom"/>
          </w:tcPr>
          <w:p>
            <w:pPr>
              <w:ind w:left="80"/>
              <w:spacing w:after="0"/>
              <w:rPr>
                <w:sz w:val="20"/>
                <w:szCs w:val="20"/>
                <w:color w:val="auto"/>
              </w:rPr>
            </w:pPr>
            <w:r>
              <w:rPr>
                <w:rFonts w:ascii="Arial" w:cs="Arial" w:eastAsia="Arial" w:hAnsi="Arial"/>
                <w:sz w:val="18"/>
                <w:szCs w:val="18"/>
                <w:color w:val="auto"/>
                <w:w w:val="93"/>
              </w:rPr>
              <w:t>Purchase of Universal Studios Japan</w:t>
            </w:r>
          </w:p>
        </w:tc>
        <w:tc>
          <w:tcPr>
            <w:tcW w:w="280" w:type="dxa"/>
            <w:vAlign w:val="bottom"/>
          </w:tcPr>
          <w:p>
            <w:pPr>
              <w:spacing w:after="0"/>
              <w:rPr>
                <w:sz w:val="22"/>
                <w:szCs w:val="22"/>
                <w:color w:val="auto"/>
              </w:rPr>
            </w:pPr>
          </w:p>
        </w:tc>
        <w:tc>
          <w:tcPr>
            <w:tcW w:w="1160" w:type="dxa"/>
            <w:vAlign w:val="bottom"/>
            <w:tcBorders>
              <w:righ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(696)</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(1,736)</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rPr>
                <w:sz w:val="23"/>
                <w:szCs w:val="23"/>
                <w:color w:val="auto"/>
              </w:rPr>
            </w:pP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5,079</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3"/>
                <w:szCs w:val="23"/>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5,141</w:t>
            </w:r>
          </w:p>
        </w:tc>
        <w:tc>
          <w:tcPr>
            <w:tcW w:w="0" w:type="dxa"/>
            <w:vAlign w:val="bottom"/>
          </w:tcPr>
          <w:p>
            <w:pPr>
              <w:spacing w:after="0"/>
              <w:rPr>
                <w:sz w:val="1"/>
                <w:szCs w:val="1"/>
                <w:color w:val="auto"/>
              </w:rPr>
            </w:pPr>
          </w:p>
        </w:tc>
      </w:tr>
      <w:tr>
        <w:trPr>
          <w:trHeight w:val="27"/>
        </w:trPr>
        <w:tc>
          <w:tcPr>
            <w:tcW w:w="2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8"/>
                <w:szCs w:val="18"/>
                <w:b w:val="1"/>
                <w:bCs w:val="1"/>
                <w:color w:val="auto"/>
              </w:rPr>
              <w:t>Balance, June 30, 2017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jc w:val="right"/>
              <w:ind w:right="57"/>
              <w:spacing w:after="0"/>
              <w:rPr>
                <w:sz w:val="20"/>
                <w:szCs w:val="20"/>
                <w:color w:val="auto"/>
              </w:rPr>
            </w:pPr>
            <w:r>
              <w:rPr>
                <w:rFonts w:ascii="Arial" w:cs="Arial" w:eastAsia="Arial" w:hAnsi="Arial"/>
                <w:sz w:val="18"/>
                <w:szCs w:val="18"/>
                <w:color w:val="auto"/>
              </w:rPr>
              <w:t>1,451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37,478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24,560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180"/>
              <w:spacing w:after="0"/>
              <w:rPr>
                <w:sz w:val="20"/>
                <w:szCs w:val="20"/>
                <w:color w:val="auto"/>
              </w:rPr>
            </w:pPr>
            <w:r>
              <w:rPr>
                <w:rFonts w:ascii="Arial" w:cs="Arial" w:eastAsia="Arial" w:hAnsi="Arial"/>
                <w:sz w:val="18"/>
                <w:szCs w:val="18"/>
                <w:color w:val="auto"/>
                <w:w w:val="94"/>
              </w:rPr>
              <w:t>(7,517)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428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843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55,848</w:t>
            </w:r>
          </w:p>
        </w:tc>
        <w:tc>
          <w:tcPr>
            <w:tcW w:w="0" w:type="dxa"/>
            <w:vAlign w:val="bottom"/>
          </w:tcPr>
          <w:p>
            <w:pPr>
              <w:spacing w:after="0"/>
              <w:rPr>
                <w:sz w:val="1"/>
                <w:szCs w:val="1"/>
                <w:color w:val="auto"/>
              </w:rPr>
            </w:pPr>
          </w:p>
        </w:tc>
      </w:tr>
      <w:tr>
        <w:trPr>
          <w:trHeight w:val="34"/>
        </w:trPr>
        <w:tc>
          <w:tcPr>
            <w:tcW w:w="4300" w:type="dxa"/>
            <w:vAlign w:val="bottom"/>
            <w:tcBorders>
              <w:bottom w:val="single" w:sz="8" w:color="auto"/>
              <w:right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4300" w:type="dxa"/>
            <w:vAlign w:val="bottom"/>
            <w:gridSpan w:val="3"/>
          </w:tcPr>
          <w:p>
            <w:pPr>
              <w:spacing w:after="0"/>
              <w:rPr>
                <w:sz w:val="20"/>
                <w:szCs w:val="20"/>
                <w:color w:val="auto"/>
              </w:rPr>
            </w:pPr>
            <w:r>
              <w:rPr>
                <w:rFonts w:ascii="Arial" w:cs="Arial" w:eastAsia="Arial" w:hAnsi="Arial"/>
                <w:sz w:val="14"/>
                <w:szCs w:val="14"/>
                <w:color w:val="auto"/>
                <w:w w:val="92"/>
              </w:rPr>
              <w:t>See accompanying notes to condensed consolidated financial statements.</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9"/>
        </w:trPr>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ind w:right="4380"/>
        <w:spacing w:after="0" w:line="274"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2016 Annual Report on Form 10-K.</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24, 2017, our Board of Directors approved a two-for-one stock split in the form of a 100% stock dividend that was distributed on February 17, 2017 to shareholders of record as of February 8, 2017. The stock split was in the form of one additional share for every share held and was payable in shares of Class A common stock on the existing Class A common stock and Class B common stock. All share-based data, including the number of shares outstanding and per share amounts, have been adjusted to reflect the stock split for all periods presented.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have been made to our condensed consolidated financial statements for the prior year periods to conform to classifications used in 2017.</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The updated accounting guidance is effective for us as of January 1, 2018.</w:t>
      </w:r>
    </w:p>
    <w:p>
      <w:pPr>
        <w:spacing w:after="0" w:line="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substantially completed the review of our revenue arrangements and do not currently expect that the adoption of the new standard will have a material impact on our financial position or results of operations. However, we do expect that the new standard will impact the timing of recognition for (1) our Cable Communications segment’s installation revenue and commission expenses, which will be recognized as revenue and costs over a period of time instead of immediately, and (2) our Cable Networks, Broadcast Television and Filmed Entertainment segments’ content licensing revenue associated with renewals or extensions of existing program licensing agreements, which will be recognized as revenue when the licensed content becomes available under the renewal or extension instead of when the agreement is renewed or extended. In addition, upon adoption, we anticipate implementing certain changes in the presentation of revenue and expenses, including changes related to the allocation of revenue among the cable services included in a bundle that our residential customers purchase at a discount. The updated guidance also requires additional disclosures regarding the nature, timing and uncertainty of our revenue transactions. We intend to adopt the provisions of the guidance using the full retrospective method, under which we will adjust any prior periods presented to reflect the updated guidance.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Financial Liabilities</w:t>
      </w:r>
    </w:p>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January 2016, the FASB updated the accounting guidance related to the recognition and measurement of financial assets and financial liabilities. The updated accounting guidance, among other things, requires that all nonconsolidated equity investments, except those accounted for under the equity method, be measured at fair value and that the changes in fair value be recognized in net income. The updated guidance is effective for us as of January 1, 2018. The updated accounting guidance requires a cumulative effect adjustment to beginning retained earnings in the year the guidance is adopted with certain exceptions. If we had adopted the provisions of the updated guidance as of January 1, 2017 for our equity investments classified as available-for-sale securities, primarily our investment in Snap Inc. (see Note 6), net income attributable to Comcast Corporation would have decreased for the three months ended June 30, 2017 by $88 million and increased for the six months ended June 30, 2017 by $16 million. We are currently in the process of determining the impact that the updated accounting guidance will have on our cost method investments.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2016, the FASB updated the accounting guidance related to leases. The updated accounting guidance requires lessees to recognize a right-of-use asset and a lease liability on the balance sheet for all leases with the exception of short-term leases. The asset and liability are initially measured based on the present value of committed lease payments. For a lessee, the recognition, measurement and presentation of expenses and cash flows arising from a lease do not significantly change from previous guidance. For a lessor, the accounting applied is also largely unchanged from previous guidance. The updated guidance is effective for us as of January 1, 2019 and early adoption is permitted. The updated accounting guidance must be adopted using a modified retrospective approach for leases that exist or are entered into after the beginning of the earliest comparative period in the financial statements. We are currently in the process of determining the impact that the updated accounting guidance will have on our consolidated financial statements.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March 2016, the FASB updated the accounting guidance that affects several aspects of the accounting for share-based compensation. The most significant change for us relates to the presentation of the income and withholding tax consequences of share-based compensation in our consolidated financial statements. Among the changes, the updated guidance requires that the excess income tax benefits or deficiencies that arise when the tax consequences of share-based compensation differ from amounts previously recognized in the statement of income be recognized as income tax benefit or expense in the statement of income rather than as additional paid-in capital in the balance sheet. The guidance also states that excess income tax benefits should not be presented separately from other income taxes in the statement of cash flows and, thus, should be classified as an operating activity rather than a financing activity as they were under the prior guidance. In addition, the updated guidance requires that, when an employer withholds shares upon exercise of options or the vesting of restricted stock for the purpose of meeting withholding tax requirements, the cash paid for withholding taxes be classified as a financing activity and we include these amounts in the caption “repurchases of common stock under repurchase program and employee plans” in our consolidated statement of cash flows. We previously recorded these amounts as operating activities.</w:t>
      </w: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adopted the updated guidance as of January 1, 2017 and, as required, we prospectively adopted the provisions that relate to the recognition of the excess income tax benefits or deficiencies in our condensed consolidated statement of income. The excess tax benefits resulted in a decrease to income tax expense of $59 million and $198 million for the three and six months ended June 30, 2017, respectively. In addition, the excess tax benefits resulted in an increase to diluted earnings per common share attributable to Comcast Corporation shareholders of $0.01 and $0.03 for the three and six months ended June 30, 2017, respectively. As required by the updated guidance, the prior year periods in our condensed consolidated statement of income were not adjusted as a result of these provisions.</w:t>
      </w:r>
    </w:p>
    <w:p>
      <w:pPr>
        <w:spacing w:after="0" w:line="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retrospectively adopted the provisions of this guidance related to changes to the statement of cash flows for all periods presented. This resulted in increases to net cash provided by operating activities and decreases to net cash provided by (used in) financing activities of $543 million and $411 million for the six months ended June 30, 2017 and 2016,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Earnings Per Share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4"/>
                <w:szCs w:val="14"/>
                <w:color w:val="auto"/>
              </w:rPr>
              <w:t>Three Months Ended June 30</w:t>
            </w:r>
          </w:p>
        </w:tc>
        <w:tc>
          <w:tcPr>
            <w:tcW w:w="1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156"/>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302"/>
              <w:spacing w:after="0" w:line="157" w:lineRule="exact"/>
              <w:rPr>
                <w:sz w:val="20"/>
                <w:szCs w:val="20"/>
                <w:color w:val="auto"/>
              </w:rPr>
            </w:pPr>
            <w:r>
              <w:rPr>
                <w:rFonts w:ascii="Arial" w:cs="Arial" w:eastAsia="Arial" w:hAnsi="Arial"/>
                <w:sz w:val="14"/>
                <w:szCs w:val="14"/>
                <w:color w:val="auto"/>
                <w:w w:val="94"/>
              </w:rPr>
              <w:t>Net Income</w:t>
            </w: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302"/>
              <w:spacing w:after="0" w:line="157" w:lineRule="exact"/>
              <w:rPr>
                <w:sz w:val="20"/>
                <w:szCs w:val="20"/>
                <w:color w:val="auto"/>
              </w:rPr>
            </w:pPr>
            <w:r>
              <w:rPr>
                <w:rFonts w:ascii="Arial" w:cs="Arial" w:eastAsia="Arial" w:hAnsi="Arial"/>
                <w:sz w:val="14"/>
                <w:szCs w:val="14"/>
                <w:color w:val="auto"/>
                <w:w w:val="94"/>
              </w:rPr>
              <w:t>Net Income</w:t>
            </w: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7"/>
              </w:rPr>
              <w:t>Attributable to</w:t>
            </w: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7"/>
              </w:rPr>
              <w:t>Attributable to</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4"/>
              </w:rPr>
              <w:t>Comcast</w:t>
            </w: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281"/>
              <w:spacing w:after="0" w:line="149" w:lineRule="exact"/>
              <w:rPr>
                <w:sz w:val="20"/>
                <w:szCs w:val="20"/>
                <w:color w:val="auto"/>
              </w:rPr>
            </w:pPr>
            <w:r>
              <w:rPr>
                <w:rFonts w:ascii="Arial" w:cs="Arial" w:eastAsia="Arial" w:hAnsi="Arial"/>
                <w:sz w:val="14"/>
                <w:szCs w:val="14"/>
                <w:color w:val="auto"/>
              </w:rPr>
              <w:t>Per Share</w:t>
            </w:r>
          </w:p>
        </w:tc>
        <w:tc>
          <w:tcPr>
            <w:tcW w:w="260" w:type="dxa"/>
            <w:vAlign w:val="bottom"/>
          </w:tcPr>
          <w:p>
            <w:pPr>
              <w:spacing w:after="0"/>
              <w:rPr>
                <w:sz w:val="12"/>
                <w:szCs w:val="12"/>
                <w:color w:val="auto"/>
              </w:rPr>
            </w:pPr>
          </w:p>
        </w:tc>
        <w:tc>
          <w:tcPr>
            <w:tcW w:w="1300" w:type="dxa"/>
            <w:vAlign w:val="bottom"/>
          </w:tcPr>
          <w:p>
            <w:pPr>
              <w:jc w:val="center"/>
              <w:ind w:right="322"/>
              <w:spacing w:after="0" w:line="149" w:lineRule="exact"/>
              <w:rPr>
                <w:sz w:val="20"/>
                <w:szCs w:val="20"/>
                <w:color w:val="auto"/>
              </w:rPr>
            </w:pPr>
            <w:r>
              <w:rPr>
                <w:rFonts w:ascii="Arial" w:cs="Arial" w:eastAsia="Arial" w:hAnsi="Arial"/>
                <w:sz w:val="14"/>
                <w:szCs w:val="14"/>
                <w:color w:val="auto"/>
                <w:w w:val="90"/>
              </w:rPr>
              <w:t>Comcast</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right"/>
              <w:ind w:right="279"/>
              <w:spacing w:after="0" w:line="149" w:lineRule="exact"/>
              <w:rPr>
                <w:sz w:val="20"/>
                <w:szCs w:val="20"/>
                <w:color w:val="auto"/>
              </w:rPr>
            </w:pPr>
            <w:r>
              <w:rPr>
                <w:rFonts w:ascii="Arial" w:cs="Arial" w:eastAsia="Arial" w:hAnsi="Arial"/>
                <w:sz w:val="14"/>
                <w:szCs w:val="14"/>
                <w:color w:val="auto"/>
              </w:rPr>
              <w:t>Per Share</w:t>
            </w:r>
          </w:p>
        </w:tc>
      </w:tr>
      <w:tr>
        <w:trPr>
          <w:trHeight w:val="18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data)</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color w:val="auto"/>
                <w:w w:val="92"/>
              </w:rPr>
              <w:t>Corporation</w:t>
            </w:r>
          </w:p>
        </w:tc>
        <w:tc>
          <w:tcPr>
            <w:tcW w:w="11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color w:val="auto"/>
              </w:rPr>
              <w:t>Shares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Amount</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color w:val="auto"/>
                <w:w w:val="95"/>
              </w:rPr>
              <w:t>Corporation</w:t>
            </w: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Shares</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Amount</w:t>
            </w:r>
          </w:p>
        </w:tc>
      </w:tr>
      <w:tr>
        <w:trPr>
          <w:trHeight w:val="228"/>
        </w:trPr>
        <w:tc>
          <w:tcPr>
            <w:tcW w:w="3340" w:type="dxa"/>
            <w:vAlign w:val="bottom"/>
          </w:tcPr>
          <w:p>
            <w:pPr>
              <w:ind w:left="40"/>
              <w:spacing w:after="0"/>
              <w:rPr>
                <w:sz w:val="20"/>
                <w:szCs w:val="20"/>
                <w:color w:val="auto"/>
              </w:rPr>
            </w:pPr>
            <w:r>
              <w:rPr>
                <w:rFonts w:ascii="Arial" w:cs="Arial" w:eastAsia="Arial" w:hAnsi="Arial"/>
                <w:sz w:val="18"/>
                <w:szCs w:val="18"/>
                <w:color w:val="auto"/>
              </w:rPr>
              <w:t>Basic EPS attributable to Comcast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62"/>
              <w:spacing w:after="0"/>
              <w:rPr>
                <w:sz w:val="20"/>
                <w:szCs w:val="20"/>
                <w:color w:val="auto"/>
              </w:rPr>
            </w:pPr>
            <w:r>
              <w:rPr>
                <w:rFonts w:ascii="Arial" w:cs="Arial" w:eastAsia="Arial" w:hAnsi="Arial"/>
                <w:sz w:val="18"/>
                <w:szCs w:val="18"/>
                <w:color w:val="auto"/>
              </w:rPr>
              <w:t>2,513</w:t>
            </w: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4,728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1"/>
              <w:spacing w:after="0"/>
              <w:rPr>
                <w:sz w:val="20"/>
                <w:szCs w:val="20"/>
                <w:color w:val="auto"/>
              </w:rPr>
            </w:pPr>
            <w:r>
              <w:rPr>
                <w:rFonts w:ascii="Arial" w:cs="Arial" w:eastAsia="Arial" w:hAnsi="Arial"/>
                <w:sz w:val="18"/>
                <w:szCs w:val="18"/>
                <w:color w:val="auto"/>
              </w:rPr>
              <w:t>0.53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42"/>
              <w:spacing w:after="0"/>
              <w:rPr>
                <w:sz w:val="20"/>
                <w:szCs w:val="20"/>
                <w:color w:val="auto"/>
              </w:rPr>
            </w:pPr>
            <w:r>
              <w:rPr>
                <w:rFonts w:ascii="Arial" w:cs="Arial" w:eastAsia="Arial" w:hAnsi="Arial"/>
                <w:sz w:val="18"/>
                <w:szCs w:val="18"/>
                <w:color w:val="auto"/>
              </w:rPr>
              <w:t>2,028</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4,839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0.42</w:t>
            </w: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6"/>
        </w:trPr>
        <w:tc>
          <w:tcPr>
            <w:tcW w:w="3340" w:type="dxa"/>
            <w:vAlign w:val="bottom"/>
          </w:tcPr>
          <w:p>
            <w:pPr>
              <w:ind w:left="460"/>
              <w:spacing w:after="0"/>
              <w:rPr>
                <w:sz w:val="20"/>
                <w:szCs w:val="20"/>
                <w:color w:val="auto"/>
              </w:rPr>
            </w:pPr>
            <w:r>
              <w:rPr>
                <w:rFonts w:ascii="Arial" w:cs="Arial" w:eastAsia="Arial" w:hAnsi="Arial"/>
                <w:sz w:val="18"/>
                <w:szCs w:val="18"/>
                <w:color w:val="auto"/>
              </w:rPr>
              <w:t>Assumed exercise or issuance of</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3340" w:type="dxa"/>
            <w:vAlign w:val="bottom"/>
          </w:tcPr>
          <w:p>
            <w:pPr>
              <w:ind w:left="620"/>
              <w:spacing w:after="0"/>
              <w:rPr>
                <w:sz w:val="20"/>
                <w:szCs w:val="20"/>
                <w:color w:val="auto"/>
              </w:rPr>
            </w:pPr>
            <w:r>
              <w:rPr>
                <w:rFonts w:ascii="Arial" w:cs="Arial" w:eastAsia="Arial" w:hAnsi="Arial"/>
                <w:sz w:val="18"/>
                <w:szCs w:val="18"/>
                <w:color w:val="auto"/>
              </w:rPr>
              <w:t>shares relating to stock plans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jc w:val="right"/>
              <w:ind w:right="56"/>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Diluted EPS attributable to Comcast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3340" w:type="dxa"/>
            <w:vAlign w:val="bottom"/>
          </w:tcPr>
          <w:p>
            <w:pPr>
              <w:ind w:left="280"/>
              <w:spacing w:after="0"/>
              <w:rPr>
                <w:sz w:val="20"/>
                <w:szCs w:val="20"/>
                <w:color w:val="auto"/>
              </w:rPr>
            </w:pPr>
            <w:r>
              <w:rPr>
                <w:rFonts w:ascii="Arial" w:cs="Arial" w:eastAsia="Arial" w:hAnsi="Arial"/>
                <w:sz w:val="18"/>
                <w:szCs w:val="18"/>
                <w:b w:val="1"/>
                <w:bCs w:val="1"/>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262"/>
              <w:spacing w:after="0"/>
              <w:rPr>
                <w:sz w:val="20"/>
                <w:szCs w:val="20"/>
                <w:color w:val="auto"/>
              </w:rPr>
            </w:pPr>
            <w:r>
              <w:rPr>
                <w:rFonts w:ascii="Arial" w:cs="Arial" w:eastAsia="Arial" w:hAnsi="Arial"/>
                <w:sz w:val="18"/>
                <w:szCs w:val="18"/>
                <w:b w:val="1"/>
                <w:bCs w:val="1"/>
                <w:color w:val="auto"/>
              </w:rPr>
              <w:t>2,513</w:t>
            </w:r>
          </w:p>
        </w:tc>
        <w:tc>
          <w:tcPr>
            <w:tcW w:w="1160" w:type="dxa"/>
            <w:vAlign w:val="bottom"/>
          </w:tcPr>
          <w:p>
            <w:pPr>
              <w:jc w:val="right"/>
              <w:ind w:right="56"/>
              <w:spacing w:after="0"/>
              <w:rPr>
                <w:sz w:val="20"/>
                <w:szCs w:val="20"/>
                <w:color w:val="auto"/>
              </w:rPr>
            </w:pPr>
            <w:r>
              <w:rPr>
                <w:rFonts w:ascii="Arial" w:cs="Arial" w:eastAsia="Arial" w:hAnsi="Arial"/>
                <w:sz w:val="18"/>
                <w:szCs w:val="18"/>
                <w:b w:val="1"/>
                <w:bCs w:val="1"/>
                <w:color w:val="auto"/>
              </w:rPr>
              <w:t>4,809</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41"/>
              <w:spacing w:after="0"/>
              <w:rPr>
                <w:sz w:val="20"/>
                <w:szCs w:val="20"/>
                <w:color w:val="auto"/>
              </w:rPr>
            </w:pPr>
            <w:r>
              <w:rPr>
                <w:rFonts w:ascii="Arial" w:cs="Arial" w:eastAsia="Arial" w:hAnsi="Arial"/>
                <w:sz w:val="18"/>
                <w:szCs w:val="18"/>
                <w:b w:val="1"/>
                <w:bCs w:val="1"/>
                <w:color w:val="auto"/>
              </w:rPr>
              <w:t>0.52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242"/>
              <w:spacing w:after="0"/>
              <w:rPr>
                <w:sz w:val="20"/>
                <w:szCs w:val="20"/>
                <w:color w:val="auto"/>
              </w:rPr>
            </w:pPr>
            <w:r>
              <w:rPr>
                <w:rFonts w:ascii="Arial" w:cs="Arial" w:eastAsia="Arial" w:hAnsi="Arial"/>
                <w:sz w:val="18"/>
                <w:szCs w:val="18"/>
                <w:b w:val="1"/>
                <w:bCs w:val="1"/>
                <w:color w:val="auto"/>
              </w:rPr>
              <w:t>2,028</w:t>
            </w:r>
          </w:p>
        </w:tc>
        <w:tc>
          <w:tcPr>
            <w:tcW w:w="1140" w:type="dxa"/>
            <w:vAlign w:val="bottom"/>
          </w:tcPr>
          <w:p>
            <w:pPr>
              <w:jc w:val="right"/>
              <w:ind w:right="37"/>
              <w:spacing w:after="0"/>
              <w:rPr>
                <w:sz w:val="20"/>
                <w:szCs w:val="20"/>
                <w:color w:val="auto"/>
              </w:rPr>
            </w:pPr>
            <w:r>
              <w:rPr>
                <w:rFonts w:ascii="Arial" w:cs="Arial" w:eastAsia="Arial" w:hAnsi="Arial"/>
                <w:sz w:val="18"/>
                <w:szCs w:val="18"/>
                <w:b w:val="1"/>
                <w:bCs w:val="1"/>
                <w:color w:val="auto"/>
              </w:rPr>
              <w:t>4,891</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b w:val="1"/>
                <w:bCs w:val="1"/>
                <w:color w:val="auto"/>
              </w:rPr>
              <w:t>0.41</w:t>
            </w:r>
          </w:p>
        </w:tc>
      </w:tr>
      <w:tr>
        <w:trPr>
          <w:trHeight w:val="34"/>
        </w:trPr>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851"/>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jc w:val="right"/>
              <w:ind w:right="156"/>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4"/>
                <w:szCs w:val="14"/>
                <w:color w:val="auto"/>
              </w:rPr>
              <w:t>Six Months Ended June 30</w:t>
            </w:r>
          </w:p>
        </w:tc>
        <w:tc>
          <w:tcPr>
            <w:tcW w:w="1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2016</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156"/>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302"/>
              <w:spacing w:after="0" w:line="157" w:lineRule="exact"/>
              <w:rPr>
                <w:sz w:val="20"/>
                <w:szCs w:val="20"/>
                <w:color w:val="auto"/>
              </w:rPr>
            </w:pPr>
            <w:r>
              <w:rPr>
                <w:rFonts w:ascii="Arial" w:cs="Arial" w:eastAsia="Arial" w:hAnsi="Arial"/>
                <w:sz w:val="14"/>
                <w:szCs w:val="14"/>
                <w:color w:val="auto"/>
                <w:w w:val="94"/>
              </w:rPr>
              <w:t>Net Income</w:t>
            </w: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302"/>
              <w:spacing w:after="0" w:line="157" w:lineRule="exact"/>
              <w:rPr>
                <w:sz w:val="20"/>
                <w:szCs w:val="20"/>
                <w:color w:val="auto"/>
              </w:rPr>
            </w:pPr>
            <w:r>
              <w:rPr>
                <w:rFonts w:ascii="Arial" w:cs="Arial" w:eastAsia="Arial" w:hAnsi="Arial"/>
                <w:sz w:val="14"/>
                <w:szCs w:val="14"/>
                <w:color w:val="auto"/>
                <w:w w:val="94"/>
              </w:rPr>
              <w:t>Net Income</w:t>
            </w: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7"/>
              </w:rPr>
              <w:t>Attributable to</w:t>
            </w: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7"/>
              </w:rPr>
              <w:t>Attributable to</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302"/>
              <w:spacing w:after="0" w:line="149" w:lineRule="exact"/>
              <w:rPr>
                <w:sz w:val="20"/>
                <w:szCs w:val="20"/>
                <w:color w:val="auto"/>
              </w:rPr>
            </w:pPr>
            <w:r>
              <w:rPr>
                <w:rFonts w:ascii="Arial" w:cs="Arial" w:eastAsia="Arial" w:hAnsi="Arial"/>
                <w:sz w:val="14"/>
                <w:szCs w:val="14"/>
                <w:color w:val="auto"/>
                <w:w w:val="94"/>
              </w:rPr>
              <w:t>Comcast</w:t>
            </w: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281"/>
              <w:spacing w:after="0" w:line="149" w:lineRule="exact"/>
              <w:rPr>
                <w:sz w:val="20"/>
                <w:szCs w:val="20"/>
                <w:color w:val="auto"/>
              </w:rPr>
            </w:pPr>
            <w:r>
              <w:rPr>
                <w:rFonts w:ascii="Arial" w:cs="Arial" w:eastAsia="Arial" w:hAnsi="Arial"/>
                <w:sz w:val="14"/>
                <w:szCs w:val="14"/>
                <w:color w:val="auto"/>
              </w:rPr>
              <w:t>Per Share</w:t>
            </w:r>
          </w:p>
        </w:tc>
        <w:tc>
          <w:tcPr>
            <w:tcW w:w="260" w:type="dxa"/>
            <w:vAlign w:val="bottom"/>
          </w:tcPr>
          <w:p>
            <w:pPr>
              <w:spacing w:after="0"/>
              <w:rPr>
                <w:sz w:val="12"/>
                <w:szCs w:val="12"/>
                <w:color w:val="auto"/>
              </w:rPr>
            </w:pPr>
          </w:p>
        </w:tc>
        <w:tc>
          <w:tcPr>
            <w:tcW w:w="1300" w:type="dxa"/>
            <w:vAlign w:val="bottom"/>
          </w:tcPr>
          <w:p>
            <w:pPr>
              <w:jc w:val="center"/>
              <w:ind w:right="322"/>
              <w:spacing w:after="0" w:line="149" w:lineRule="exact"/>
              <w:rPr>
                <w:sz w:val="20"/>
                <w:szCs w:val="20"/>
                <w:color w:val="auto"/>
              </w:rPr>
            </w:pPr>
            <w:r>
              <w:rPr>
                <w:rFonts w:ascii="Arial" w:cs="Arial" w:eastAsia="Arial" w:hAnsi="Arial"/>
                <w:sz w:val="14"/>
                <w:szCs w:val="14"/>
                <w:color w:val="auto"/>
                <w:w w:val="90"/>
              </w:rPr>
              <w:t>Comcast</w:t>
            </w: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right"/>
              <w:ind w:right="279"/>
              <w:spacing w:after="0" w:line="149" w:lineRule="exact"/>
              <w:rPr>
                <w:sz w:val="20"/>
                <w:szCs w:val="20"/>
                <w:color w:val="auto"/>
              </w:rPr>
            </w:pPr>
            <w:r>
              <w:rPr>
                <w:rFonts w:ascii="Arial" w:cs="Arial" w:eastAsia="Arial" w:hAnsi="Arial"/>
                <w:sz w:val="14"/>
                <w:szCs w:val="14"/>
                <w:color w:val="auto"/>
              </w:rPr>
              <w:t>Per Share</w:t>
            </w:r>
          </w:p>
        </w:tc>
      </w:tr>
      <w:tr>
        <w:trPr>
          <w:trHeight w:val="18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 except per share amounts)</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color w:val="auto"/>
                <w:w w:val="92"/>
              </w:rPr>
              <w:t>Corporation</w:t>
            </w:r>
          </w:p>
        </w:tc>
        <w:tc>
          <w:tcPr>
            <w:tcW w:w="11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Shares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Amount</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color w:val="auto"/>
                <w:w w:val="95"/>
              </w:rPr>
              <w:t>Corporation</w:t>
            </w:r>
          </w:p>
        </w:tc>
        <w:tc>
          <w:tcPr>
            <w:tcW w:w="11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Shares</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Amount</w:t>
            </w:r>
          </w:p>
        </w:tc>
      </w:tr>
      <w:tr>
        <w:trPr>
          <w:trHeight w:val="228"/>
        </w:trPr>
        <w:tc>
          <w:tcPr>
            <w:tcW w:w="3340" w:type="dxa"/>
            <w:vAlign w:val="bottom"/>
          </w:tcPr>
          <w:p>
            <w:pPr>
              <w:ind w:left="40"/>
              <w:spacing w:after="0"/>
              <w:rPr>
                <w:sz w:val="20"/>
                <w:szCs w:val="20"/>
                <w:color w:val="auto"/>
              </w:rPr>
            </w:pPr>
            <w:r>
              <w:rPr>
                <w:rFonts w:ascii="Arial" w:cs="Arial" w:eastAsia="Arial" w:hAnsi="Arial"/>
                <w:sz w:val="18"/>
                <w:szCs w:val="18"/>
                <w:color w:val="auto"/>
              </w:rPr>
              <w:t>Basic EPS attributable to Comcast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262"/>
              <w:spacing w:after="0"/>
              <w:rPr>
                <w:sz w:val="20"/>
                <w:szCs w:val="20"/>
                <w:color w:val="auto"/>
              </w:rPr>
            </w:pPr>
            <w:r>
              <w:rPr>
                <w:rFonts w:ascii="Arial" w:cs="Arial" w:eastAsia="Arial" w:hAnsi="Arial"/>
                <w:sz w:val="18"/>
                <w:szCs w:val="18"/>
                <w:color w:val="auto"/>
              </w:rPr>
              <w:t>5,079</w:t>
            </w: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4,738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41"/>
              <w:spacing w:after="0"/>
              <w:rPr>
                <w:sz w:val="20"/>
                <w:szCs w:val="20"/>
                <w:color w:val="auto"/>
              </w:rPr>
            </w:pPr>
            <w:r>
              <w:rPr>
                <w:rFonts w:ascii="Arial" w:cs="Arial" w:eastAsia="Arial" w:hAnsi="Arial"/>
                <w:sz w:val="18"/>
                <w:szCs w:val="18"/>
                <w:color w:val="auto"/>
              </w:rPr>
              <w:t>1.07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42"/>
              <w:spacing w:after="0"/>
              <w:rPr>
                <w:sz w:val="20"/>
                <w:szCs w:val="20"/>
                <w:color w:val="auto"/>
              </w:rPr>
            </w:pPr>
            <w:r>
              <w:rPr>
                <w:rFonts w:ascii="Arial" w:cs="Arial" w:eastAsia="Arial" w:hAnsi="Arial"/>
                <w:sz w:val="18"/>
                <w:szCs w:val="18"/>
                <w:color w:val="auto"/>
              </w:rPr>
              <w:t>4,162</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4,853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0.86</w:t>
            </w: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6"/>
        </w:trPr>
        <w:tc>
          <w:tcPr>
            <w:tcW w:w="3340" w:type="dxa"/>
            <w:vAlign w:val="bottom"/>
          </w:tcPr>
          <w:p>
            <w:pPr>
              <w:ind w:left="460"/>
              <w:spacing w:after="0"/>
              <w:rPr>
                <w:sz w:val="20"/>
                <w:szCs w:val="20"/>
                <w:color w:val="auto"/>
              </w:rPr>
            </w:pPr>
            <w:r>
              <w:rPr>
                <w:rFonts w:ascii="Arial" w:cs="Arial" w:eastAsia="Arial" w:hAnsi="Arial"/>
                <w:sz w:val="18"/>
                <w:szCs w:val="18"/>
                <w:color w:val="auto"/>
              </w:rPr>
              <w:t>Assumed exercise or issuance of</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3340" w:type="dxa"/>
            <w:vAlign w:val="bottom"/>
          </w:tcPr>
          <w:p>
            <w:pPr>
              <w:ind w:left="620"/>
              <w:spacing w:after="0"/>
              <w:rPr>
                <w:sz w:val="20"/>
                <w:szCs w:val="20"/>
                <w:color w:val="auto"/>
              </w:rPr>
            </w:pPr>
            <w:r>
              <w:rPr>
                <w:rFonts w:ascii="Arial" w:cs="Arial" w:eastAsia="Arial" w:hAnsi="Arial"/>
                <w:sz w:val="18"/>
                <w:szCs w:val="18"/>
                <w:color w:val="auto"/>
              </w:rPr>
              <w:t>shares relating to stock plans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Diluted EPS attributable to Comcast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3340" w:type="dxa"/>
            <w:vAlign w:val="bottom"/>
          </w:tcPr>
          <w:p>
            <w:pPr>
              <w:ind w:left="280"/>
              <w:spacing w:after="0"/>
              <w:rPr>
                <w:sz w:val="20"/>
                <w:szCs w:val="20"/>
                <w:color w:val="auto"/>
              </w:rPr>
            </w:pPr>
            <w:r>
              <w:rPr>
                <w:rFonts w:ascii="Arial" w:cs="Arial" w:eastAsia="Arial" w:hAnsi="Arial"/>
                <w:sz w:val="18"/>
                <w:szCs w:val="18"/>
                <w:b w:val="1"/>
                <w:bCs w:val="1"/>
                <w:color w:val="auto"/>
              </w:rPr>
              <w:t>Corporation shareholders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262"/>
              <w:spacing w:after="0"/>
              <w:rPr>
                <w:sz w:val="20"/>
                <w:szCs w:val="20"/>
                <w:color w:val="auto"/>
              </w:rPr>
            </w:pPr>
            <w:r>
              <w:rPr>
                <w:rFonts w:ascii="Arial" w:cs="Arial" w:eastAsia="Arial" w:hAnsi="Arial"/>
                <w:sz w:val="18"/>
                <w:szCs w:val="18"/>
                <w:b w:val="1"/>
                <w:bCs w:val="1"/>
                <w:color w:val="auto"/>
              </w:rPr>
              <w:t>5,079</w:t>
            </w:r>
          </w:p>
        </w:tc>
        <w:tc>
          <w:tcPr>
            <w:tcW w:w="1160" w:type="dxa"/>
            <w:vAlign w:val="bottom"/>
          </w:tcPr>
          <w:p>
            <w:pPr>
              <w:jc w:val="right"/>
              <w:ind w:right="57"/>
              <w:spacing w:after="0"/>
              <w:rPr>
                <w:sz w:val="20"/>
                <w:szCs w:val="20"/>
                <w:color w:val="auto"/>
              </w:rPr>
            </w:pPr>
            <w:r>
              <w:rPr>
                <w:rFonts w:ascii="Arial" w:cs="Arial" w:eastAsia="Arial" w:hAnsi="Arial"/>
                <w:sz w:val="18"/>
                <w:szCs w:val="18"/>
                <w:b w:val="1"/>
                <w:bCs w:val="1"/>
                <w:color w:val="auto"/>
              </w:rPr>
              <w:t>4,820</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41"/>
              <w:spacing w:after="0"/>
              <w:rPr>
                <w:sz w:val="20"/>
                <w:szCs w:val="20"/>
                <w:color w:val="auto"/>
              </w:rPr>
            </w:pPr>
            <w:r>
              <w:rPr>
                <w:rFonts w:ascii="Arial" w:cs="Arial" w:eastAsia="Arial" w:hAnsi="Arial"/>
                <w:sz w:val="18"/>
                <w:szCs w:val="18"/>
                <w:b w:val="1"/>
                <w:bCs w:val="1"/>
                <w:color w:val="auto"/>
              </w:rPr>
              <w:t>1.05</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242"/>
              <w:spacing w:after="0"/>
              <w:rPr>
                <w:sz w:val="20"/>
                <w:szCs w:val="20"/>
                <w:color w:val="auto"/>
              </w:rPr>
            </w:pPr>
            <w:r>
              <w:rPr>
                <w:rFonts w:ascii="Arial" w:cs="Arial" w:eastAsia="Arial" w:hAnsi="Arial"/>
                <w:sz w:val="18"/>
                <w:szCs w:val="18"/>
                <w:b w:val="1"/>
                <w:bCs w:val="1"/>
                <w:color w:val="auto"/>
              </w:rPr>
              <w:t>4,162</w:t>
            </w:r>
          </w:p>
        </w:tc>
        <w:tc>
          <w:tcPr>
            <w:tcW w:w="1140" w:type="dxa"/>
            <w:vAlign w:val="bottom"/>
          </w:tcPr>
          <w:p>
            <w:pPr>
              <w:jc w:val="right"/>
              <w:ind w:right="37"/>
              <w:spacing w:after="0"/>
              <w:rPr>
                <w:sz w:val="20"/>
                <w:szCs w:val="20"/>
                <w:color w:val="auto"/>
              </w:rPr>
            </w:pPr>
            <w:r>
              <w:rPr>
                <w:rFonts w:ascii="Arial" w:cs="Arial" w:eastAsia="Arial" w:hAnsi="Arial"/>
                <w:sz w:val="18"/>
                <w:szCs w:val="18"/>
                <w:b w:val="1"/>
                <w:bCs w:val="1"/>
                <w:color w:val="auto"/>
              </w:rPr>
              <w:t>4,908</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b w:val="1"/>
                <w:bCs w:val="1"/>
                <w:color w:val="auto"/>
              </w:rPr>
              <w:t>0.85</w:t>
            </w:r>
          </w:p>
        </w:tc>
      </w:tr>
      <w:tr>
        <w:trPr>
          <w:trHeight w:val="34"/>
        </w:trPr>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Diluted earnings per common share attributable to Comcast Corporation shareholders (“diluted EPS”) considers the impact of potentially dilutive securities using the treasury stock method. Our potentially dilutive securities include potential common shares related to our stock options and our restricted share units (“RSUs”). The amount of potential common shares related to our share-based compensation plans that were excluded from diluted EPS because their effect would have been antidilutive was not material for the three and six months ended June 30, 2017 and 2016.</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Significant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FCC Spectrum Auction</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13, 2017, the Federal Communications Commission announced the results of its spectrum auction. In the auction, NBCUniversal relinquished its spectrum rights in the New York, Philadelphia and Chicago designated market areas (“DMAs”) where NBC and Telemundo had overlapping spectrum. NBCUniversal received proceeds of $482 million in July 2017. NBC and Telemundo stations will share broadcast signals in these DMAs. In connection with the auction, we also acquired the rights to $1.7 billion of spectrum, which were recorded to other intangible assets, net in our condensed consolidated balance sheet as of June 30, 2017. We had previously made a deposit of $1.8 billion to participate in the auction in the third quarter of 2016 and received a refund for amounts in excess of the purchase price in the second quarter of 2017.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Studios Japan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6, 2017, we acquired the remaining interests in Universal Studios Japan that we did not already own for $2.3 billion. The acquisition was funded through cash on hand and borrowings under our commercial paper program. Because we maintained control of Universal Studios Japan, the difference between the consideration transferred and the recorded value of the noncontrolling interests, as well as the related tax and accumulated other comprehensive income impacts, were recorded to additional paid-in capital.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DreamWorks Animation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22, 2016, we acquired all of the outstanding stock of DreamWorks Animation for $3.8 billion. DreamWorks Animation’s stockholders received $41 in cash for each share of DreamWorks Animation common stock. DreamWorks Animation creates animated feature films, television series and specials, live entertainment, and related consumer products. The results of operations for DreamWorks Animation are reported in our Filmed Entertainment segment following the acquisition date.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Purchase Price</w:t>
      </w:r>
    </w:p>
    <w:p>
      <w:pPr>
        <w:spacing w:after="0" w:line="7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transaction was accounted for under the acquisition method of accounting and, accordingly, the assets and liabilities are to be recorded at their fair market values as of the acquisition date. We recorded the acquired assets and liabilities of DreamWorks Animation at their estimated fair values based on valuation analyses. In valuing acquired assets and liabilities, fair value estimates were primarily based on Level 3 inputs, including future expected cash flows, market rate assumptions and discount rates. The fair value of the assumed debt was primarily based on quoted market values. The fair value of the liability related to a tax receivable agreement that DreamWorks Animation had previously entered into with one of its former stockholders (the “tax receivable agreement”) was based on the contractual settlement provisions in the agreement. Further, we recorded deferred income taxes based on our estimates of the tax basis of the acquired net assets and the valuation allowances based on the expected use of net operating loss carryforwards. The goodwill is not deductible for tax purposes. During the six months ended June 30, 2017, we updated the preliminary allocation of purchase price for DreamWorks Animation, which primarily resulted in increases to noncontrolling interests, intangible assets and goodwill and decreases to working capital and deferred income tax assets. The changes did not have a material impact on our condensed consolidated financial statements. We may adjust these amounts further</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as valuations are finalized and we obtain information necessary to complete the analyses, but no later than one year from the acquisition date.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preliminary allocation of the purchase price to the assets and liabilities of DreamWorks Animation.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800" w:type="dxa"/>
            <w:vAlign w:val="bottom"/>
          </w:tcPr>
          <w:p>
            <w:pPr>
              <w:spacing w:after="0"/>
              <w:rPr>
                <w:sz w:val="20"/>
                <w:szCs w:val="20"/>
                <w:color w:val="auto"/>
              </w:rPr>
            </w:pPr>
          </w:p>
        </w:tc>
        <w:tc>
          <w:tcPr>
            <w:tcW w:w="6680" w:type="dxa"/>
            <w:vAlign w:val="bottom"/>
          </w:tcPr>
          <w:p>
            <w:pPr>
              <w:jc w:val="right"/>
              <w:ind w:right="3450"/>
              <w:spacing w:after="0"/>
              <w:rPr>
                <w:sz w:val="20"/>
                <w:szCs w:val="20"/>
                <w:color w:val="auto"/>
              </w:rPr>
            </w:pPr>
            <w:r>
              <w:rPr>
                <w:rFonts w:ascii="Arial" w:cs="Arial" w:eastAsia="Arial" w:hAnsi="Arial"/>
                <w:sz w:val="18"/>
                <w:szCs w:val="18"/>
                <w:b w:val="1"/>
                <w:bCs w:val="1"/>
                <w:color w:val="auto"/>
              </w:rPr>
              <w:t>Allocation of Purchase Price</w:t>
            </w:r>
          </w:p>
        </w:tc>
        <w:tc>
          <w:tcPr>
            <w:tcW w:w="940" w:type="dxa"/>
            <w:vAlign w:val="bottom"/>
          </w:tcPr>
          <w:p>
            <w:pPr>
              <w:spacing w:after="0"/>
              <w:rPr>
                <w:sz w:val="20"/>
                <w:szCs w:val="20"/>
                <w:color w:val="auto"/>
              </w:rPr>
            </w:pPr>
          </w:p>
        </w:tc>
      </w:tr>
      <w:tr>
        <w:trPr>
          <w:trHeight w:val="210"/>
        </w:trPr>
        <w:tc>
          <w:tcPr>
            <w:tcW w:w="3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66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66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854</w:t>
            </w: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66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396</w:t>
            </w: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66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color w:val="auto"/>
              </w:rPr>
              <w:t>Debt</w:t>
            </w:r>
          </w:p>
        </w:tc>
        <w:tc>
          <w:tcPr>
            <w:tcW w:w="66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color w:val="auto"/>
              </w:rPr>
              <w:t>Tax receivable agreement</w:t>
            </w:r>
          </w:p>
        </w:tc>
        <w:tc>
          <w:tcPr>
            <w:tcW w:w="66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66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301</w:t>
            </w: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color w:val="auto"/>
              </w:rPr>
              <w:t>Other noncurrent assets and liabilities</w:t>
            </w:r>
          </w:p>
        </w:tc>
        <w:tc>
          <w:tcPr>
            <w:tcW w:w="66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3800" w:type="dxa"/>
            <w:vAlign w:val="bottom"/>
            <w:tcBorders>
              <w:bottom w:val="single" w:sz="8" w:color="auto"/>
            </w:tcBorders>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8"/>
                <w:szCs w:val="18"/>
                <w:color w:val="auto"/>
              </w:rPr>
              <w:t>Identifiable net assets (liabilities) acquired</w:t>
            </w:r>
          </w:p>
        </w:tc>
        <w:tc>
          <w:tcPr>
            <w:tcW w:w="66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1,321</w:t>
            </w: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66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66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2,789</w:t>
            </w:r>
          </w:p>
        </w:tc>
      </w:tr>
      <w:tr>
        <w:trPr>
          <w:trHeight w:val="27"/>
        </w:trPr>
        <w:tc>
          <w:tcPr>
            <w:tcW w:w="3800" w:type="dxa"/>
            <w:vAlign w:val="bottom"/>
            <w:tcBorders>
              <w:bottom w:val="single" w:sz="8" w:color="auto"/>
            </w:tcBorders>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8"/>
                <w:szCs w:val="18"/>
                <w:b w:val="1"/>
                <w:bCs w:val="1"/>
                <w:color w:val="auto"/>
              </w:rPr>
              <w:t>Cash consideration transferred</w:t>
            </w:r>
          </w:p>
        </w:tc>
        <w:tc>
          <w:tcPr>
            <w:tcW w:w="668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3,773</w:t>
            </w:r>
          </w:p>
        </w:tc>
      </w:tr>
      <w:tr>
        <w:trPr>
          <w:trHeight w:val="34"/>
        </w:trPr>
        <w:tc>
          <w:tcPr>
            <w:tcW w:w="3800" w:type="dxa"/>
            <w:vAlign w:val="bottom"/>
            <w:tcBorders>
              <w:bottom w:val="single" w:sz="8" w:color="auto"/>
            </w:tcBorders>
          </w:tcPr>
          <w:p>
            <w:pPr>
              <w:spacing w:after="0"/>
              <w:rPr>
                <w:sz w:val="2"/>
                <w:szCs w:val="2"/>
                <w:color w:val="auto"/>
              </w:rPr>
            </w:pPr>
          </w:p>
        </w:tc>
        <w:tc>
          <w:tcPr>
            <w:tcW w:w="6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tax receivable agreement was settled immediately following the acquisition and the payment was recorded as an operating activity in our condensed consolidated statement of cash flows in the third quarter of 2016. We also repaid all of the assumed debt of DreamWorks Animation in the third quarter of 2016.</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Revenue and net income attributable to the acquisition of DreamWorks Animation were not material for the three and six months ended June 30, 2017.</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Film and Television Costs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60" w:type="dxa"/>
            <w:vAlign w:val="bottom"/>
          </w:tcPr>
          <w:p>
            <w:pPr>
              <w:jc w:val="right"/>
              <w:ind w:right="513"/>
              <w:spacing w:after="0"/>
              <w:rPr>
                <w:sz w:val="20"/>
                <w:szCs w:val="20"/>
                <w:color w:val="auto"/>
              </w:rPr>
            </w:pPr>
            <w:r>
              <w:rPr>
                <w:rFonts w:ascii="Arial" w:cs="Arial" w:eastAsia="Arial" w:hAnsi="Arial"/>
                <w:sz w:val="14"/>
                <w:szCs w:val="14"/>
                <w:color w:val="auto"/>
              </w:rPr>
              <w:t>June 30,</w:t>
            </w:r>
          </w:p>
        </w:tc>
        <w:tc>
          <w:tcPr>
            <w:tcW w:w="360" w:type="dxa"/>
            <w:vAlign w:val="bottom"/>
          </w:tcPr>
          <w:p>
            <w:pPr>
              <w:spacing w:after="0"/>
              <w:rPr>
                <w:sz w:val="14"/>
                <w:szCs w:val="14"/>
                <w:color w:val="auto"/>
              </w:rPr>
            </w:pPr>
          </w:p>
        </w:tc>
        <w:tc>
          <w:tcPr>
            <w:tcW w:w="1260" w:type="dxa"/>
            <w:vAlign w:val="bottom"/>
          </w:tcPr>
          <w:p>
            <w:pPr>
              <w:jc w:val="right"/>
              <w:ind w:right="273"/>
              <w:spacing w:after="0"/>
              <w:rPr>
                <w:sz w:val="20"/>
                <w:szCs w:val="20"/>
                <w:color w:val="auto"/>
              </w:rPr>
            </w:pPr>
            <w:r>
              <w:rPr>
                <w:rFonts w:ascii="Arial" w:cs="Arial" w:eastAsia="Arial" w:hAnsi="Arial"/>
                <w:sz w:val="14"/>
                <w:szCs w:val="14"/>
                <w:color w:val="auto"/>
              </w:rPr>
              <w:t>December 31,</w:t>
            </w:r>
          </w:p>
        </w:tc>
      </w:tr>
      <w:tr>
        <w:trPr>
          <w:trHeight w:val="188"/>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0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2017</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2016</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Film Costs:</w:t>
            </w:r>
          </w:p>
        </w:tc>
        <w:tc>
          <w:tcPr>
            <w:tcW w:w="40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446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4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1,949</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1,750</w:t>
            </w:r>
          </w:p>
        </w:tc>
      </w:tr>
      <w:tr>
        <w:trPr>
          <w:trHeight w:val="270"/>
        </w:trPr>
        <w:tc>
          <w:tcPr>
            <w:tcW w:w="4460" w:type="dxa"/>
            <w:vAlign w:val="bottom"/>
          </w:tcPr>
          <w:p>
            <w:pPr>
              <w:ind w:left="380"/>
              <w:spacing w:after="0"/>
              <w:rPr>
                <w:sz w:val="20"/>
                <w:szCs w:val="20"/>
                <w:color w:val="auto"/>
              </w:rPr>
            </w:pPr>
            <w:r>
              <w:rPr>
                <w:rFonts w:ascii="Arial" w:cs="Arial" w:eastAsia="Arial" w:hAnsi="Arial"/>
                <w:sz w:val="18"/>
                <w:szCs w:val="18"/>
                <w:color w:val="auto"/>
              </w:rPr>
              <w:t>Completed, not released</w:t>
            </w:r>
          </w:p>
        </w:tc>
        <w:tc>
          <w:tcPr>
            <w:tcW w:w="408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93</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50</w:t>
            </w:r>
          </w:p>
        </w:tc>
      </w:tr>
      <w:tr>
        <w:trPr>
          <w:trHeight w:val="270"/>
        </w:trPr>
        <w:tc>
          <w:tcPr>
            <w:tcW w:w="446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408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813</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1,310</w:t>
            </w:r>
          </w:p>
        </w:tc>
      </w:tr>
      <w:tr>
        <w:trPr>
          <w:trHeight w:val="27"/>
        </w:trPr>
        <w:tc>
          <w:tcPr>
            <w:tcW w:w="44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2,855</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3,110</w:t>
            </w: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Television Costs:</w:t>
            </w:r>
          </w:p>
        </w:tc>
        <w:tc>
          <w:tcPr>
            <w:tcW w:w="40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446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408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1,888</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1,953</w:t>
            </w:r>
          </w:p>
        </w:tc>
      </w:tr>
      <w:tr>
        <w:trPr>
          <w:trHeight w:val="270"/>
        </w:trPr>
        <w:tc>
          <w:tcPr>
            <w:tcW w:w="446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408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751</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853</w:t>
            </w:r>
          </w:p>
        </w:tc>
      </w:tr>
      <w:tr>
        <w:trPr>
          <w:trHeight w:val="27"/>
        </w:trPr>
        <w:tc>
          <w:tcPr>
            <w:tcW w:w="44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2,639</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2,806</w:t>
            </w: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Programming rights, less amortization</w:t>
            </w:r>
          </w:p>
        </w:tc>
        <w:tc>
          <w:tcPr>
            <w:tcW w:w="408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2,734</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2,586</w:t>
            </w:r>
          </w:p>
        </w:tc>
      </w:tr>
      <w:tr>
        <w:trPr>
          <w:trHeight w:val="27"/>
        </w:trPr>
        <w:tc>
          <w:tcPr>
            <w:tcW w:w="44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8,228</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8,502</w:t>
            </w: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Less: Current portion of programming rights</w:t>
            </w:r>
          </w:p>
        </w:tc>
        <w:tc>
          <w:tcPr>
            <w:tcW w:w="408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1,633</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1,250</w:t>
            </w:r>
          </w:p>
        </w:tc>
      </w:tr>
      <w:tr>
        <w:trPr>
          <w:trHeight w:val="27"/>
        </w:trPr>
        <w:tc>
          <w:tcPr>
            <w:tcW w:w="44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Film and television costs</w:t>
            </w:r>
          </w:p>
        </w:tc>
        <w:tc>
          <w:tcPr>
            <w:tcW w:w="40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93"/>
              <w:spacing w:after="0"/>
              <w:rPr>
                <w:sz w:val="20"/>
                <w:szCs w:val="20"/>
                <w:color w:val="auto"/>
              </w:rPr>
            </w:pPr>
            <w:r>
              <w:rPr>
                <w:rFonts w:ascii="Arial" w:cs="Arial" w:eastAsia="Arial" w:hAnsi="Arial"/>
                <w:sz w:val="18"/>
                <w:szCs w:val="18"/>
                <w:b w:val="1"/>
                <w:bCs w:val="1"/>
                <w:color w:val="auto"/>
              </w:rPr>
              <w:t>6,595</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b w:val="1"/>
                <w:bCs w:val="1"/>
                <w:color w:val="auto"/>
              </w:rPr>
              <w:t>7,252</w:t>
            </w:r>
          </w:p>
        </w:tc>
      </w:tr>
      <w:tr>
        <w:trPr>
          <w:trHeight w:val="34"/>
        </w:trPr>
        <w:tc>
          <w:tcPr>
            <w:tcW w:w="44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513"/>
        </w:trPr>
        <w:tc>
          <w:tcPr>
            <w:tcW w:w="4460" w:type="dxa"/>
            <w:vAlign w:val="bottom"/>
          </w:tcPr>
          <w:p>
            <w:pPr>
              <w:spacing w:after="0"/>
              <w:rPr>
                <w:sz w:val="24"/>
                <w:szCs w:val="24"/>
                <w:color w:val="auto"/>
              </w:rPr>
            </w:pPr>
          </w:p>
        </w:tc>
        <w:tc>
          <w:tcPr>
            <w:tcW w:w="4080" w:type="dxa"/>
            <w:vAlign w:val="bottom"/>
          </w:tcPr>
          <w:p>
            <w:pPr>
              <w:jc w:val="right"/>
              <w:ind w:right="2690"/>
              <w:spacing w:after="0"/>
              <w:rPr>
                <w:sz w:val="20"/>
                <w:szCs w:val="20"/>
                <w:color w:val="auto"/>
              </w:rPr>
            </w:pPr>
            <w:r>
              <w:rPr>
                <w:rFonts w:ascii="Arial" w:cs="Arial" w:eastAsia="Arial" w:hAnsi="Arial"/>
                <w:sz w:val="18"/>
                <w:szCs w:val="18"/>
                <w:color w:val="auto"/>
              </w:rPr>
              <w:t>9</w:t>
            </w: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Investments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jc w:val="right"/>
              <w:ind w:right="594"/>
              <w:spacing w:after="0"/>
              <w:rPr>
                <w:sz w:val="20"/>
                <w:szCs w:val="20"/>
                <w:color w:val="auto"/>
              </w:rPr>
            </w:pPr>
            <w:r>
              <w:rPr>
                <w:rFonts w:ascii="Arial" w:cs="Arial" w:eastAsia="Arial" w:hAnsi="Arial"/>
                <w:sz w:val="14"/>
                <w:szCs w:val="14"/>
                <w:color w:val="auto"/>
              </w:rPr>
              <w:t>June 30,</w:t>
            </w:r>
          </w:p>
        </w:tc>
        <w:tc>
          <w:tcPr>
            <w:tcW w:w="320" w:type="dxa"/>
            <w:vAlign w:val="bottom"/>
          </w:tcPr>
          <w:p>
            <w:pPr>
              <w:spacing w:after="0"/>
              <w:rPr>
                <w:sz w:val="14"/>
                <w:szCs w:val="14"/>
                <w:color w:val="auto"/>
              </w:rPr>
            </w:pPr>
          </w:p>
        </w:tc>
        <w:tc>
          <w:tcPr>
            <w:tcW w:w="1220" w:type="dxa"/>
            <w:vAlign w:val="bottom"/>
          </w:tcPr>
          <w:p>
            <w:pPr>
              <w:jc w:val="right"/>
              <w:ind w:right="272"/>
              <w:spacing w:after="0"/>
              <w:rPr>
                <w:sz w:val="20"/>
                <w:szCs w:val="20"/>
                <w:color w:val="auto"/>
              </w:rPr>
            </w:pPr>
            <w:r>
              <w:rPr>
                <w:rFonts w:ascii="Arial" w:cs="Arial" w:eastAsia="Arial" w:hAnsi="Arial"/>
                <w:sz w:val="14"/>
                <w:szCs w:val="14"/>
                <w:color w:val="auto"/>
                <w:w w:val="95"/>
              </w:rPr>
              <w:t>December 31,</w:t>
            </w:r>
          </w:p>
        </w:tc>
      </w:tr>
      <w:tr>
        <w:trPr>
          <w:trHeight w:val="188"/>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2016</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Fair Value Method:</w:t>
            </w: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0"/>
        </w:trPr>
        <w:tc>
          <w:tcPr>
            <w:tcW w:w="4300" w:type="dxa"/>
            <w:vAlign w:val="bottom"/>
          </w:tcPr>
          <w:p>
            <w:pPr>
              <w:ind w:left="380"/>
              <w:spacing w:after="0"/>
              <w:rPr>
                <w:sz w:val="20"/>
                <w:szCs w:val="20"/>
                <w:color w:val="auto"/>
              </w:rPr>
            </w:pPr>
            <w:r>
              <w:rPr>
                <w:rFonts w:ascii="Arial" w:cs="Arial" w:eastAsia="Arial" w:hAnsi="Arial"/>
                <w:sz w:val="18"/>
                <w:szCs w:val="18"/>
                <w:color w:val="auto"/>
              </w:rPr>
              <w:t>Snap</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522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4300" w:type="dxa"/>
            <w:vAlign w:val="bottom"/>
          </w:tcPr>
          <w:p>
            <w:pPr>
              <w:ind w:left="38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198</w:t>
            </w:r>
          </w:p>
        </w:tc>
      </w:tr>
      <w:tr>
        <w:trPr>
          <w:trHeight w:val="27"/>
        </w:trPr>
        <w:tc>
          <w:tcPr>
            <w:tcW w:w="4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685</w:t>
            </w:r>
          </w:p>
        </w:tc>
        <w:tc>
          <w:tcPr>
            <w:tcW w:w="32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198</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4300" w:type="dxa"/>
            <w:vAlign w:val="bottom"/>
          </w:tcPr>
          <w:p>
            <w:pPr>
              <w:ind w:left="380"/>
              <w:spacing w:after="0"/>
              <w:rPr>
                <w:sz w:val="20"/>
                <w:szCs w:val="20"/>
                <w:color w:val="auto"/>
              </w:rPr>
            </w:pPr>
            <w:r>
              <w:rPr>
                <w:rFonts w:ascii="Arial" w:cs="Arial" w:eastAsia="Arial" w:hAnsi="Arial"/>
                <w:sz w:val="18"/>
                <w:szCs w:val="18"/>
                <w:color w:val="auto"/>
              </w:rPr>
              <w:t>Atairos</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2,233</w:t>
            </w:r>
          </w:p>
        </w:tc>
        <w:tc>
          <w:tcPr>
            <w:tcW w:w="3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1,601</w:t>
            </w:r>
          </w:p>
        </w:tc>
      </w:tr>
      <w:tr>
        <w:trPr>
          <w:trHeight w:val="270"/>
        </w:trPr>
        <w:tc>
          <w:tcPr>
            <w:tcW w:w="4300" w:type="dxa"/>
            <w:vAlign w:val="bottom"/>
          </w:tcPr>
          <w:p>
            <w:pPr>
              <w:ind w:left="380"/>
              <w:spacing w:after="0"/>
              <w:rPr>
                <w:sz w:val="20"/>
                <w:szCs w:val="20"/>
                <w:color w:val="auto"/>
              </w:rPr>
            </w:pPr>
            <w:r>
              <w:rPr>
                <w:rFonts w:ascii="Arial" w:cs="Arial" w:eastAsia="Arial" w:hAnsi="Arial"/>
                <w:sz w:val="18"/>
                <w:szCs w:val="18"/>
                <w:color w:val="auto"/>
              </w:rPr>
              <w:t>Hulu</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218</w:t>
            </w:r>
          </w:p>
        </w:tc>
        <w:tc>
          <w:tcPr>
            <w:tcW w:w="3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225</w:t>
            </w:r>
          </w:p>
        </w:tc>
      </w:tr>
      <w:tr>
        <w:trPr>
          <w:trHeight w:val="270"/>
        </w:trPr>
        <w:tc>
          <w:tcPr>
            <w:tcW w:w="4300" w:type="dxa"/>
            <w:vAlign w:val="bottom"/>
          </w:tcPr>
          <w:p>
            <w:pPr>
              <w:ind w:left="38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653</w:t>
            </w:r>
          </w:p>
        </w:tc>
        <w:tc>
          <w:tcPr>
            <w:tcW w:w="3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550</w:t>
            </w:r>
          </w:p>
        </w:tc>
      </w:tr>
      <w:tr>
        <w:trPr>
          <w:trHeight w:val="27"/>
        </w:trPr>
        <w:tc>
          <w:tcPr>
            <w:tcW w:w="4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3,104</w:t>
            </w:r>
          </w:p>
        </w:tc>
        <w:tc>
          <w:tcPr>
            <w:tcW w:w="32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2,376</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Cost Method:</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4300" w:type="dxa"/>
            <w:vAlign w:val="bottom"/>
          </w:tcPr>
          <w:p>
            <w:pPr>
              <w:ind w:left="380"/>
              <w:spacing w:after="0"/>
              <w:rPr>
                <w:sz w:val="20"/>
                <w:szCs w:val="20"/>
                <w:color w:val="auto"/>
              </w:rPr>
            </w:pPr>
            <w:r>
              <w:rPr>
                <w:rFonts w:ascii="Arial" w:cs="Arial" w:eastAsia="Arial" w:hAnsi="Arial"/>
                <w:sz w:val="18"/>
                <w:szCs w:val="18"/>
                <w:color w:val="auto"/>
              </w:rPr>
              <w:t>AirTouch</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1,606</w:t>
            </w:r>
          </w:p>
        </w:tc>
        <w:tc>
          <w:tcPr>
            <w:tcW w:w="3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1,599</w:t>
            </w:r>
          </w:p>
        </w:tc>
      </w:tr>
      <w:tr>
        <w:trPr>
          <w:trHeight w:val="270"/>
        </w:trPr>
        <w:tc>
          <w:tcPr>
            <w:tcW w:w="4300" w:type="dxa"/>
            <w:vAlign w:val="bottom"/>
          </w:tcPr>
          <w:p>
            <w:pPr>
              <w:ind w:left="380"/>
              <w:spacing w:after="0"/>
              <w:rPr>
                <w:sz w:val="20"/>
                <w:szCs w:val="20"/>
                <w:color w:val="auto"/>
              </w:rPr>
            </w:pPr>
            <w:r>
              <w:rPr>
                <w:rFonts w:ascii="Arial" w:cs="Arial" w:eastAsia="Arial" w:hAnsi="Arial"/>
                <w:sz w:val="18"/>
                <w:szCs w:val="18"/>
                <w:color w:val="auto"/>
              </w:rPr>
              <w:t>BuzzFeed</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400</w:t>
            </w:r>
          </w:p>
        </w:tc>
        <w:tc>
          <w:tcPr>
            <w:tcW w:w="3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400</w:t>
            </w:r>
          </w:p>
        </w:tc>
      </w:tr>
      <w:tr>
        <w:trPr>
          <w:trHeight w:val="270"/>
        </w:trPr>
        <w:tc>
          <w:tcPr>
            <w:tcW w:w="4300" w:type="dxa"/>
            <w:vAlign w:val="bottom"/>
          </w:tcPr>
          <w:p>
            <w:pPr>
              <w:ind w:left="38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759</w:t>
            </w:r>
          </w:p>
        </w:tc>
        <w:tc>
          <w:tcPr>
            <w:tcW w:w="3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771</w:t>
            </w:r>
          </w:p>
        </w:tc>
      </w:tr>
      <w:tr>
        <w:trPr>
          <w:trHeight w:val="27"/>
        </w:trPr>
        <w:tc>
          <w:tcPr>
            <w:tcW w:w="4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2,765</w:t>
            </w:r>
          </w:p>
        </w:tc>
        <w:tc>
          <w:tcPr>
            <w:tcW w:w="32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2,770</w:t>
            </w:r>
          </w:p>
        </w:tc>
      </w:tr>
      <w:tr>
        <w:trPr>
          <w:trHeight w:val="27"/>
        </w:trPr>
        <w:tc>
          <w:tcPr>
            <w:tcW w:w="4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6,554</w:t>
            </w:r>
          </w:p>
        </w:tc>
        <w:tc>
          <w:tcPr>
            <w:tcW w:w="32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5,344</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Less: Current investments</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jc w:val="right"/>
              <w:ind w:right="174"/>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97</w:t>
            </w:r>
          </w:p>
        </w:tc>
      </w:tr>
      <w:tr>
        <w:trPr>
          <w:trHeight w:val="27"/>
        </w:trPr>
        <w:tc>
          <w:tcPr>
            <w:tcW w:w="4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Noncurrent investments</w:t>
            </w: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ind w:right="174"/>
              <w:spacing w:after="0"/>
              <w:rPr>
                <w:sz w:val="20"/>
                <w:szCs w:val="20"/>
                <w:color w:val="auto"/>
              </w:rPr>
            </w:pPr>
            <w:r>
              <w:rPr>
                <w:rFonts w:ascii="Arial" w:cs="Arial" w:eastAsia="Arial" w:hAnsi="Arial"/>
                <w:sz w:val="18"/>
                <w:szCs w:val="18"/>
                <w:b w:val="1"/>
                <w:bCs w:val="1"/>
                <w:color w:val="auto"/>
              </w:rPr>
              <w:t>6,521</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5,247</w:t>
            </w:r>
          </w:p>
        </w:tc>
      </w:tr>
      <w:tr>
        <w:trPr>
          <w:trHeight w:val="34"/>
        </w:trPr>
        <w:tc>
          <w:tcPr>
            <w:tcW w:w="4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473"/>
        </w:trPr>
        <w:tc>
          <w:tcPr>
            <w:tcW w:w="4300" w:type="dxa"/>
            <w:vAlign w:val="bottom"/>
          </w:tcPr>
          <w:p>
            <w:pPr>
              <w:spacing w:after="0"/>
              <w:rPr>
                <w:sz w:val="24"/>
                <w:szCs w:val="24"/>
                <w:color w:val="auto"/>
              </w:rPr>
            </w:pPr>
          </w:p>
        </w:tc>
        <w:tc>
          <w:tcPr>
            <w:tcW w:w="3520" w:type="dxa"/>
            <w:vAlign w:val="bottom"/>
            <w:gridSpan w:val="4"/>
          </w:tcPr>
          <w:p>
            <w:pPr>
              <w:jc w:val="right"/>
              <w:ind w:right="716"/>
              <w:spacing w:after="0"/>
              <w:rPr>
                <w:sz w:val="20"/>
                <w:szCs w:val="20"/>
                <w:color w:val="auto"/>
              </w:rPr>
            </w:pPr>
            <w:r>
              <w:rPr>
                <w:rFonts w:ascii="Arial" w:cs="Arial" w:eastAsia="Arial" w:hAnsi="Arial"/>
                <w:sz w:val="18"/>
                <w:szCs w:val="18"/>
                <w:b w:val="1"/>
                <w:bCs w:val="1"/>
                <w:color w:val="auto"/>
              </w:rPr>
              <w:t>Investment Income (Loss), Net</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92"/>
        </w:trPr>
        <w:tc>
          <w:tcPr>
            <w:tcW w:w="4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40" w:type="dxa"/>
            <w:vAlign w:val="bottom"/>
            <w:gridSpan w:val="2"/>
          </w:tcPr>
          <w:p>
            <w:pPr>
              <w:jc w:val="right"/>
              <w:ind w:right="416"/>
              <w:spacing w:after="0"/>
              <w:rPr>
                <w:sz w:val="20"/>
                <w:szCs w:val="20"/>
                <w:color w:val="auto"/>
              </w:rPr>
            </w:pPr>
            <w:r>
              <w:rPr>
                <w:rFonts w:ascii="Arial" w:cs="Arial" w:eastAsia="Arial" w:hAnsi="Arial"/>
                <w:sz w:val="14"/>
                <w:szCs w:val="14"/>
                <w:color w:val="auto"/>
                <w:w w:val="93"/>
              </w:rPr>
              <w:t>Three Months Ended</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20" w:type="dxa"/>
            <w:vAlign w:val="bottom"/>
            <w:gridSpan w:val="3"/>
          </w:tcPr>
          <w:p>
            <w:pPr>
              <w:jc w:val="right"/>
              <w:ind w:right="892"/>
              <w:spacing w:after="0"/>
              <w:rPr>
                <w:sz w:val="20"/>
                <w:szCs w:val="20"/>
                <w:color w:val="auto"/>
              </w:rPr>
            </w:pPr>
            <w:r>
              <w:rPr>
                <w:rFonts w:ascii="Arial" w:cs="Arial" w:eastAsia="Arial" w:hAnsi="Arial"/>
                <w:sz w:val="14"/>
                <w:szCs w:val="14"/>
                <w:color w:val="auto"/>
              </w:rPr>
              <w:t>Six Months Ended</w:t>
            </w:r>
          </w:p>
        </w:tc>
      </w:tr>
      <w:tr>
        <w:trPr>
          <w:trHeight w:val="188"/>
        </w:trPr>
        <w:tc>
          <w:tcPr>
            <w:tcW w:w="4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796"/>
              <w:spacing w:after="0"/>
              <w:rPr>
                <w:sz w:val="20"/>
                <w:szCs w:val="20"/>
                <w:color w:val="auto"/>
              </w:rPr>
            </w:pPr>
            <w:r>
              <w:rPr>
                <w:rFonts w:ascii="Arial" w:cs="Arial" w:eastAsia="Arial" w:hAnsi="Arial"/>
                <w:sz w:val="14"/>
                <w:szCs w:val="14"/>
                <w:color w:val="auto"/>
              </w:rPr>
              <w:t>June 30</w:t>
            </w:r>
          </w:p>
        </w:tc>
        <w:tc>
          <w:tcPr>
            <w:tcW w:w="4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1220" w:type="dxa"/>
            <w:vAlign w:val="bottom"/>
            <w:tcBorders>
              <w:bottom w:val="single" w:sz="8" w:color="auto"/>
            </w:tcBorders>
          </w:tcPr>
          <w:p>
            <w:pPr>
              <w:spacing w:after="0"/>
              <w:rPr>
                <w:sz w:val="16"/>
                <w:szCs w:val="16"/>
                <w:color w:val="auto"/>
              </w:rPr>
            </w:pPr>
          </w:p>
        </w:tc>
      </w:tr>
      <w:tr>
        <w:trPr>
          <w:trHeight w:val="264"/>
        </w:trPr>
        <w:tc>
          <w:tcPr>
            <w:tcW w:w="4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2017</w:t>
            </w:r>
          </w:p>
        </w:tc>
        <w:tc>
          <w:tcPr>
            <w:tcW w:w="6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2016</w:t>
            </w:r>
          </w:p>
        </w:tc>
        <w:tc>
          <w:tcPr>
            <w:tcW w:w="4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2016</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w w:val="90"/>
              </w:rPr>
              <w:t>Gains (losses) on sales and exchanges of investments, net</w:t>
            </w: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836"/>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Investment impairment losses</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Interest and dividend income</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jc w:val="right"/>
              <w:ind w:right="75"/>
              <w:spacing w:after="0"/>
              <w:rPr>
                <w:sz w:val="20"/>
                <w:szCs w:val="20"/>
                <w:color w:val="auto"/>
              </w:rPr>
            </w:pPr>
            <w:r>
              <w:rPr>
                <w:rFonts w:ascii="Arial" w:cs="Arial" w:eastAsia="Arial" w:hAnsi="Arial"/>
                <w:sz w:val="18"/>
                <w:szCs w:val="18"/>
                <w:color w:val="auto"/>
              </w:rPr>
              <w:t>32</w:t>
            </w:r>
          </w:p>
        </w:tc>
        <w:tc>
          <w:tcPr>
            <w:tcW w:w="1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3"/>
                <w:szCs w:val="23"/>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60</w:t>
            </w: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8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20" w:type="dxa"/>
            <w:vAlign w:val="bottom"/>
          </w:tcPr>
          <w:p>
            <w:pPr>
              <w:jc w:val="right"/>
              <w:ind w:right="75"/>
              <w:spacing w:after="0"/>
              <w:rPr>
                <w:sz w:val="20"/>
                <w:szCs w:val="20"/>
                <w:color w:val="auto"/>
              </w:rPr>
            </w:pPr>
            <w:r>
              <w:rPr>
                <w:rFonts w:ascii="Arial" w:cs="Arial" w:eastAsia="Arial" w:hAnsi="Arial"/>
                <w:sz w:val="18"/>
                <w:szCs w:val="18"/>
                <w:color w:val="auto"/>
              </w:rPr>
              <w:t>34</w:t>
            </w:r>
          </w:p>
        </w:tc>
        <w:tc>
          <w:tcPr>
            <w:tcW w:w="1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3"/>
                <w:szCs w:val="23"/>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34</w:t>
            </w:r>
          </w:p>
        </w:tc>
      </w:tr>
      <w:tr>
        <w:trPr>
          <w:trHeight w:val="27"/>
        </w:trPr>
        <w:tc>
          <w:tcPr>
            <w:tcW w:w="4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b w:val="1"/>
                <w:bCs w:val="1"/>
                <w:color w:val="auto"/>
              </w:rPr>
              <w:t>Investment income (loss), net</w:t>
            </w:r>
          </w:p>
        </w:tc>
        <w:tc>
          <w:tcPr>
            <w:tcW w:w="17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75"/>
              <w:spacing w:after="0"/>
              <w:rPr>
                <w:sz w:val="20"/>
                <w:szCs w:val="20"/>
                <w:color w:val="auto"/>
              </w:rPr>
            </w:pPr>
            <w:r>
              <w:rPr>
                <w:rFonts w:ascii="Arial" w:cs="Arial" w:eastAsia="Arial" w:hAnsi="Arial"/>
                <w:sz w:val="18"/>
                <w:szCs w:val="18"/>
                <w:b w:val="1"/>
                <w:bCs w:val="1"/>
                <w:color w:val="auto"/>
              </w:rPr>
              <w:t>64</w:t>
            </w:r>
          </w:p>
        </w:tc>
        <w:tc>
          <w:tcPr>
            <w:tcW w:w="1120" w:type="dxa"/>
            <w:vAlign w:val="bottom"/>
          </w:tcPr>
          <w:p>
            <w:pPr>
              <w:jc w:val="right"/>
              <w:ind w:right="836"/>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3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54"/>
              <w:spacing w:after="0"/>
              <w:rPr>
                <w:sz w:val="20"/>
                <w:szCs w:val="20"/>
                <w:color w:val="auto"/>
              </w:rPr>
            </w:pPr>
            <w:r>
              <w:rPr>
                <w:rFonts w:ascii="Arial" w:cs="Arial" w:eastAsia="Arial" w:hAnsi="Arial"/>
                <w:sz w:val="18"/>
                <w:szCs w:val="18"/>
                <w:b w:val="1"/>
                <w:bCs w:val="1"/>
                <w:color w:val="auto"/>
              </w:rPr>
              <w:t>123</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88</w:t>
            </w:r>
          </w:p>
        </w:tc>
      </w:tr>
      <w:tr>
        <w:trPr>
          <w:trHeight w:val="34"/>
        </w:trPr>
        <w:tc>
          <w:tcPr>
            <w:tcW w:w="4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Snap</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2017, we acquired an interest in Snap Inc. for $500 million as part of its initial public offering, which we have classified as an available-for-sale security. Snap is a camera company whose primary product is Snapchat, a camera app that was created to help people communicate through short videos and images.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Atairos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six months ended June 30, 2017, we made cash capital contributions totaling $994 million to Atairos Group, Inc., which included amounts accrued as of December 31, 2016. Atairos follows investment company accounting and records its investments at their fair values each reporting period with the net gains or losses reflected in its statement of income. We recognize our share of these gains and losses in equity in net income (losses) of investees, net. For the three and six months ended June 30, 2017, our share of Atairos income was $42 million and $99 million, respectively. For the three and six months ended June 30, 2016, our share of Atairos losses was $12 million and $27 million, respectively.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Weather Channel</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2016, following a legal restructuring at The Weather Channel, we and the other investors sold the entity holding The Weather Channel’s product and technology businesses to IBM. Following the close of the transaction, we continue to hold an investment in The Weather Channel cable network through a new holding company. As a result of the sale of our investment, we recognized a pretax gain of $108 million in other income (expense), net for the six months ended June 30, 2016.</w:t>
      </w:r>
    </w:p>
    <w:p>
      <w:pPr>
        <w:sectPr>
          <w:pgSz w:w="11900" w:h="16838" w:orient="portrait"/>
          <w:cols w:equalWidth="0" w:num="1">
            <w:col w:w="11420"/>
          </w:cols>
          <w:pgMar w:left="240" w:top="121" w:right="239"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AirTouch</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hold two series of preferred stock of Verizon Americas, Inc., formerly known as AirTouch Communications, Inc. (“AirTouch”), a subsidiary of Verizon Communications Inc., which are redeemable in April 2020. As of June 30, 2017, the estimated fair value of the AirTouch preferred stock and the estimated fair value of the associated liability related to the redeemable subsidiary preferred shares issued by one of our consolidated subsidiaries were each $1.7 billion. The estimated fair values are based on Level 2 inputs that use pricing models whose inputs are derived primarily from or corroborated by observable market data through correlation or other means for substantially the full term of the financial instrument.</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2017, our debt had a carrying value of $63.6 billion and an estimated fair value of $70.3 billion. The estimated fair value of our publicly traded debt was primarily based on Level 1 inputs that use quoted market values for the debt. The estimated fair value of debt for which there are no quoted market prices was based on Level 2 inputs that use interest rates available to us for debt with similar terms and remaining maturities.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Borrowings and Repayments</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2017, NBCUniversal Enterprise issued $1.5 billion aggregate principal amount of senior floating rate notes due 2021. In March 2017, we issued $1.005 billion aggregate principal amount of 4.45% senior notes due 2047. In January 2017, we issued $1.25 billion aggregate principal amount of 3.00% senior notes due 2024 and $1.25 billion aggregate principal amount of 3.30% senior notes due 2027.</w:t>
      </w:r>
    </w:p>
    <w:p>
      <w:pPr>
        <w:spacing w:after="0" w:line="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2017, we repaid at maturity $550 million aggregate principal amount of 8.875% senior notes due 2017. In January 2017, we repaid at maturity $1.0 billion aggregate principal amount of 6.50% senior notes due 2017.</w:t>
      </w:r>
    </w:p>
    <w:p>
      <w:pPr>
        <w:spacing w:after="0" w:line="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2017, Universal Studios Japan entered into a new ¥450 billion ($3.9 billion at issuance) term loan with a final maturity of March 2022. We used the proceeds from this borrowing to repay in full $3.3 billion of Universal Studios Japan’s existing yen-denominated term loans and a portion of amounts outstanding under our commercial paper program.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Facilities</w:t>
      </w:r>
    </w:p>
    <w:p>
      <w:pPr>
        <w:spacing w:after="0" w:line="8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June 30, 2017, amounts available under our consolidated revolving credit facilities, net of amounts outstanding under our commercial paper programs and outstanding letters of credit, totaled $7.2 billion, which included $1.5 billion available under NBCUniversal Enterprise’s revolving credit facility.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2017, we increased the Comcast and NBCUniversal Enterprise commercial paper programs to $7.0 billion and $1.5 billion, respectively, to coincide with the Comcast and NBCUniversal Enterprise revolving credit facilities’ commitments.</w:t>
      </w:r>
    </w:p>
    <w:p>
      <w:pPr>
        <w:spacing w:after="0" w:line="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2017, Comcast had $1.1 billion face amount of commercial paper outstanding and NBCUniversal Enterprise had no commercial paper outstanding.</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Share-Based Compensation</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share-based compensation plans consist primarily of awards of RSUs and stock options to certain employees and directors as part of our approach to long-term incentive compensation. Additionally, through our employee stock purchase plans, employees are able to purchase shares of our common stock at a discount through payroll deductions.</w:t>
      </w:r>
    </w:p>
    <w:p>
      <w:pPr>
        <w:spacing w:after="0" w:line="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2017, we granted 10.6 million RSUs and 39.1 million stock options related to our annual management awards. The weighted-average fair values associated with these grants were $37.42 per RSU and $7.01 per stock option.</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w w:val="88"/>
              </w:rPr>
              <w:t>June 30</w:t>
            </w: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w w:val="88"/>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2017</w:t>
            </w:r>
          </w:p>
        </w:tc>
        <w:tc>
          <w:tcPr>
            <w:tcW w:w="9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2016</w:t>
            </w: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2017</w:t>
            </w:r>
          </w:p>
        </w:tc>
        <w:tc>
          <w:tcPr>
            <w:tcW w:w="8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Restricted share units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c>
          <w:tcPr>
            <w:tcW w:w="90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89</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185</w:t>
            </w:r>
          </w:p>
        </w:tc>
        <w:tc>
          <w:tcPr>
            <w:tcW w:w="84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159</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c>
          <w:tcPr>
            <w:tcW w:w="900" w:type="dxa"/>
            <w:vAlign w:val="bottom"/>
          </w:tcPr>
          <w:p>
            <w:pPr>
              <w:spacing w:after="0"/>
              <w:rPr>
                <w:sz w:val="23"/>
                <w:szCs w:val="23"/>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48</w:t>
            </w: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w:t>
            </w:r>
          </w:p>
        </w:tc>
        <w:tc>
          <w:tcPr>
            <w:tcW w:w="84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85</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900" w:type="dxa"/>
            <w:vAlign w:val="bottom"/>
          </w:tcPr>
          <w:p>
            <w:pPr>
              <w:spacing w:after="0"/>
              <w:rPr>
                <w:sz w:val="23"/>
                <w:szCs w:val="23"/>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84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16</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90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4"/>
              <w:spacing w:after="0"/>
              <w:rPr>
                <w:sz w:val="20"/>
                <w:szCs w:val="20"/>
                <w:color w:val="auto"/>
              </w:rPr>
            </w:pPr>
            <w:r>
              <w:rPr>
                <w:rFonts w:ascii="Arial" w:cs="Arial" w:eastAsia="Arial" w:hAnsi="Arial"/>
                <w:sz w:val="18"/>
                <w:szCs w:val="18"/>
                <w:b w:val="1"/>
                <w:bCs w:val="1"/>
                <w:color w:val="auto"/>
              </w:rPr>
              <w:t>145</w:t>
            </w:r>
          </w:p>
        </w:tc>
        <w:tc>
          <w:tcPr>
            <w:tcW w:w="5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305</w:t>
            </w:r>
          </w:p>
        </w:tc>
        <w:tc>
          <w:tcPr>
            <w:tcW w:w="840" w:type="dxa"/>
            <w:vAlign w:val="bottom"/>
          </w:tcPr>
          <w:p>
            <w:pPr>
              <w:jc w:val="right"/>
              <w:ind w:right="316"/>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b w:val="1"/>
                <w:bCs w:val="1"/>
                <w:color w:val="auto"/>
              </w:rPr>
              <w:t>260</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2017, we had unrecognized pretax compensation expense of $915 million and $502 million related to nonvested RSUs and nonvested stock options, respectively.</w:t>
      </w:r>
    </w:p>
    <w:p>
      <w:pPr>
        <w:sectPr>
          <w:pgSz w:w="11900" w:h="16838" w:orient="portrait"/>
          <w:cols w:equalWidth="0" w:num="1">
            <w:col w:w="11420"/>
          </w:cols>
          <w:pgMar w:left="240" w:top="121" w:right="239" w:bottom="1440"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Supplemental Financial Information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center"/>
              <w:ind w:left="65"/>
              <w:spacing w:after="0"/>
              <w:rPr>
                <w:sz w:val="20"/>
                <w:szCs w:val="20"/>
                <w:color w:val="auto"/>
              </w:rPr>
            </w:pPr>
            <w:r>
              <w:rPr>
                <w:rFonts w:ascii="Arial" w:cs="Arial" w:eastAsia="Arial" w:hAnsi="Arial"/>
                <w:sz w:val="14"/>
                <w:szCs w:val="14"/>
                <w:color w:val="auto"/>
                <w:w w:val="89"/>
              </w:rPr>
              <w:t>June 30,</w:t>
            </w:r>
          </w:p>
        </w:tc>
        <w:tc>
          <w:tcPr>
            <w:tcW w:w="60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color w:val="auto"/>
                <w:w w:val="90"/>
              </w:rPr>
              <w:t>December 31,</w:t>
            </w:r>
          </w:p>
        </w:tc>
      </w:tr>
      <w:tr>
        <w:trPr>
          <w:trHeight w:val="188"/>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color w:val="auto"/>
                <w:w w:val="89"/>
              </w:rPr>
              <w:t>2017</w:t>
            </w:r>
          </w:p>
        </w:tc>
        <w:tc>
          <w:tcPr>
            <w:tcW w:w="6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73"/>
              <w:spacing w:after="0"/>
              <w:rPr>
                <w:sz w:val="20"/>
                <w:szCs w:val="20"/>
                <w:color w:val="auto"/>
              </w:rPr>
            </w:pPr>
            <w:r>
              <w:rPr>
                <w:rFonts w:ascii="Arial" w:cs="Arial" w:eastAsia="Arial" w:hAnsi="Arial"/>
                <w:sz w:val="14"/>
                <w:szCs w:val="14"/>
                <w:color w:val="auto"/>
                <w:w w:val="89"/>
              </w:rPr>
              <w:t>2016</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Receivables, gross</w:t>
            </w: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Pr>
          <w:p>
            <w:pPr>
              <w:spacing w:after="0"/>
              <w:rPr>
                <w:sz w:val="21"/>
                <w:szCs w:val="21"/>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w w:val="84"/>
              </w:rPr>
              <w:t>8,459</w:t>
            </w:r>
          </w:p>
        </w:tc>
        <w:tc>
          <w:tcPr>
            <w:tcW w:w="5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8,622</w:t>
            </w:r>
          </w:p>
        </w:tc>
      </w:tr>
      <w:tr>
        <w:trPr>
          <w:trHeight w:val="270"/>
        </w:trPr>
        <w:tc>
          <w:tcPr>
            <w:tcW w:w="3860" w:type="dxa"/>
            <w:vAlign w:val="bottom"/>
          </w:tcPr>
          <w:p>
            <w:pPr>
              <w:ind w:left="40"/>
              <w:spacing w:after="0"/>
              <w:rPr>
                <w:sz w:val="20"/>
                <w:szCs w:val="20"/>
                <w:color w:val="auto"/>
              </w:rPr>
            </w:pPr>
            <w:r>
              <w:rPr>
                <w:rFonts w:ascii="Arial" w:cs="Arial" w:eastAsia="Arial" w:hAnsi="Arial"/>
                <w:sz w:val="18"/>
                <w:szCs w:val="18"/>
                <w:color w:val="auto"/>
                <w:w w:val="91"/>
              </w:rPr>
              <w:t>Less: Allowance for returns and customer incentives</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345</w:t>
            </w:r>
          </w:p>
        </w:tc>
        <w:tc>
          <w:tcPr>
            <w:tcW w:w="58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417</w:t>
            </w:r>
          </w:p>
        </w:tc>
      </w:tr>
      <w:tr>
        <w:trPr>
          <w:trHeight w:val="270"/>
        </w:trPr>
        <w:tc>
          <w:tcPr>
            <w:tcW w:w="386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265</w:t>
            </w:r>
          </w:p>
        </w:tc>
        <w:tc>
          <w:tcPr>
            <w:tcW w:w="58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250</w:t>
            </w:r>
          </w:p>
        </w:tc>
      </w:tr>
      <w:tr>
        <w:trPr>
          <w:trHeight w:val="27"/>
        </w:trPr>
        <w:tc>
          <w:tcPr>
            <w:tcW w:w="3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Receivables, net</w:t>
            </w: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spacing w:after="0"/>
              <w:rPr>
                <w:sz w:val="20"/>
                <w:szCs w:val="20"/>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b w:val="1"/>
                <w:bCs w:val="1"/>
                <w:color w:val="auto"/>
                <w:w w:val="84"/>
              </w:rPr>
              <w:t>7,849</w:t>
            </w:r>
          </w:p>
        </w:tc>
        <w:tc>
          <w:tcPr>
            <w:tcW w:w="58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b w:val="1"/>
                <w:bCs w:val="1"/>
                <w:color w:val="auto"/>
              </w:rPr>
              <w:t>7,955</w:t>
            </w:r>
          </w:p>
        </w:tc>
      </w:tr>
      <w:tr>
        <w:trPr>
          <w:trHeight w:val="34"/>
        </w:trPr>
        <w:tc>
          <w:tcPr>
            <w:tcW w:w="4800" w:type="dxa"/>
            <w:vAlign w:val="bottom"/>
            <w:tcBorders>
              <w:bottom w:val="single" w:sz="8" w:color="auto"/>
            </w:tcBorders>
            <w:gridSpan w:val="2"/>
          </w:tcPr>
          <w:p>
            <w:pPr>
              <w:spacing w:after="0"/>
              <w:rPr>
                <w:sz w:val="2"/>
                <w:szCs w:val="2"/>
                <w:color w:val="auto"/>
              </w:rPr>
            </w:pPr>
          </w:p>
        </w:tc>
        <w:tc>
          <w:tcPr>
            <w:tcW w:w="344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05"/>
        </w:trPr>
        <w:tc>
          <w:tcPr>
            <w:tcW w:w="8240" w:type="dxa"/>
            <w:vAlign w:val="bottom"/>
            <w:gridSpan w:val="6"/>
          </w:tcPr>
          <w:p>
            <w:pPr>
              <w:jc w:val="center"/>
              <w:ind w:left="3092"/>
              <w:spacing w:after="0"/>
              <w:rPr>
                <w:sz w:val="20"/>
                <w:szCs w:val="20"/>
                <w:color w:val="auto"/>
              </w:rPr>
            </w:pPr>
            <w:r>
              <w:rPr>
                <w:rFonts w:ascii="Arial" w:cs="Arial" w:eastAsia="Arial" w:hAnsi="Arial"/>
                <w:sz w:val="18"/>
                <w:szCs w:val="18"/>
                <w:b w:val="1"/>
                <w:bCs w:val="1"/>
                <w:color w:val="auto"/>
              </w:rPr>
              <w:t>Accumulated Other Comprehensive Income (Loss)</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9"/>
        </w:trPr>
        <w:tc>
          <w:tcPr>
            <w:tcW w:w="3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center"/>
              <w:ind w:left="65"/>
              <w:spacing w:after="0"/>
              <w:rPr>
                <w:sz w:val="20"/>
                <w:szCs w:val="20"/>
                <w:color w:val="auto"/>
              </w:rPr>
            </w:pPr>
            <w:r>
              <w:rPr>
                <w:rFonts w:ascii="Arial" w:cs="Arial" w:eastAsia="Arial" w:hAnsi="Arial"/>
                <w:sz w:val="14"/>
                <w:szCs w:val="14"/>
                <w:color w:val="auto"/>
                <w:w w:val="89"/>
              </w:rPr>
              <w:t>June 30,</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jc w:val="center"/>
              <w:ind w:right="413"/>
              <w:spacing w:after="0"/>
              <w:rPr>
                <w:sz w:val="20"/>
                <w:szCs w:val="20"/>
                <w:color w:val="auto"/>
              </w:rPr>
            </w:pPr>
            <w:r>
              <w:rPr>
                <w:rFonts w:ascii="Arial" w:cs="Arial" w:eastAsia="Arial" w:hAnsi="Arial"/>
                <w:sz w:val="14"/>
                <w:szCs w:val="14"/>
                <w:color w:val="auto"/>
                <w:w w:val="89"/>
              </w:rPr>
              <w:t>June 30,</w:t>
            </w:r>
          </w:p>
        </w:tc>
      </w:tr>
      <w:tr>
        <w:trPr>
          <w:trHeight w:val="188"/>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color w:val="auto"/>
                <w:w w:val="89"/>
              </w:rPr>
              <w:t>2017</w:t>
            </w:r>
          </w:p>
        </w:tc>
        <w:tc>
          <w:tcPr>
            <w:tcW w:w="6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73"/>
              <w:spacing w:after="0"/>
              <w:rPr>
                <w:sz w:val="20"/>
                <w:szCs w:val="20"/>
                <w:color w:val="auto"/>
              </w:rPr>
            </w:pPr>
            <w:r>
              <w:rPr>
                <w:rFonts w:ascii="Arial" w:cs="Arial" w:eastAsia="Arial" w:hAnsi="Arial"/>
                <w:sz w:val="14"/>
                <w:szCs w:val="14"/>
                <w:color w:val="auto"/>
                <w:w w:val="89"/>
              </w:rPr>
              <w:t>2016</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w w:val="94"/>
              </w:rPr>
              <w:t>Unrealized gains (losses) on marketable securities</w:t>
            </w: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Pr>
          <w:p>
            <w:pPr>
              <w:spacing w:after="0"/>
              <w:rPr>
                <w:sz w:val="21"/>
                <w:szCs w:val="21"/>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17</w:t>
            </w:r>
          </w:p>
        </w:tc>
        <w:tc>
          <w:tcPr>
            <w:tcW w:w="5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0"/>
        </w:trPr>
        <w:tc>
          <w:tcPr>
            <w:tcW w:w="386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5400" w:type="dxa"/>
            <w:vAlign w:val="bottom"/>
            <w:gridSpan w:val="3"/>
          </w:tcPr>
          <w:p>
            <w:pPr>
              <w:ind w:left="40"/>
              <w:spacing w:after="0"/>
              <w:rPr>
                <w:sz w:val="20"/>
                <w:szCs w:val="20"/>
                <w:color w:val="auto"/>
              </w:rPr>
            </w:pPr>
            <w:r>
              <w:rPr>
                <w:rFonts w:ascii="Arial" w:cs="Arial" w:eastAsia="Arial" w:hAnsi="Arial"/>
                <w:sz w:val="18"/>
                <w:szCs w:val="18"/>
                <w:color w:val="auto"/>
              </w:rPr>
              <w:t>Unrecognized gains (losses) on employee benefit obligations</w:t>
            </w: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276</w:t>
            </w:r>
          </w:p>
        </w:tc>
        <w:tc>
          <w:tcPr>
            <w:tcW w:w="58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70"/>
        </w:trPr>
        <w:tc>
          <w:tcPr>
            <w:tcW w:w="3860" w:type="dxa"/>
            <w:vAlign w:val="bottom"/>
          </w:tcPr>
          <w:p>
            <w:pPr>
              <w:ind w:left="40"/>
              <w:spacing w:after="0"/>
              <w:rPr>
                <w:sz w:val="20"/>
                <w:szCs w:val="20"/>
                <w:color w:val="auto"/>
              </w:rPr>
            </w:pPr>
            <w:r>
              <w:rPr>
                <w:rFonts w:ascii="Arial" w:cs="Arial" w:eastAsia="Arial" w:hAnsi="Arial"/>
                <w:sz w:val="18"/>
                <w:szCs w:val="18"/>
                <w:color w:val="auto"/>
              </w:rPr>
              <w:t>Cumulative translation adjustments</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151</w:t>
            </w:r>
          </w:p>
        </w:tc>
        <w:tc>
          <w:tcPr>
            <w:tcW w:w="58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65</w:t>
            </w:r>
          </w:p>
        </w:tc>
      </w:tr>
      <w:tr>
        <w:trPr>
          <w:trHeight w:val="27"/>
        </w:trPr>
        <w:tc>
          <w:tcPr>
            <w:tcW w:w="48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400" w:type="dxa"/>
            <w:vAlign w:val="bottom"/>
            <w:gridSpan w:val="3"/>
          </w:tcPr>
          <w:p>
            <w:pPr>
              <w:ind w:left="40"/>
              <w:spacing w:after="0"/>
              <w:rPr>
                <w:sz w:val="20"/>
                <w:szCs w:val="20"/>
                <w:color w:val="auto"/>
              </w:rPr>
            </w:pPr>
            <w:r>
              <w:rPr>
                <w:rFonts w:ascii="Arial" w:cs="Arial" w:eastAsia="Arial" w:hAnsi="Arial"/>
                <w:sz w:val="18"/>
                <w:szCs w:val="18"/>
                <w:b w:val="1"/>
                <w:bCs w:val="1"/>
                <w:color w:val="auto"/>
                <w:w w:val="87"/>
              </w:rPr>
              <w:t>Accumulated other comprehensive income (loss), net of deferred taxes</w:t>
            </w: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spacing w:after="0"/>
              <w:rPr>
                <w:sz w:val="20"/>
                <w:szCs w:val="20"/>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b w:val="1"/>
                <w:bCs w:val="1"/>
                <w:color w:val="auto"/>
              </w:rPr>
              <w:t>428</w:t>
            </w:r>
          </w:p>
        </w:tc>
        <w:tc>
          <w:tcPr>
            <w:tcW w:w="58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b w:val="1"/>
                <w:bCs w:val="1"/>
                <w:color w:val="auto"/>
              </w:rPr>
              <w:t>1</w:t>
            </w:r>
          </w:p>
        </w:tc>
      </w:tr>
      <w:tr>
        <w:trPr>
          <w:trHeight w:val="34"/>
        </w:trPr>
        <w:tc>
          <w:tcPr>
            <w:tcW w:w="3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05"/>
        </w:trPr>
        <w:tc>
          <w:tcPr>
            <w:tcW w:w="3860" w:type="dxa"/>
            <w:vAlign w:val="bottom"/>
          </w:tcPr>
          <w:p>
            <w:pPr>
              <w:spacing w:after="0"/>
              <w:rPr>
                <w:sz w:val="24"/>
                <w:szCs w:val="24"/>
                <w:color w:val="auto"/>
              </w:rPr>
            </w:pPr>
          </w:p>
        </w:tc>
        <w:tc>
          <w:tcPr>
            <w:tcW w:w="4380" w:type="dxa"/>
            <w:vAlign w:val="bottom"/>
            <w:gridSpan w:val="5"/>
          </w:tcPr>
          <w:p>
            <w:pPr>
              <w:jc w:val="center"/>
              <w:ind w:right="596"/>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9"/>
        </w:trPr>
        <w:tc>
          <w:tcPr>
            <w:tcW w:w="3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1020" w:type="dxa"/>
            <w:vAlign w:val="bottom"/>
          </w:tcPr>
          <w:p>
            <w:pPr>
              <w:spacing w:after="0"/>
              <w:rPr>
                <w:sz w:val="24"/>
                <w:szCs w:val="24"/>
                <w:color w:val="auto"/>
              </w:rPr>
            </w:pPr>
          </w:p>
        </w:tc>
      </w:tr>
      <w:tr>
        <w:trPr>
          <w:trHeight w:val="188"/>
        </w:trPr>
        <w:tc>
          <w:tcPr>
            <w:tcW w:w="3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4"/>
                <w:szCs w:val="14"/>
                <w:color w:val="auto"/>
              </w:rPr>
              <w:t>June 30</w:t>
            </w:r>
          </w:p>
        </w:tc>
        <w:tc>
          <w:tcPr>
            <w:tcW w:w="1020" w:type="dxa"/>
            <w:vAlign w:val="bottom"/>
            <w:tcBorders>
              <w:bottom w:val="single" w:sz="8" w:color="auto"/>
            </w:tcBorders>
          </w:tcPr>
          <w:p>
            <w:pPr>
              <w:spacing w:after="0"/>
              <w:rPr>
                <w:sz w:val="16"/>
                <w:szCs w:val="16"/>
                <w:color w:val="auto"/>
              </w:rPr>
            </w:pPr>
          </w:p>
        </w:tc>
      </w:tr>
      <w:tr>
        <w:trPr>
          <w:trHeight w:val="264"/>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color w:val="auto"/>
                <w:w w:val="89"/>
              </w:rPr>
              <w:t>2017</w:t>
            </w:r>
          </w:p>
        </w:tc>
        <w:tc>
          <w:tcPr>
            <w:tcW w:w="6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373"/>
              <w:spacing w:after="0"/>
              <w:rPr>
                <w:sz w:val="20"/>
                <w:szCs w:val="20"/>
                <w:color w:val="auto"/>
              </w:rPr>
            </w:pPr>
            <w:r>
              <w:rPr>
                <w:rFonts w:ascii="Arial" w:cs="Arial" w:eastAsia="Arial" w:hAnsi="Arial"/>
                <w:sz w:val="14"/>
                <w:szCs w:val="14"/>
                <w:color w:val="auto"/>
                <w:w w:val="89"/>
              </w:rPr>
              <w:t>2016</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Pr>
          <w:p>
            <w:pPr>
              <w:spacing w:after="0"/>
              <w:rPr>
                <w:sz w:val="21"/>
                <w:szCs w:val="21"/>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w w:val="84"/>
              </w:rPr>
              <w:t>5,182</w:t>
            </w:r>
          </w:p>
        </w:tc>
        <w:tc>
          <w:tcPr>
            <w:tcW w:w="5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4,304</w:t>
            </w:r>
          </w:p>
        </w:tc>
      </w:tr>
      <w:tr>
        <w:trPr>
          <w:trHeight w:val="270"/>
        </w:trPr>
        <w:tc>
          <w:tcPr>
            <w:tcW w:w="6200" w:type="dxa"/>
            <w:vAlign w:val="bottom"/>
            <w:gridSpan w:val="4"/>
          </w:tcPr>
          <w:p>
            <w:pPr>
              <w:ind w:left="40"/>
              <w:spacing w:after="0"/>
              <w:rPr>
                <w:sz w:val="20"/>
                <w:szCs w:val="20"/>
                <w:color w:val="auto"/>
              </w:rPr>
            </w:pPr>
            <w:r>
              <w:rPr>
                <w:rFonts w:ascii="Arial" w:cs="Arial" w:eastAsia="Arial" w:hAnsi="Arial"/>
                <w:sz w:val="18"/>
                <w:szCs w:val="18"/>
                <w:color w:val="auto"/>
                <w:w w:val="96"/>
              </w:rPr>
              <w:t>Adjustments to reconcile net income to net cash provided by operating activities:</w:t>
            </w: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38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w w:val="84"/>
              </w:rPr>
              <w:t>5,043</w:t>
            </w:r>
          </w:p>
        </w:tc>
        <w:tc>
          <w:tcPr>
            <w:tcW w:w="58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4,667</w:t>
            </w:r>
          </w:p>
        </w:tc>
      </w:tr>
      <w:tr>
        <w:trPr>
          <w:trHeight w:val="270"/>
        </w:trPr>
        <w:tc>
          <w:tcPr>
            <w:tcW w:w="386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391</w:t>
            </w:r>
          </w:p>
        </w:tc>
        <w:tc>
          <w:tcPr>
            <w:tcW w:w="58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331</w:t>
            </w:r>
          </w:p>
        </w:tc>
      </w:tr>
      <w:tr>
        <w:trPr>
          <w:trHeight w:val="270"/>
        </w:trPr>
        <w:tc>
          <w:tcPr>
            <w:tcW w:w="3860" w:type="dxa"/>
            <w:vAlign w:val="bottom"/>
          </w:tcPr>
          <w:p>
            <w:pPr>
              <w:ind w:left="380"/>
              <w:spacing w:after="0"/>
              <w:rPr>
                <w:sz w:val="20"/>
                <w:szCs w:val="20"/>
                <w:color w:val="auto"/>
              </w:rPr>
            </w:pPr>
            <w:r>
              <w:rPr>
                <w:rFonts w:ascii="Arial" w:cs="Arial" w:eastAsia="Arial" w:hAnsi="Arial"/>
                <w:sz w:val="18"/>
                <w:szCs w:val="18"/>
                <w:color w:val="auto"/>
              </w:rPr>
              <w:t>Noncash interest expense (income), net</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122</w:t>
            </w:r>
          </w:p>
        </w:tc>
        <w:tc>
          <w:tcPr>
            <w:tcW w:w="58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113</w:t>
            </w:r>
          </w:p>
        </w:tc>
      </w:tr>
      <w:tr>
        <w:trPr>
          <w:trHeight w:val="270"/>
        </w:trPr>
        <w:tc>
          <w:tcPr>
            <w:tcW w:w="3860" w:type="dxa"/>
            <w:vAlign w:val="bottom"/>
          </w:tcPr>
          <w:p>
            <w:pPr>
              <w:ind w:left="380"/>
              <w:spacing w:after="0"/>
              <w:rPr>
                <w:sz w:val="20"/>
                <w:szCs w:val="20"/>
                <w:color w:val="auto"/>
              </w:rPr>
            </w:pPr>
            <w:r>
              <w:rPr>
                <w:rFonts w:ascii="Arial" w:cs="Arial" w:eastAsia="Arial" w:hAnsi="Arial"/>
                <w:sz w:val="18"/>
                <w:szCs w:val="18"/>
                <w:color w:val="auto"/>
                <w:w w:val="94"/>
              </w:rPr>
              <w:t>Equity in net (income) losses of investees, net</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30</w:t>
            </w:r>
          </w:p>
        </w:tc>
      </w:tr>
      <w:tr>
        <w:trPr>
          <w:trHeight w:val="270"/>
        </w:trPr>
        <w:tc>
          <w:tcPr>
            <w:tcW w:w="3860" w:type="dxa"/>
            <w:vAlign w:val="bottom"/>
          </w:tcPr>
          <w:p>
            <w:pPr>
              <w:ind w:left="380"/>
              <w:spacing w:after="0"/>
              <w:rPr>
                <w:sz w:val="20"/>
                <w:szCs w:val="20"/>
                <w:color w:val="auto"/>
              </w:rPr>
            </w:pPr>
            <w:r>
              <w:rPr>
                <w:rFonts w:ascii="Arial" w:cs="Arial" w:eastAsia="Arial" w:hAnsi="Arial"/>
                <w:sz w:val="18"/>
                <w:szCs w:val="18"/>
                <w:color w:val="auto"/>
              </w:rPr>
              <w:t>Cash received from investees</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42</w:t>
            </w:r>
          </w:p>
        </w:tc>
      </w:tr>
      <w:tr>
        <w:trPr>
          <w:trHeight w:val="270"/>
        </w:trPr>
        <w:tc>
          <w:tcPr>
            <w:tcW w:w="3860" w:type="dxa"/>
            <w:vAlign w:val="bottom"/>
          </w:tcPr>
          <w:p>
            <w:pPr>
              <w:ind w:left="380"/>
              <w:spacing w:after="0"/>
              <w:rPr>
                <w:sz w:val="20"/>
                <w:szCs w:val="20"/>
                <w:color w:val="auto"/>
              </w:rPr>
            </w:pPr>
            <w:r>
              <w:rPr>
                <w:rFonts w:ascii="Arial" w:cs="Arial" w:eastAsia="Arial" w:hAnsi="Arial"/>
                <w:sz w:val="18"/>
                <w:szCs w:val="18"/>
                <w:color w:val="auto"/>
                <w:w w:val="92"/>
              </w:rPr>
              <w:t>Net (gain) loss on investment activity and other</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(110)</w:t>
            </w:r>
          </w:p>
        </w:tc>
        <w:tc>
          <w:tcPr>
            <w:tcW w:w="5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0"/>
        </w:trPr>
        <w:tc>
          <w:tcPr>
            <w:tcW w:w="38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470</w:t>
            </w:r>
          </w:p>
        </w:tc>
        <w:tc>
          <w:tcPr>
            <w:tcW w:w="58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618</w:t>
            </w:r>
          </w:p>
        </w:tc>
      </w:tr>
      <w:tr>
        <w:trPr>
          <w:trHeight w:val="270"/>
        </w:trPr>
        <w:tc>
          <w:tcPr>
            <w:tcW w:w="7100" w:type="dxa"/>
            <w:vAlign w:val="bottom"/>
            <w:gridSpan w:val="5"/>
          </w:tcPr>
          <w:p>
            <w:pPr>
              <w:ind w:left="40"/>
              <w:spacing w:after="0"/>
              <w:rPr>
                <w:sz w:val="20"/>
                <w:szCs w:val="20"/>
                <w:color w:val="auto"/>
              </w:rPr>
            </w:pPr>
            <w:r>
              <w:rPr>
                <w:rFonts w:ascii="Arial" w:cs="Arial" w:eastAsia="Arial" w:hAnsi="Arial"/>
                <w:sz w:val="18"/>
                <w:szCs w:val="18"/>
                <w:color w:val="auto"/>
                <w:w w:val="99"/>
              </w:rPr>
              <w:t>Changes in operating assets and liabilities, net of effects of acquisitions and divestitures:</w:t>
            </w: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3860" w:type="dxa"/>
            <w:vAlign w:val="bottom"/>
          </w:tcPr>
          <w:p>
            <w:pPr>
              <w:ind w:left="380"/>
              <w:spacing w:after="0"/>
              <w:rPr>
                <w:sz w:val="20"/>
                <w:szCs w:val="20"/>
                <w:color w:val="auto"/>
              </w:rPr>
            </w:pPr>
            <w:r>
              <w:rPr>
                <w:rFonts w:ascii="Arial" w:cs="Arial" w:eastAsia="Arial" w:hAnsi="Arial"/>
                <w:sz w:val="18"/>
                <w:szCs w:val="18"/>
                <w:color w:val="auto"/>
              </w:rPr>
              <w:t>Current and noncurrent receivables, net</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172</w:t>
            </w:r>
          </w:p>
        </w:tc>
      </w:tr>
      <w:tr>
        <w:trPr>
          <w:trHeight w:val="270"/>
        </w:trPr>
        <w:tc>
          <w:tcPr>
            <w:tcW w:w="3860" w:type="dxa"/>
            <w:vAlign w:val="bottom"/>
          </w:tcPr>
          <w:p>
            <w:pPr>
              <w:ind w:left="380"/>
              <w:spacing w:after="0"/>
              <w:rPr>
                <w:sz w:val="20"/>
                <w:szCs w:val="20"/>
                <w:color w:val="auto"/>
              </w:rPr>
            </w:pPr>
            <w:r>
              <w:rPr>
                <w:rFonts w:ascii="Arial" w:cs="Arial" w:eastAsia="Arial" w:hAnsi="Arial"/>
                <w:sz w:val="18"/>
                <w:szCs w:val="18"/>
                <w:color w:val="auto"/>
              </w:rPr>
              <w:t>Film and television costs, net</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rPr>
              <w:t>277</w:t>
            </w:r>
          </w:p>
        </w:tc>
        <w:tc>
          <w:tcPr>
            <w:tcW w:w="5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0"/>
        </w:trPr>
        <w:tc>
          <w:tcPr>
            <w:tcW w:w="5400" w:type="dxa"/>
            <w:vAlign w:val="bottom"/>
            <w:gridSpan w:val="3"/>
          </w:tcPr>
          <w:p>
            <w:pPr>
              <w:ind w:left="380"/>
              <w:spacing w:after="0"/>
              <w:rPr>
                <w:sz w:val="20"/>
                <w:szCs w:val="20"/>
                <w:color w:val="auto"/>
              </w:rPr>
            </w:pPr>
            <w:r>
              <w:rPr>
                <w:rFonts w:ascii="Arial" w:cs="Arial" w:eastAsia="Arial" w:hAnsi="Arial"/>
                <w:sz w:val="18"/>
                <w:szCs w:val="18"/>
                <w:color w:val="auto"/>
                <w:w w:val="94"/>
              </w:rPr>
              <w:t>Accounts payable and accrued expenses related to trade creditors</w:t>
            </w: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(144)</w:t>
            </w:r>
          </w:p>
        </w:tc>
        <w:tc>
          <w:tcPr>
            <w:tcW w:w="5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3860" w:type="dxa"/>
            <w:vAlign w:val="bottom"/>
          </w:tcPr>
          <w:p>
            <w:pPr>
              <w:ind w:left="380"/>
              <w:spacing w:after="0"/>
              <w:rPr>
                <w:sz w:val="20"/>
                <w:szCs w:val="20"/>
                <w:color w:val="auto"/>
              </w:rPr>
            </w:pPr>
            <w:r>
              <w:rPr>
                <w:rFonts w:ascii="Arial" w:cs="Arial" w:eastAsia="Arial" w:hAnsi="Arial"/>
                <w:sz w:val="18"/>
                <w:szCs w:val="18"/>
                <w:color w:val="auto"/>
              </w:rPr>
              <w:t>Other operating assets and liabilities</w:t>
            </w: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(433)</w:t>
            </w:r>
          </w:p>
        </w:tc>
        <w:tc>
          <w:tcPr>
            <w:tcW w:w="5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3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113"/>
              <w:spacing w:after="0"/>
              <w:rPr>
                <w:sz w:val="20"/>
                <w:szCs w:val="20"/>
                <w:color w:val="auto"/>
              </w:rPr>
            </w:pPr>
            <w:r>
              <w:rPr>
                <w:rFonts w:ascii="Arial" w:cs="Arial" w:eastAsia="Arial" w:hAnsi="Arial"/>
                <w:sz w:val="18"/>
                <w:szCs w:val="18"/>
                <w:b w:val="1"/>
                <w:bCs w:val="1"/>
                <w:color w:val="auto"/>
              </w:rPr>
              <w:t>10,814</w:t>
            </w:r>
          </w:p>
        </w:tc>
        <w:tc>
          <w:tcPr>
            <w:tcW w:w="58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b w:val="1"/>
                <w:bCs w:val="1"/>
                <w:color w:val="auto"/>
              </w:rPr>
              <w:t>9,794</w:t>
            </w:r>
          </w:p>
        </w:tc>
      </w:tr>
      <w:tr>
        <w:trPr>
          <w:trHeight w:val="34"/>
        </w:trPr>
        <w:tc>
          <w:tcPr>
            <w:tcW w:w="4800" w:type="dxa"/>
            <w:vAlign w:val="bottom"/>
            <w:tcBorders>
              <w:bottom w:val="single" w:sz="8" w:color="auto"/>
            </w:tcBorders>
            <w:gridSpan w:val="2"/>
          </w:tcPr>
          <w:p>
            <w:pPr>
              <w:spacing w:after="0"/>
              <w:rPr>
                <w:sz w:val="2"/>
                <w:szCs w:val="2"/>
                <w:color w:val="auto"/>
              </w:rPr>
            </w:pPr>
          </w:p>
        </w:tc>
        <w:tc>
          <w:tcPr>
            <w:tcW w:w="344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05"/>
        </w:trPr>
        <w:tc>
          <w:tcPr>
            <w:tcW w:w="8240" w:type="dxa"/>
            <w:vAlign w:val="bottom"/>
            <w:gridSpan w:val="6"/>
          </w:tcPr>
          <w:p>
            <w:pPr>
              <w:jc w:val="center"/>
              <w:ind w:left="3072"/>
              <w:spacing w:after="0"/>
              <w:rPr>
                <w:sz w:val="20"/>
                <w:szCs w:val="20"/>
                <w:color w:val="auto"/>
              </w:rPr>
            </w:pPr>
            <w:r>
              <w:rPr>
                <w:rFonts w:ascii="Arial" w:cs="Arial" w:eastAsia="Arial" w:hAnsi="Arial"/>
                <w:sz w:val="18"/>
                <w:szCs w:val="18"/>
                <w:b w:val="1"/>
                <w:bCs w:val="1"/>
                <w:color w:val="auto"/>
                <w:w w:val="99"/>
              </w:rPr>
              <w:t>Cash Payments for Interest and Income Taxes</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3"/>
        </w:trPr>
        <w:tc>
          <w:tcPr>
            <w:tcW w:w="3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1020" w:type="dxa"/>
            <w:vAlign w:val="bottom"/>
          </w:tcPr>
          <w:p>
            <w:pPr>
              <w:spacing w:after="0"/>
              <w:rPr>
                <w:sz w:val="24"/>
                <w:szCs w:val="24"/>
                <w:color w:val="auto"/>
              </w:rPr>
            </w:pPr>
          </w:p>
        </w:tc>
      </w:tr>
      <w:tr>
        <w:trPr>
          <w:trHeight w:val="188"/>
        </w:trPr>
        <w:tc>
          <w:tcPr>
            <w:tcW w:w="3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w w:val="88"/>
              </w:rPr>
              <w:t>June 30</w:t>
            </w:r>
          </w:p>
        </w:tc>
        <w:tc>
          <w:tcPr>
            <w:tcW w:w="1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color w:val="auto"/>
              </w:rPr>
              <w:t>June 30</w:t>
            </w:r>
          </w:p>
        </w:tc>
        <w:tc>
          <w:tcPr>
            <w:tcW w:w="1020" w:type="dxa"/>
            <w:vAlign w:val="bottom"/>
            <w:tcBorders>
              <w:bottom w:val="single" w:sz="8" w:color="auto"/>
            </w:tcBorders>
          </w:tcPr>
          <w:p>
            <w:pPr>
              <w:spacing w:after="0"/>
              <w:rPr>
                <w:sz w:val="16"/>
                <w:szCs w:val="16"/>
                <w:color w:val="auto"/>
              </w:rPr>
            </w:pPr>
          </w:p>
        </w:tc>
      </w:tr>
      <w:tr>
        <w:trPr>
          <w:trHeight w:val="264"/>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w w:val="89"/>
              </w:rPr>
              <w:t>2017</w:t>
            </w:r>
          </w:p>
        </w:tc>
        <w:tc>
          <w:tcPr>
            <w:tcW w:w="9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color w:val="auto"/>
              </w:rPr>
              <w:t>2016</w:t>
            </w:r>
          </w:p>
        </w:tc>
        <w:tc>
          <w:tcPr>
            <w:tcW w:w="3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color w:val="auto"/>
              </w:rPr>
              <w:t>2017</w:t>
            </w:r>
          </w:p>
        </w:tc>
        <w:tc>
          <w:tcPr>
            <w:tcW w:w="6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373"/>
              <w:spacing w:after="0"/>
              <w:rPr>
                <w:sz w:val="20"/>
                <w:szCs w:val="20"/>
                <w:color w:val="auto"/>
              </w:rPr>
            </w:pPr>
            <w:r>
              <w:rPr>
                <w:rFonts w:ascii="Arial" w:cs="Arial" w:eastAsia="Arial" w:hAnsi="Arial"/>
                <w:sz w:val="14"/>
                <w:szCs w:val="14"/>
                <w:color w:val="auto"/>
                <w:w w:val="89"/>
              </w:rPr>
              <w:t>2016</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Interest</w:t>
            </w: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477</w:t>
            </w:r>
          </w:p>
        </w:tc>
        <w:tc>
          <w:tcPr>
            <w:tcW w:w="90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6"/>
              <w:spacing w:after="0"/>
              <w:rPr>
                <w:sz w:val="20"/>
                <w:szCs w:val="20"/>
                <w:color w:val="auto"/>
              </w:rPr>
            </w:pPr>
            <w:r>
              <w:rPr>
                <w:rFonts w:ascii="Arial" w:cs="Arial" w:eastAsia="Arial" w:hAnsi="Arial"/>
                <w:sz w:val="18"/>
                <w:szCs w:val="18"/>
                <w:color w:val="auto"/>
              </w:rPr>
              <w:t>512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w w:val="84"/>
              </w:rPr>
              <w:t>1,372</w:t>
            </w:r>
          </w:p>
        </w:tc>
        <w:tc>
          <w:tcPr>
            <w:tcW w:w="5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1,235</w:t>
            </w:r>
          </w:p>
        </w:tc>
      </w:tr>
      <w:tr>
        <w:trPr>
          <w:trHeight w:val="270"/>
        </w:trPr>
        <w:tc>
          <w:tcPr>
            <w:tcW w:w="386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2,077</w:t>
            </w:r>
          </w:p>
        </w:tc>
        <w:tc>
          <w:tcPr>
            <w:tcW w:w="90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6"/>
              <w:spacing w:after="0"/>
              <w:rPr>
                <w:sz w:val="20"/>
                <w:szCs w:val="20"/>
                <w:color w:val="auto"/>
              </w:rPr>
            </w:pPr>
            <w:r>
              <w:rPr>
                <w:rFonts w:ascii="Arial" w:cs="Arial" w:eastAsia="Arial" w:hAnsi="Arial"/>
                <w:sz w:val="18"/>
                <w:szCs w:val="18"/>
                <w:color w:val="auto"/>
              </w:rPr>
              <w:t>1,495</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600" w:type="dxa"/>
            <w:vAlign w:val="bottom"/>
          </w:tcPr>
          <w:p>
            <w:pPr>
              <w:jc w:val="right"/>
              <w:ind w:right="113"/>
              <w:spacing w:after="0"/>
              <w:rPr>
                <w:sz w:val="20"/>
                <w:szCs w:val="20"/>
                <w:color w:val="auto"/>
              </w:rPr>
            </w:pPr>
            <w:r>
              <w:rPr>
                <w:rFonts w:ascii="Arial" w:cs="Arial" w:eastAsia="Arial" w:hAnsi="Arial"/>
                <w:sz w:val="18"/>
                <w:szCs w:val="18"/>
                <w:color w:val="auto"/>
                <w:w w:val="84"/>
              </w:rPr>
              <w:t>2,209</w:t>
            </w:r>
          </w:p>
        </w:tc>
        <w:tc>
          <w:tcPr>
            <w:tcW w:w="5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1,685</w:t>
            </w:r>
          </w:p>
        </w:tc>
      </w:tr>
      <w:tr>
        <w:trPr>
          <w:trHeight w:val="27"/>
        </w:trPr>
        <w:tc>
          <w:tcPr>
            <w:tcW w:w="3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2017:</w:t>
      </w:r>
    </w:p>
    <w:p>
      <w:pPr>
        <w:spacing w:after="0" w:line="7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acquired $1.3 billion of property and equipment and intangible assets that were accrued but unpaid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a liability of $742 million for a quarterly cash dividend of $0.1575 per common share to be paid in July 2017</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Subsidiary Preferred Stock</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2017, the fair value of the NBCUniversal Enterprise redeemable subsidiary preferred stock was $762 million. The estimated fair value is based on Level 2 inputs that use pricing models whose inputs are derived primarily from or corroborated by observable market data through correlation or other means for substantially the full term of the financial instrument.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a defendant in a lawsuit filed in December 2011 by Sprint Communications Company L.P. (“Sprint”) in the United States District Court for the District of Kansas. Sprint’s initial complaint alleged that Comcast Digital Voice and XFINITY Voice infringe twelve Sprint patents covering various aspects of a telecommunications system. In March 2015, Sprint withdrew its allegations of infringement for two of the patents. In December 2016, the Court granted summary judgment for us with respect to non-infringement on one of the patents and granted summary judgment for Sprint on one of the patents as to infringement with respect to some but not all of our accused telecommunications systems but not as to the patent’s validity. In January 2017, the Court entered judgment in favor of us on Sprint’s claims for infringement of two of the patents. In March 2017, Sprint indicated that it would not proceed to trial on three of the patents. Trial with respect to the four remaining patents, including the patent for which the Court granted partial summary judgment to Sprint, is set to begin in late October 2017. Sprint seeks approximately $950 million in damages, plus pre-judgment interest. In July 2017, Sprint filed a motion to amend the pre-trial order seeking to add an allegation that we willfully infringed Sprint’s patents and should be subject to increased damages, which could as much as triple the amount of any damages awarded. In July 2017, Sprint also filed a motion for partial summary judgment of certain of our defenses.</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the claims in the Sprint lawsuit are without merit and are defending the action vigorously. We cannot predict the outcome of the Sprint lawsuit, estimate a range of possible loss or determine how the final resolution of the action would affect our results of operations or cash flows for any one period or our consolidated financial position. In addition, as any action nears a trial, there is an increased possibility that the action may be settled by the parties. Nevertheless, we do not expect the final disposition of the Sprint lawsuit to have a material adverse effect on our consolidated financial position, but it could be material to our consolidated results of operations or cash flows for any one period.</w:t>
      </w:r>
    </w:p>
    <w:p>
      <w:pPr>
        <w:spacing w:after="0" w:line="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including the Sprint lawsuit above. In addition, we are subject to other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Financial Data by Business Segment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five reportable business segments:</w:t>
      </w:r>
    </w:p>
    <w:p>
      <w:pPr>
        <w:spacing w:after="0" w:line="73" w:lineRule="exact"/>
        <w:rPr>
          <w:sz w:val="20"/>
          <w:szCs w:val="20"/>
          <w:color w:val="auto"/>
        </w:rPr>
      </w:pPr>
    </w:p>
    <w:p>
      <w:pPr>
        <w:jc w:val="both"/>
        <w:ind w:left="660" w:hanging="328"/>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voice, and security and automation services to residential customers under the XFINITY brand; we also provide these and other services to business customers and sell advertising.</w:t>
      </w:r>
    </w:p>
    <w:p>
      <w:pPr>
        <w:spacing w:after="0" w:line="27"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 and</w:t>
      </w:r>
      <w:r>
        <w:rPr>
          <w:rFonts w:ascii="Arial" w:cs="Arial" w:eastAsia="Arial" w:hAnsi="Arial"/>
          <w:sz w:val="18"/>
          <w:szCs w:val="18"/>
          <w:b w:val="1"/>
          <w:bCs w:val="1"/>
          <w:color w:val="auto"/>
        </w:rPr>
        <w:t xml:space="preserve"> </w:t>
      </w:r>
      <w:r>
        <w:rPr>
          <w:rFonts w:ascii="Arial" w:cs="Arial" w:eastAsia="Arial" w:hAnsi="Arial"/>
          <w:sz w:val="18"/>
          <w:szCs w:val="18"/>
          <w:color w:val="auto"/>
        </w:rPr>
        <w:t>our cable television studio production operations.</w:t>
      </w:r>
    </w:p>
    <w:p>
      <w:pPr>
        <w:spacing w:after="0" w:line="13"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the NBC Universo national cable network, and our broadcast television studio production operations.</w:t>
      </w:r>
    </w:p>
    <w:p>
      <w:pPr>
        <w:spacing w:after="0" w:line="13" w:lineRule="exact"/>
        <w:rPr>
          <w:rFonts w:ascii="Arial" w:cs="Arial" w:eastAsia="Arial" w:hAnsi="Arial"/>
          <w:sz w:val="18"/>
          <w:szCs w:val="18"/>
          <w:color w:val="auto"/>
        </w:rPr>
      </w:pPr>
    </w:p>
    <w:p>
      <w:pPr>
        <w:ind w:left="660" w:hanging="328"/>
        <w:spacing w:after="0" w:line="30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Filmed Entertainment: </w:t>
      </w:r>
      <w:r>
        <w:rPr>
          <w:rFonts w:ascii="Arial" w:cs="Arial" w:eastAsia="Arial" w:hAnsi="Arial"/>
          <w:sz w:val="17"/>
          <w:szCs w:val="17"/>
          <w:color w:val="auto"/>
        </w:rPr>
        <w:t>Consists primarily of the operations of Universal Pictures, which produces, acquires, markets and distributes filmed</w:t>
      </w:r>
      <w:r>
        <w:rPr>
          <w:rFonts w:ascii="Arial" w:cs="Arial" w:eastAsia="Arial" w:hAnsi="Arial"/>
          <w:sz w:val="17"/>
          <w:szCs w:val="17"/>
          <w:b w:val="1"/>
          <w:bCs w:val="1"/>
          <w:color w:val="auto"/>
        </w:rPr>
        <w:t xml:space="preserve"> </w:t>
      </w:r>
      <w:r>
        <w:rPr>
          <w:rFonts w:ascii="Arial" w:cs="Arial" w:eastAsia="Arial" w:hAnsi="Arial"/>
          <w:sz w:val="17"/>
          <w:szCs w:val="17"/>
          <w:color w:val="auto"/>
        </w:rPr>
        <w:t>entertainment worldwide; our films are also produced under the Illumination, Focus Features and DreamWorks Animation names.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Hollywood, California; and Osaka, Japan.</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Adjusted EBITDA (formerly operating income before depreciation and amortization) to evaluate the profitability of our operating segments and the components of net income attributable to Comcast Corporation below Adjusted EBITDA are not separately evaluated. Our financial data by business segment is presented in the tables below.</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Three Months Ended June 30, 2017</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Arial" w:cs="Arial" w:eastAsia="Arial" w:hAnsi="Arial"/>
                <w:sz w:val="14"/>
                <w:szCs w:val="14"/>
                <w:color w:val="auto"/>
                <w:w w:val="94"/>
              </w:rPr>
              <w:t>Depreciation</w:t>
            </w:r>
          </w:p>
        </w:tc>
        <w:tc>
          <w:tcPr>
            <w:tcW w:w="200" w:type="dxa"/>
            <w:vAlign w:val="bottom"/>
          </w:tcPr>
          <w:p>
            <w:pPr>
              <w:spacing w:after="0"/>
              <w:rPr>
                <w:sz w:val="13"/>
                <w:szCs w:val="13"/>
                <w:color w:val="auto"/>
              </w:rPr>
            </w:pPr>
          </w:p>
        </w:tc>
        <w:tc>
          <w:tcPr>
            <w:tcW w:w="1080" w:type="dxa"/>
            <w:vAlign w:val="bottom"/>
          </w:tcPr>
          <w:p>
            <w:pPr>
              <w:jc w:val="center"/>
              <w:ind w:right="73"/>
              <w:spacing w:after="0" w:line="157" w:lineRule="exact"/>
              <w:rPr>
                <w:sz w:val="20"/>
                <w:szCs w:val="20"/>
                <w:color w:val="auto"/>
              </w:rPr>
            </w:pPr>
            <w:r>
              <w:rPr>
                <w:rFonts w:ascii="Arial" w:cs="Arial" w:eastAsia="Arial" w:hAnsi="Arial"/>
                <w:sz w:val="14"/>
                <w:szCs w:val="14"/>
                <w:color w:val="auto"/>
                <w:w w:val="91"/>
              </w:rPr>
              <w:t>Operating</w:t>
            </w:r>
          </w:p>
        </w:tc>
        <w:tc>
          <w:tcPr>
            <w:tcW w:w="200" w:type="dxa"/>
            <w:vAlign w:val="bottom"/>
          </w:tcPr>
          <w:p>
            <w:pPr>
              <w:spacing w:after="0"/>
              <w:rPr>
                <w:sz w:val="13"/>
                <w:szCs w:val="13"/>
                <w:color w:val="auto"/>
              </w:rPr>
            </w:pPr>
          </w:p>
        </w:tc>
        <w:tc>
          <w:tcPr>
            <w:tcW w:w="1020" w:type="dxa"/>
            <w:vAlign w:val="bottom"/>
          </w:tcPr>
          <w:p>
            <w:pPr>
              <w:jc w:val="center"/>
              <w:ind w:right="73"/>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3"/>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(e)</w:t>
            </w: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(f)</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95"/>
              </w:rPr>
              <w:t>and Amortization</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4"/>
              </w:rPr>
              <w:t>Income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1"/>
              </w:rPr>
              <w:t>Intangible Assets</w:t>
            </w:r>
          </w:p>
        </w:tc>
      </w:tr>
      <w:tr>
        <w:trPr>
          <w:trHeight w:val="282"/>
        </w:trPr>
        <w:tc>
          <w:tcPr>
            <w:tcW w:w="3880" w:type="dxa"/>
            <w:vAlign w:val="bottom"/>
          </w:tcPr>
          <w:p>
            <w:pPr>
              <w:ind w:left="40"/>
              <w:spacing w:after="0" w:line="282"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25"/>
                <w:szCs w:val="25"/>
                <w:color w:val="auto"/>
                <w:vertAlign w:val="superscript"/>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13,122</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5,320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3,319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327</w:t>
            </w:r>
          </w:p>
        </w:tc>
      </w:tr>
      <w:tr>
        <w:trPr>
          <w:trHeight w:val="230"/>
        </w:trPr>
        <w:tc>
          <w:tcPr>
            <w:tcW w:w="388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2,696</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1,055</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874</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2,241</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416</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2,155</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285</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1,314</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365</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26</w:t>
            </w:r>
          </w:p>
        </w:tc>
      </w:tr>
      <w:tr>
        <w:trPr>
          <w:trHeight w:val="310"/>
        </w:trPr>
        <w:tc>
          <w:tcPr>
            <w:tcW w:w="388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(b)</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33</w:t>
            </w:r>
          </w:p>
        </w:tc>
      </w:tr>
      <w:tr>
        <w:trPr>
          <w:trHeight w:val="257"/>
        </w:trPr>
        <w:tc>
          <w:tcPr>
            <w:tcW w:w="388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8,331</w:t>
            </w: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2,071</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520</w:t>
            </w:r>
          </w:p>
        </w:tc>
        <w:tc>
          <w:tcPr>
            <w:tcW w:w="20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1,551</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73</w:t>
            </w:r>
          </w:p>
        </w:tc>
      </w:tr>
      <w:tr>
        <w:trPr>
          <w:trHeight w:val="310"/>
        </w:trPr>
        <w:tc>
          <w:tcPr>
            <w:tcW w:w="388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(d)</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w:t>
            </w:r>
          </w:p>
        </w:tc>
      </w:tr>
      <w:tr>
        <w:trPr>
          <w:trHeight w:val="257"/>
        </w:trPr>
        <w:tc>
          <w:tcPr>
            <w:tcW w:w="388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21,165</w:t>
            </w:r>
          </w:p>
        </w:tc>
        <w:tc>
          <w:tcPr>
            <w:tcW w:w="4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7,099</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2,541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4,558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2,327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420</w:t>
            </w:r>
          </w:p>
        </w:tc>
      </w:tr>
      <w:tr>
        <w:trPr>
          <w:trHeight w:val="34"/>
        </w:trPr>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94"/>
        </w:trPr>
        <w:tc>
          <w:tcPr>
            <w:tcW w:w="3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Three Months Ended June 30, 2016</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Arial" w:cs="Arial" w:eastAsia="Arial" w:hAnsi="Arial"/>
                <w:sz w:val="14"/>
                <w:szCs w:val="14"/>
                <w:color w:val="auto"/>
                <w:w w:val="94"/>
              </w:rPr>
              <w:t>Depreciation</w:t>
            </w:r>
          </w:p>
        </w:tc>
        <w:tc>
          <w:tcPr>
            <w:tcW w:w="200" w:type="dxa"/>
            <w:vAlign w:val="bottom"/>
          </w:tcPr>
          <w:p>
            <w:pPr>
              <w:spacing w:after="0"/>
              <w:rPr>
                <w:sz w:val="13"/>
                <w:szCs w:val="13"/>
                <w:color w:val="auto"/>
              </w:rPr>
            </w:pPr>
          </w:p>
        </w:tc>
        <w:tc>
          <w:tcPr>
            <w:tcW w:w="1080" w:type="dxa"/>
            <w:vAlign w:val="bottom"/>
          </w:tcPr>
          <w:p>
            <w:pPr>
              <w:jc w:val="center"/>
              <w:ind w:right="73"/>
              <w:spacing w:after="0" w:line="157" w:lineRule="exact"/>
              <w:rPr>
                <w:sz w:val="20"/>
                <w:szCs w:val="20"/>
                <w:color w:val="auto"/>
              </w:rPr>
            </w:pPr>
            <w:r>
              <w:rPr>
                <w:rFonts w:ascii="Arial" w:cs="Arial" w:eastAsia="Arial" w:hAnsi="Arial"/>
                <w:sz w:val="14"/>
                <w:szCs w:val="14"/>
                <w:color w:val="auto"/>
                <w:w w:val="91"/>
              </w:rPr>
              <w:t>Operating</w:t>
            </w:r>
          </w:p>
        </w:tc>
        <w:tc>
          <w:tcPr>
            <w:tcW w:w="200" w:type="dxa"/>
            <w:vAlign w:val="bottom"/>
          </w:tcPr>
          <w:p>
            <w:pPr>
              <w:spacing w:after="0"/>
              <w:rPr>
                <w:sz w:val="13"/>
                <w:szCs w:val="13"/>
                <w:color w:val="auto"/>
              </w:rPr>
            </w:pPr>
          </w:p>
        </w:tc>
        <w:tc>
          <w:tcPr>
            <w:tcW w:w="1020" w:type="dxa"/>
            <w:vAlign w:val="bottom"/>
          </w:tcPr>
          <w:p>
            <w:pPr>
              <w:jc w:val="center"/>
              <w:ind w:right="73"/>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3"/>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(e)</w:t>
            </w: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(f)</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95"/>
              </w:rPr>
              <w:t>and Amortization</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4"/>
              </w:rPr>
              <w:t>Income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1"/>
              </w:rPr>
              <w:t>Intangible Assets</w:t>
            </w:r>
          </w:p>
        </w:tc>
      </w:tr>
      <w:tr>
        <w:trPr>
          <w:trHeight w:val="282"/>
        </w:trPr>
        <w:tc>
          <w:tcPr>
            <w:tcW w:w="3880" w:type="dxa"/>
            <w:vAlign w:val="bottom"/>
          </w:tcPr>
          <w:p>
            <w:pPr>
              <w:ind w:left="40"/>
              <w:spacing w:after="0" w:line="282"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25"/>
                <w:szCs w:val="25"/>
                <w:color w:val="auto"/>
                <w:vertAlign w:val="superscript"/>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12,444</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5,048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1,904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3,144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1,881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289</w:t>
            </w:r>
          </w:p>
        </w:tc>
      </w:tr>
      <w:tr>
        <w:trPr>
          <w:trHeight w:val="230"/>
        </w:trPr>
        <w:tc>
          <w:tcPr>
            <w:tcW w:w="388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2,566</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944</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757</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2,128</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1,351</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1,136</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469</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w:t>
            </w:r>
          </w:p>
        </w:tc>
      </w:tr>
      <w:tr>
        <w:trPr>
          <w:trHeight w:val="310"/>
        </w:trPr>
        <w:tc>
          <w:tcPr>
            <w:tcW w:w="388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(b)</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33</w:t>
            </w:r>
          </w:p>
        </w:tc>
      </w:tr>
      <w:tr>
        <w:trPr>
          <w:trHeight w:val="257"/>
        </w:trPr>
        <w:tc>
          <w:tcPr>
            <w:tcW w:w="388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7,103</w:t>
            </w: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1,689</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465</w:t>
            </w:r>
          </w:p>
        </w:tc>
        <w:tc>
          <w:tcPr>
            <w:tcW w:w="20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1,224</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62</w:t>
            </w:r>
          </w:p>
        </w:tc>
      </w:tr>
      <w:tr>
        <w:trPr>
          <w:trHeight w:val="310"/>
        </w:trPr>
        <w:tc>
          <w:tcPr>
            <w:tcW w:w="388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(d)</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w:t>
            </w:r>
          </w:p>
        </w:tc>
      </w:tr>
      <w:tr>
        <w:trPr>
          <w:trHeight w:val="257"/>
        </w:trPr>
        <w:tc>
          <w:tcPr>
            <w:tcW w:w="388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19,269</w:t>
            </w:r>
          </w:p>
        </w:tc>
        <w:tc>
          <w:tcPr>
            <w:tcW w:w="4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6,455</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2,389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4,066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2,271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359</w:t>
            </w:r>
          </w:p>
        </w:tc>
      </w:tr>
      <w:tr>
        <w:trPr>
          <w:trHeight w:val="34"/>
        </w:trPr>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94"/>
        </w:trPr>
        <w:tc>
          <w:tcPr>
            <w:tcW w:w="3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Six Months Ended June 30, 2017</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Arial" w:cs="Arial" w:eastAsia="Arial" w:hAnsi="Arial"/>
                <w:sz w:val="14"/>
                <w:szCs w:val="14"/>
                <w:color w:val="auto"/>
                <w:w w:val="94"/>
              </w:rPr>
              <w:t>Depreciation</w:t>
            </w:r>
          </w:p>
        </w:tc>
        <w:tc>
          <w:tcPr>
            <w:tcW w:w="200" w:type="dxa"/>
            <w:vAlign w:val="bottom"/>
          </w:tcPr>
          <w:p>
            <w:pPr>
              <w:spacing w:after="0"/>
              <w:rPr>
                <w:sz w:val="13"/>
                <w:szCs w:val="13"/>
                <w:color w:val="auto"/>
              </w:rPr>
            </w:pPr>
          </w:p>
        </w:tc>
        <w:tc>
          <w:tcPr>
            <w:tcW w:w="1080" w:type="dxa"/>
            <w:vAlign w:val="bottom"/>
          </w:tcPr>
          <w:p>
            <w:pPr>
              <w:jc w:val="center"/>
              <w:ind w:right="73"/>
              <w:spacing w:after="0" w:line="157" w:lineRule="exact"/>
              <w:rPr>
                <w:sz w:val="20"/>
                <w:szCs w:val="20"/>
                <w:color w:val="auto"/>
              </w:rPr>
            </w:pPr>
            <w:r>
              <w:rPr>
                <w:rFonts w:ascii="Arial" w:cs="Arial" w:eastAsia="Arial" w:hAnsi="Arial"/>
                <w:sz w:val="14"/>
                <w:szCs w:val="14"/>
                <w:color w:val="auto"/>
                <w:w w:val="91"/>
              </w:rPr>
              <w:t>Operating</w:t>
            </w:r>
          </w:p>
        </w:tc>
        <w:tc>
          <w:tcPr>
            <w:tcW w:w="200" w:type="dxa"/>
            <w:vAlign w:val="bottom"/>
          </w:tcPr>
          <w:p>
            <w:pPr>
              <w:spacing w:after="0"/>
              <w:rPr>
                <w:sz w:val="13"/>
                <w:szCs w:val="13"/>
                <w:color w:val="auto"/>
              </w:rPr>
            </w:pPr>
          </w:p>
        </w:tc>
        <w:tc>
          <w:tcPr>
            <w:tcW w:w="1020" w:type="dxa"/>
            <w:vAlign w:val="bottom"/>
          </w:tcPr>
          <w:p>
            <w:pPr>
              <w:jc w:val="center"/>
              <w:ind w:right="73"/>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3"/>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(e)</w:t>
            </w: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(f)</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w w:val="95"/>
              </w:rPr>
              <w:t>and Amortization</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4"/>
              </w:rPr>
              <w:t>Income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1"/>
              </w:rPr>
              <w:t>Intangible Assets</w:t>
            </w:r>
          </w:p>
        </w:tc>
      </w:tr>
      <w:tr>
        <w:trPr>
          <w:trHeight w:val="282"/>
        </w:trPr>
        <w:tc>
          <w:tcPr>
            <w:tcW w:w="3880" w:type="dxa"/>
            <w:vAlign w:val="bottom"/>
          </w:tcPr>
          <w:p>
            <w:pPr>
              <w:ind w:left="40"/>
              <w:spacing w:after="0" w:line="282"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25"/>
                <w:szCs w:val="25"/>
                <w:color w:val="auto"/>
                <w:vertAlign w:val="superscript"/>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26,034</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10,518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3,981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6,537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3,737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679</w:t>
            </w:r>
          </w:p>
        </w:tc>
      </w:tr>
      <w:tr>
        <w:trPr>
          <w:trHeight w:val="230"/>
        </w:trPr>
        <w:tc>
          <w:tcPr>
            <w:tcW w:w="388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5,337</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2,171</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1,776</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4,449</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738</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675</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4,136</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653</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606</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2,432</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948</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620</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39</w:t>
            </w:r>
          </w:p>
        </w:tc>
      </w:tr>
      <w:tr>
        <w:trPr>
          <w:trHeight w:val="310"/>
        </w:trPr>
        <w:tc>
          <w:tcPr>
            <w:tcW w:w="388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(b)</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(420)</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(615)</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64</w:t>
            </w:r>
          </w:p>
        </w:tc>
      </w:tr>
      <w:tr>
        <w:trPr>
          <w:trHeight w:val="257"/>
        </w:trPr>
        <w:tc>
          <w:tcPr>
            <w:tcW w:w="388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16,199</w:t>
            </w: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4,088</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1,028</w:t>
            </w:r>
          </w:p>
        </w:tc>
        <w:tc>
          <w:tcPr>
            <w:tcW w:w="20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3,060</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623</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128</w:t>
            </w:r>
          </w:p>
        </w:tc>
      </w:tr>
      <w:tr>
        <w:trPr>
          <w:trHeight w:val="310"/>
        </w:trPr>
        <w:tc>
          <w:tcPr>
            <w:tcW w:w="388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(d)</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(530)</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29</w:t>
            </w:r>
          </w:p>
        </w:tc>
      </w:tr>
      <w:tr>
        <w:trPr>
          <w:trHeight w:val="257"/>
        </w:trPr>
        <w:tc>
          <w:tcPr>
            <w:tcW w:w="388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41,628</w:t>
            </w:r>
          </w:p>
        </w:tc>
        <w:tc>
          <w:tcPr>
            <w:tcW w:w="4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14,131</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5,043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9,088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4,405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836</w:t>
            </w:r>
          </w:p>
        </w:tc>
      </w:tr>
      <w:tr>
        <w:trPr>
          <w:trHeight w:val="34"/>
        </w:trPr>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4"/>
                <w:szCs w:val="14"/>
                <w:color w:val="auto"/>
              </w:rPr>
              <w:t>Six Months Ended June 30, 2016</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134"/>
              <w:spacing w:after="0" w:line="157" w:lineRule="exact"/>
              <w:rPr>
                <w:sz w:val="20"/>
                <w:szCs w:val="20"/>
                <w:color w:val="auto"/>
              </w:rPr>
            </w:pPr>
            <w:r>
              <w:rPr>
                <w:rFonts w:ascii="Arial" w:cs="Arial" w:eastAsia="Arial" w:hAnsi="Arial"/>
                <w:sz w:val="14"/>
                <w:szCs w:val="14"/>
                <w:color w:val="auto"/>
              </w:rPr>
              <w:t>Depreciation</w:t>
            </w:r>
          </w:p>
        </w:tc>
        <w:tc>
          <w:tcPr>
            <w:tcW w:w="200" w:type="dxa"/>
            <w:vAlign w:val="bottom"/>
          </w:tcPr>
          <w:p>
            <w:pPr>
              <w:spacing w:after="0"/>
              <w:rPr>
                <w:sz w:val="13"/>
                <w:szCs w:val="13"/>
                <w:color w:val="auto"/>
              </w:rPr>
            </w:pPr>
          </w:p>
        </w:tc>
        <w:tc>
          <w:tcPr>
            <w:tcW w:w="1080" w:type="dxa"/>
            <w:vAlign w:val="bottom"/>
          </w:tcPr>
          <w:p>
            <w:pPr>
              <w:jc w:val="right"/>
              <w:ind w:right="253"/>
              <w:spacing w:after="0" w:line="157" w:lineRule="exact"/>
              <w:rPr>
                <w:sz w:val="20"/>
                <w:szCs w:val="20"/>
                <w:color w:val="auto"/>
              </w:rPr>
            </w:pPr>
            <w:r>
              <w:rPr>
                <w:rFonts w:ascii="Arial" w:cs="Arial" w:eastAsia="Arial" w:hAnsi="Arial"/>
                <w:sz w:val="14"/>
                <w:szCs w:val="14"/>
                <w:color w:val="auto"/>
              </w:rPr>
              <w:t>Operating</w:t>
            </w:r>
          </w:p>
        </w:tc>
        <w:tc>
          <w:tcPr>
            <w:tcW w:w="200" w:type="dxa"/>
            <w:vAlign w:val="bottom"/>
          </w:tcPr>
          <w:p>
            <w:pPr>
              <w:spacing w:after="0"/>
              <w:rPr>
                <w:sz w:val="13"/>
                <w:szCs w:val="13"/>
                <w:color w:val="auto"/>
              </w:rPr>
            </w:pPr>
          </w:p>
        </w:tc>
        <w:tc>
          <w:tcPr>
            <w:tcW w:w="1020" w:type="dxa"/>
            <w:vAlign w:val="bottom"/>
          </w:tcPr>
          <w:p>
            <w:pPr>
              <w:jc w:val="right"/>
              <w:ind w:right="293"/>
              <w:spacing w:after="0" w:line="157" w:lineRule="exact"/>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3"/>
                <w:szCs w:val="13"/>
                <w:color w:val="auto"/>
              </w:rPr>
            </w:pPr>
          </w:p>
        </w:tc>
        <w:tc>
          <w:tcPr>
            <w:tcW w:w="1140" w:type="dxa"/>
            <w:vAlign w:val="bottom"/>
          </w:tcPr>
          <w:p>
            <w:pPr>
              <w:jc w:val="right"/>
              <w:ind w:right="153"/>
              <w:spacing w:after="0" w:line="157" w:lineRule="exact"/>
              <w:rPr>
                <w:sz w:val="20"/>
                <w:szCs w:val="20"/>
                <w:color w:val="auto"/>
              </w:rPr>
            </w:pPr>
            <w:r>
              <w:rPr>
                <w:rFonts w:ascii="Arial" w:cs="Arial" w:eastAsia="Arial" w:hAnsi="Arial"/>
                <w:sz w:val="14"/>
                <w:szCs w:val="14"/>
                <w:color w:val="auto"/>
              </w:rPr>
              <w:t>Cash Paid for</w:t>
            </w:r>
          </w:p>
        </w:tc>
      </w:tr>
      <w:tr>
        <w:trPr>
          <w:trHeight w:val="188"/>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(e)</w:t>
            </w: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(f)</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w w:val="93"/>
              </w:rPr>
              <w:t>and Amortization</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w w:val="96"/>
              </w:rPr>
              <w:t>Income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w w:val="97"/>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w w:val="91"/>
              </w:rPr>
              <w:t>Intangible Assets</w:t>
            </w:r>
          </w:p>
        </w:tc>
      </w:tr>
      <w:tr>
        <w:trPr>
          <w:trHeight w:val="282"/>
        </w:trPr>
        <w:tc>
          <w:tcPr>
            <w:tcW w:w="3880" w:type="dxa"/>
            <w:vAlign w:val="bottom"/>
          </w:tcPr>
          <w:p>
            <w:pPr>
              <w:ind w:left="40"/>
              <w:spacing w:after="0" w:line="282" w:lineRule="exact"/>
              <w:rPr>
                <w:sz w:val="20"/>
                <w:szCs w:val="20"/>
                <w:color w:val="auto"/>
              </w:rPr>
            </w:pPr>
            <w:r>
              <w:rPr>
                <w:rFonts w:ascii="Arial" w:cs="Arial" w:eastAsia="Arial" w:hAnsi="Arial"/>
                <w:sz w:val="18"/>
                <w:szCs w:val="18"/>
                <w:color w:val="auto"/>
              </w:rPr>
              <w:t>Cable Communications</w:t>
            </w:r>
            <w:r>
              <w:rPr>
                <w:rFonts w:ascii="Arial" w:cs="Arial" w:eastAsia="Arial" w:hAnsi="Arial"/>
                <w:sz w:val="25"/>
                <w:szCs w:val="25"/>
                <w:color w:val="auto"/>
                <w:vertAlign w:val="superscript"/>
              </w:rPr>
              <w:t>(a)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24,648</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9,937</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6,190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3,457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613</w:t>
            </w:r>
          </w:p>
        </w:tc>
      </w:tr>
      <w:tr>
        <w:trPr>
          <w:trHeight w:val="230"/>
        </w:trPr>
        <w:tc>
          <w:tcPr>
            <w:tcW w:w="388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5,019</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1,900</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1,523</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4,212</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678</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616</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2,734</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0"/>
        </w:trPr>
        <w:tc>
          <w:tcPr>
            <w:tcW w:w="388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2,162</w:t>
            </w: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844</w:t>
            </w: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601</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29</w:t>
            </w:r>
          </w:p>
        </w:tc>
      </w:tr>
      <w:tr>
        <w:trPr>
          <w:trHeight w:val="310"/>
        </w:trPr>
        <w:tc>
          <w:tcPr>
            <w:tcW w:w="3880" w:type="dxa"/>
            <w:vAlign w:val="bottom"/>
          </w:tcPr>
          <w:p>
            <w:pPr>
              <w:ind w:left="38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(b)</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(335)</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(512)</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69</w:t>
            </w:r>
          </w:p>
        </w:tc>
      </w:tr>
      <w:tr>
        <w:trPr>
          <w:trHeight w:val="257"/>
        </w:trPr>
        <w:tc>
          <w:tcPr>
            <w:tcW w:w="388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13,964</w:t>
            </w: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3,311</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879</w:t>
            </w:r>
          </w:p>
        </w:tc>
        <w:tc>
          <w:tcPr>
            <w:tcW w:w="20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2,432</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114</w:t>
            </w:r>
          </w:p>
        </w:tc>
      </w:tr>
      <w:tr>
        <w:trPr>
          <w:trHeight w:val="310"/>
        </w:trPr>
        <w:tc>
          <w:tcPr>
            <w:tcW w:w="3880" w:type="dxa"/>
            <w:vAlign w:val="bottom"/>
          </w:tcPr>
          <w:p>
            <w:pPr>
              <w:ind w:left="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25"/>
                <w:szCs w:val="25"/>
                <w:color w:val="auto"/>
                <w:vertAlign w:val="superscript"/>
              </w:rPr>
              <w:t>(d)</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w:t>
            </w: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(445)</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(486)</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4"/>
                <w:szCs w:val="24"/>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w:t>
            </w:r>
          </w:p>
        </w:tc>
      </w:tr>
      <w:tr>
        <w:trPr>
          <w:trHeight w:val="257"/>
        </w:trPr>
        <w:tc>
          <w:tcPr>
            <w:tcW w:w="388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(c)</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Comcast Consolidated</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38,059</w:t>
            </w:r>
          </w:p>
        </w:tc>
        <w:tc>
          <w:tcPr>
            <w:tcW w:w="4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12,822</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4,667</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3"/>
              <w:spacing w:after="0"/>
              <w:rPr>
                <w:sz w:val="20"/>
                <w:szCs w:val="20"/>
                <w:color w:val="auto"/>
              </w:rPr>
            </w:pPr>
            <w:r>
              <w:rPr>
                <w:rFonts w:ascii="Arial" w:cs="Arial" w:eastAsia="Arial" w:hAnsi="Arial"/>
                <w:sz w:val="18"/>
                <w:szCs w:val="18"/>
                <w:b w:val="1"/>
                <w:bCs w:val="1"/>
                <w:color w:val="auto"/>
              </w:rPr>
              <w:t>8,155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4,156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b w:val="1"/>
                <w:bCs w:val="1"/>
                <w:color w:val="auto"/>
              </w:rPr>
              <w:t>737</w:t>
            </w:r>
          </w:p>
        </w:tc>
      </w:tr>
      <w:tr>
        <w:trPr>
          <w:trHeight w:val="34"/>
        </w:trPr>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15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three and six months ended June 30, 2017 and 2016, Cable Communications segment revenue was derived from the following sources:</w:t>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Three Months Ended</w:t>
            </w:r>
          </w:p>
        </w:tc>
        <w:tc>
          <w:tcPr>
            <w:tcW w:w="126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21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June 30</w:t>
            </w:r>
          </w:p>
        </w:tc>
        <w:tc>
          <w:tcPr>
            <w:tcW w:w="1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4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1248"/>
              <w:spacing w:after="0"/>
              <w:rPr>
                <w:sz w:val="20"/>
                <w:szCs w:val="20"/>
                <w:color w:val="auto"/>
              </w:rPr>
            </w:pPr>
            <w:r>
              <w:rPr>
                <w:rFonts w:ascii="Arial" w:cs="Arial" w:eastAsia="Arial" w:hAnsi="Arial"/>
                <w:sz w:val="14"/>
                <w:szCs w:val="14"/>
                <w:color w:val="auto"/>
              </w:rPr>
              <w:t>2017</w:t>
            </w:r>
          </w:p>
        </w:tc>
        <w:tc>
          <w:tcPr>
            <w:tcW w:w="126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w w:val="96"/>
              </w:rPr>
              <w:t>2016</w:t>
            </w:r>
          </w:p>
        </w:tc>
        <w:tc>
          <w:tcPr>
            <w:tcW w:w="1980" w:type="dxa"/>
            <w:vAlign w:val="bottom"/>
            <w:tcBorders>
              <w:bottom w:val="single" w:sz="8" w:color="auto"/>
            </w:tcBorders>
          </w:tcPr>
          <w:p>
            <w:pPr>
              <w:jc w:val="right"/>
              <w:ind w:right="1228"/>
              <w:spacing w:after="0"/>
              <w:rPr>
                <w:sz w:val="20"/>
                <w:szCs w:val="20"/>
                <w:color w:val="auto"/>
              </w:rPr>
            </w:pPr>
            <w:r>
              <w:rPr>
                <w:rFonts w:ascii="Arial" w:cs="Arial" w:eastAsia="Arial" w:hAnsi="Arial"/>
                <w:sz w:val="14"/>
                <w:szCs w:val="14"/>
                <w:color w:val="auto"/>
              </w:rPr>
              <w:t>2017</w:t>
            </w:r>
          </w:p>
        </w:tc>
        <w:tc>
          <w:tcPr>
            <w:tcW w:w="9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190"/>
        </w:trPr>
        <w:tc>
          <w:tcPr>
            <w:tcW w:w="3740" w:type="dxa"/>
            <w:vAlign w:val="bottom"/>
          </w:tcPr>
          <w:p>
            <w:pPr>
              <w:ind w:left="20"/>
              <w:spacing w:after="0"/>
              <w:rPr>
                <w:sz w:val="20"/>
                <w:szCs w:val="20"/>
                <w:color w:val="auto"/>
              </w:rPr>
            </w:pPr>
            <w:r>
              <w:rPr>
                <w:rFonts w:ascii="Arial" w:cs="Arial" w:eastAsia="Arial" w:hAnsi="Arial"/>
                <w:sz w:val="14"/>
                <w:szCs w:val="14"/>
                <w:color w:val="auto"/>
              </w:rPr>
              <w:t>Residential:</w:t>
            </w:r>
          </w:p>
        </w:tc>
        <w:tc>
          <w:tcPr>
            <w:tcW w:w="2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380"/>
              <w:spacing w:after="0"/>
              <w:rPr>
                <w:sz w:val="20"/>
                <w:szCs w:val="20"/>
                <w:color w:val="auto"/>
              </w:rPr>
            </w:pPr>
            <w:r>
              <w:rPr>
                <w:rFonts w:ascii="Arial" w:cs="Arial" w:eastAsia="Arial" w:hAnsi="Arial"/>
                <w:sz w:val="14"/>
                <w:szCs w:val="14"/>
                <w:color w:val="auto"/>
              </w:rPr>
              <w:t>Video</w:t>
            </w:r>
          </w:p>
        </w:tc>
        <w:tc>
          <w:tcPr>
            <w:tcW w:w="2180" w:type="dxa"/>
            <w:vAlign w:val="bottom"/>
            <w:vMerge w:val="restart"/>
          </w:tcPr>
          <w:p>
            <w:pPr>
              <w:jc w:val="right"/>
              <w:ind w:right="708"/>
              <w:spacing w:after="0"/>
              <w:rPr>
                <w:sz w:val="20"/>
                <w:szCs w:val="20"/>
                <w:color w:val="auto"/>
              </w:rPr>
            </w:pPr>
            <w:r>
              <w:rPr>
                <w:rFonts w:ascii="Arial" w:cs="Arial" w:eastAsia="Arial" w:hAnsi="Arial"/>
                <w:sz w:val="14"/>
                <w:szCs w:val="14"/>
                <w:color w:val="auto"/>
              </w:rPr>
              <w:t>44.2%</w:t>
            </w:r>
          </w:p>
        </w:tc>
        <w:tc>
          <w:tcPr>
            <w:tcW w:w="1260" w:type="dxa"/>
            <w:vAlign w:val="bottom"/>
            <w:vMerge w:val="restart"/>
          </w:tcPr>
          <w:p>
            <w:pPr>
              <w:jc w:val="right"/>
              <w:ind w:right="328"/>
              <w:spacing w:after="0"/>
              <w:rPr>
                <w:sz w:val="20"/>
                <w:szCs w:val="20"/>
                <w:color w:val="auto"/>
              </w:rPr>
            </w:pPr>
            <w:r>
              <w:rPr>
                <w:rFonts w:ascii="Arial" w:cs="Arial" w:eastAsia="Arial" w:hAnsi="Arial"/>
                <w:sz w:val="14"/>
                <w:szCs w:val="14"/>
                <w:color w:val="auto"/>
              </w:rPr>
              <w:t>44.9%</w:t>
            </w:r>
          </w:p>
        </w:tc>
        <w:tc>
          <w:tcPr>
            <w:tcW w:w="1980" w:type="dxa"/>
            <w:vAlign w:val="bottom"/>
            <w:vMerge w:val="restart"/>
          </w:tcPr>
          <w:p>
            <w:pPr>
              <w:jc w:val="right"/>
              <w:ind w:right="668"/>
              <w:spacing w:after="0"/>
              <w:rPr>
                <w:sz w:val="20"/>
                <w:szCs w:val="20"/>
                <w:color w:val="auto"/>
              </w:rPr>
            </w:pPr>
            <w:r>
              <w:rPr>
                <w:rFonts w:ascii="Arial" w:cs="Arial" w:eastAsia="Arial" w:hAnsi="Arial"/>
                <w:sz w:val="14"/>
                <w:szCs w:val="14"/>
                <w:color w:val="auto"/>
              </w:rPr>
              <w:t>44.4%</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68"/>
        </w:trPr>
        <w:tc>
          <w:tcPr>
            <w:tcW w:w="374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9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380"/>
              <w:spacing w:after="0"/>
              <w:rPr>
                <w:sz w:val="20"/>
                <w:szCs w:val="20"/>
                <w:color w:val="auto"/>
              </w:rPr>
            </w:pPr>
            <w:r>
              <w:rPr>
                <w:rFonts w:ascii="Arial" w:cs="Arial" w:eastAsia="Arial" w:hAnsi="Arial"/>
                <w:sz w:val="14"/>
                <w:szCs w:val="14"/>
                <w:color w:val="auto"/>
              </w:rPr>
              <w:t>High-speed Internet</w:t>
            </w:r>
          </w:p>
        </w:tc>
        <w:tc>
          <w:tcPr>
            <w:tcW w:w="2180" w:type="dxa"/>
            <w:vAlign w:val="bottom"/>
            <w:vMerge w:val="restart"/>
          </w:tcPr>
          <w:p>
            <w:pPr>
              <w:jc w:val="right"/>
              <w:ind w:right="708"/>
              <w:spacing w:after="0"/>
              <w:rPr>
                <w:sz w:val="20"/>
                <w:szCs w:val="20"/>
                <w:color w:val="auto"/>
              </w:rPr>
            </w:pPr>
            <w:r>
              <w:rPr>
                <w:rFonts w:ascii="Arial" w:cs="Arial" w:eastAsia="Arial" w:hAnsi="Arial"/>
                <w:sz w:val="14"/>
                <w:szCs w:val="14"/>
                <w:color w:val="auto"/>
              </w:rPr>
              <w:t>28.0%</w:t>
            </w:r>
          </w:p>
        </w:tc>
        <w:tc>
          <w:tcPr>
            <w:tcW w:w="1260" w:type="dxa"/>
            <w:vAlign w:val="bottom"/>
            <w:vMerge w:val="restart"/>
          </w:tcPr>
          <w:p>
            <w:pPr>
              <w:jc w:val="right"/>
              <w:ind w:right="328"/>
              <w:spacing w:after="0"/>
              <w:rPr>
                <w:sz w:val="20"/>
                <w:szCs w:val="20"/>
                <w:color w:val="auto"/>
              </w:rPr>
            </w:pPr>
            <w:r>
              <w:rPr>
                <w:rFonts w:ascii="Arial" w:cs="Arial" w:eastAsia="Arial" w:hAnsi="Arial"/>
                <w:sz w:val="14"/>
                <w:szCs w:val="14"/>
                <w:color w:val="auto"/>
              </w:rPr>
              <w:t>27.1%</w:t>
            </w:r>
          </w:p>
        </w:tc>
        <w:tc>
          <w:tcPr>
            <w:tcW w:w="1980" w:type="dxa"/>
            <w:vAlign w:val="bottom"/>
            <w:vMerge w:val="restart"/>
          </w:tcPr>
          <w:p>
            <w:pPr>
              <w:jc w:val="right"/>
              <w:ind w:right="668"/>
              <w:spacing w:after="0"/>
              <w:rPr>
                <w:sz w:val="20"/>
                <w:szCs w:val="20"/>
                <w:color w:val="auto"/>
              </w:rPr>
            </w:pPr>
            <w:r>
              <w:rPr>
                <w:rFonts w:ascii="Arial" w:cs="Arial" w:eastAsia="Arial" w:hAnsi="Arial"/>
                <w:sz w:val="14"/>
                <w:szCs w:val="14"/>
                <w:color w:val="auto"/>
              </w:rPr>
              <w:t>28.0%</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68"/>
        </w:trPr>
        <w:tc>
          <w:tcPr>
            <w:tcW w:w="374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9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380"/>
              <w:spacing w:after="0"/>
              <w:rPr>
                <w:sz w:val="20"/>
                <w:szCs w:val="20"/>
                <w:color w:val="auto"/>
              </w:rPr>
            </w:pPr>
            <w:r>
              <w:rPr>
                <w:rFonts w:ascii="Arial" w:cs="Arial" w:eastAsia="Arial" w:hAnsi="Arial"/>
                <w:sz w:val="14"/>
                <w:szCs w:val="14"/>
                <w:color w:val="auto"/>
              </w:rPr>
              <w:t>Voice</w:t>
            </w:r>
          </w:p>
        </w:tc>
        <w:tc>
          <w:tcPr>
            <w:tcW w:w="2180" w:type="dxa"/>
            <w:vAlign w:val="bottom"/>
            <w:vMerge w:val="restart"/>
          </w:tcPr>
          <w:p>
            <w:pPr>
              <w:jc w:val="right"/>
              <w:ind w:right="708"/>
              <w:spacing w:after="0"/>
              <w:rPr>
                <w:sz w:val="20"/>
                <w:szCs w:val="20"/>
                <w:color w:val="auto"/>
              </w:rPr>
            </w:pPr>
            <w:r>
              <w:rPr>
                <w:rFonts w:ascii="Arial" w:cs="Arial" w:eastAsia="Arial" w:hAnsi="Arial"/>
                <w:sz w:val="14"/>
                <w:szCs w:val="14"/>
                <w:color w:val="auto"/>
              </w:rPr>
              <w:t>6.5%</w:t>
            </w:r>
          </w:p>
        </w:tc>
        <w:tc>
          <w:tcPr>
            <w:tcW w:w="1260" w:type="dxa"/>
            <w:vAlign w:val="bottom"/>
            <w:vMerge w:val="restart"/>
          </w:tcPr>
          <w:p>
            <w:pPr>
              <w:jc w:val="right"/>
              <w:ind w:right="328"/>
              <w:spacing w:after="0"/>
              <w:rPr>
                <w:sz w:val="20"/>
                <w:szCs w:val="20"/>
                <w:color w:val="auto"/>
              </w:rPr>
            </w:pPr>
            <w:r>
              <w:rPr>
                <w:rFonts w:ascii="Arial" w:cs="Arial" w:eastAsia="Arial" w:hAnsi="Arial"/>
                <w:sz w:val="14"/>
                <w:szCs w:val="14"/>
                <w:color w:val="auto"/>
              </w:rPr>
              <w:t>7.2%</w:t>
            </w:r>
          </w:p>
        </w:tc>
        <w:tc>
          <w:tcPr>
            <w:tcW w:w="1980" w:type="dxa"/>
            <w:vAlign w:val="bottom"/>
            <w:vMerge w:val="restart"/>
          </w:tcPr>
          <w:p>
            <w:pPr>
              <w:jc w:val="right"/>
              <w:ind w:right="668"/>
              <w:spacing w:after="0"/>
              <w:rPr>
                <w:sz w:val="20"/>
                <w:szCs w:val="20"/>
                <w:color w:val="auto"/>
              </w:rPr>
            </w:pPr>
            <w:r>
              <w:rPr>
                <w:rFonts w:ascii="Arial" w:cs="Arial" w:eastAsia="Arial" w:hAnsi="Arial"/>
                <w:sz w:val="14"/>
                <w:szCs w:val="14"/>
                <w:color w:val="auto"/>
              </w:rPr>
              <w:t>6.6%</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68"/>
        </w:trPr>
        <w:tc>
          <w:tcPr>
            <w:tcW w:w="374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9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rPr>
                <w:sz w:val="20"/>
                <w:szCs w:val="20"/>
                <w:color w:val="auto"/>
              </w:rPr>
            </w:pPr>
            <w:r>
              <w:rPr>
                <w:rFonts w:ascii="Arial" w:cs="Arial" w:eastAsia="Arial" w:hAnsi="Arial"/>
                <w:sz w:val="14"/>
                <w:szCs w:val="14"/>
                <w:color w:val="auto"/>
              </w:rPr>
              <w:t>Business services</w:t>
            </w:r>
          </w:p>
        </w:tc>
        <w:tc>
          <w:tcPr>
            <w:tcW w:w="2180" w:type="dxa"/>
            <w:vAlign w:val="bottom"/>
            <w:vMerge w:val="restart"/>
          </w:tcPr>
          <w:p>
            <w:pPr>
              <w:jc w:val="right"/>
              <w:ind w:right="708"/>
              <w:spacing w:after="0"/>
              <w:rPr>
                <w:sz w:val="20"/>
                <w:szCs w:val="20"/>
                <w:color w:val="auto"/>
              </w:rPr>
            </w:pPr>
            <w:r>
              <w:rPr>
                <w:rFonts w:ascii="Arial" w:cs="Arial" w:eastAsia="Arial" w:hAnsi="Arial"/>
                <w:sz w:val="14"/>
                <w:szCs w:val="14"/>
                <w:color w:val="auto"/>
              </w:rPr>
              <w:t>11.7%</w:t>
            </w:r>
          </w:p>
        </w:tc>
        <w:tc>
          <w:tcPr>
            <w:tcW w:w="1260" w:type="dxa"/>
            <w:vAlign w:val="bottom"/>
            <w:vMerge w:val="restart"/>
          </w:tcPr>
          <w:p>
            <w:pPr>
              <w:jc w:val="right"/>
              <w:ind w:right="328"/>
              <w:spacing w:after="0"/>
              <w:rPr>
                <w:sz w:val="20"/>
                <w:szCs w:val="20"/>
                <w:color w:val="auto"/>
              </w:rPr>
            </w:pPr>
            <w:r>
              <w:rPr>
                <w:rFonts w:ascii="Arial" w:cs="Arial" w:eastAsia="Arial" w:hAnsi="Arial"/>
                <w:sz w:val="14"/>
                <w:szCs w:val="14"/>
                <w:color w:val="auto"/>
              </w:rPr>
              <w:t>10.9%</w:t>
            </w:r>
          </w:p>
        </w:tc>
        <w:tc>
          <w:tcPr>
            <w:tcW w:w="1980" w:type="dxa"/>
            <w:vAlign w:val="bottom"/>
            <w:vMerge w:val="restart"/>
          </w:tcPr>
          <w:p>
            <w:pPr>
              <w:jc w:val="right"/>
              <w:ind w:right="668"/>
              <w:spacing w:after="0"/>
              <w:rPr>
                <w:sz w:val="20"/>
                <w:szCs w:val="20"/>
                <w:color w:val="auto"/>
              </w:rPr>
            </w:pPr>
            <w:r>
              <w:rPr>
                <w:rFonts w:ascii="Arial" w:cs="Arial" w:eastAsia="Arial" w:hAnsi="Arial"/>
                <w:sz w:val="14"/>
                <w:szCs w:val="14"/>
                <w:color w:val="auto"/>
              </w:rPr>
              <w:t>11.6%</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68"/>
        </w:trPr>
        <w:tc>
          <w:tcPr>
            <w:tcW w:w="374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9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rPr>
                <w:sz w:val="20"/>
                <w:szCs w:val="20"/>
                <w:color w:val="auto"/>
              </w:rPr>
            </w:pPr>
            <w:r>
              <w:rPr>
                <w:rFonts w:ascii="Arial" w:cs="Arial" w:eastAsia="Arial" w:hAnsi="Arial"/>
                <w:sz w:val="14"/>
                <w:szCs w:val="14"/>
                <w:color w:val="auto"/>
              </w:rPr>
              <w:t>Advertising</w:t>
            </w:r>
          </w:p>
        </w:tc>
        <w:tc>
          <w:tcPr>
            <w:tcW w:w="2180" w:type="dxa"/>
            <w:vAlign w:val="bottom"/>
            <w:vMerge w:val="restart"/>
          </w:tcPr>
          <w:p>
            <w:pPr>
              <w:jc w:val="right"/>
              <w:ind w:right="708"/>
              <w:spacing w:after="0"/>
              <w:rPr>
                <w:sz w:val="20"/>
                <w:szCs w:val="20"/>
                <w:color w:val="auto"/>
              </w:rPr>
            </w:pPr>
            <w:r>
              <w:rPr>
                <w:rFonts w:ascii="Arial" w:cs="Arial" w:eastAsia="Arial" w:hAnsi="Arial"/>
                <w:sz w:val="14"/>
                <w:szCs w:val="14"/>
                <w:color w:val="auto"/>
              </w:rPr>
              <w:t>4.4%</w:t>
            </w:r>
          </w:p>
        </w:tc>
        <w:tc>
          <w:tcPr>
            <w:tcW w:w="1260" w:type="dxa"/>
            <w:vAlign w:val="bottom"/>
            <w:vMerge w:val="restart"/>
          </w:tcPr>
          <w:p>
            <w:pPr>
              <w:jc w:val="right"/>
              <w:ind w:right="328"/>
              <w:spacing w:after="0"/>
              <w:rPr>
                <w:sz w:val="20"/>
                <w:szCs w:val="20"/>
                <w:color w:val="auto"/>
              </w:rPr>
            </w:pPr>
            <w:r>
              <w:rPr>
                <w:rFonts w:ascii="Arial" w:cs="Arial" w:eastAsia="Arial" w:hAnsi="Arial"/>
                <w:sz w:val="14"/>
                <w:szCs w:val="14"/>
                <w:color w:val="auto"/>
              </w:rPr>
              <w:t>4.7%</w:t>
            </w:r>
          </w:p>
        </w:tc>
        <w:tc>
          <w:tcPr>
            <w:tcW w:w="1980" w:type="dxa"/>
            <w:vAlign w:val="bottom"/>
            <w:vMerge w:val="restart"/>
          </w:tcPr>
          <w:p>
            <w:pPr>
              <w:jc w:val="right"/>
              <w:ind w:right="668"/>
              <w:spacing w:after="0"/>
              <w:rPr>
                <w:sz w:val="20"/>
                <w:szCs w:val="20"/>
                <w:color w:val="auto"/>
              </w:rPr>
            </w:pPr>
            <w:r>
              <w:rPr>
                <w:rFonts w:ascii="Arial" w:cs="Arial" w:eastAsia="Arial" w:hAnsi="Arial"/>
                <w:sz w:val="14"/>
                <w:szCs w:val="14"/>
                <w:color w:val="auto"/>
              </w:rPr>
              <w:t>4.2%</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68"/>
        </w:trPr>
        <w:tc>
          <w:tcPr>
            <w:tcW w:w="3740" w:type="dxa"/>
            <w:vAlign w:val="bottom"/>
          </w:tcPr>
          <w:p>
            <w:pPr>
              <w:spacing w:after="0"/>
              <w:rPr>
                <w:sz w:val="5"/>
                <w:szCs w:val="5"/>
                <w:color w:val="auto"/>
              </w:rPr>
            </w:pPr>
          </w:p>
        </w:tc>
        <w:tc>
          <w:tcPr>
            <w:tcW w:w="218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9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rPr>
                <w:sz w:val="20"/>
                <w:szCs w:val="20"/>
                <w:color w:val="auto"/>
              </w:rPr>
            </w:pPr>
            <w:r>
              <w:rPr>
                <w:rFonts w:ascii="Arial" w:cs="Arial" w:eastAsia="Arial" w:hAnsi="Arial"/>
                <w:sz w:val="14"/>
                <w:szCs w:val="14"/>
                <w:color w:val="auto"/>
              </w:rPr>
              <w:t>Other</w:t>
            </w:r>
          </w:p>
        </w:tc>
        <w:tc>
          <w:tcPr>
            <w:tcW w:w="2180" w:type="dxa"/>
            <w:vAlign w:val="bottom"/>
            <w:vMerge w:val="restart"/>
          </w:tcPr>
          <w:p>
            <w:pPr>
              <w:jc w:val="right"/>
              <w:ind w:right="708"/>
              <w:spacing w:after="0"/>
              <w:rPr>
                <w:sz w:val="20"/>
                <w:szCs w:val="20"/>
                <w:color w:val="auto"/>
              </w:rPr>
            </w:pPr>
            <w:r>
              <w:rPr>
                <w:rFonts w:ascii="Arial" w:cs="Arial" w:eastAsia="Arial" w:hAnsi="Arial"/>
                <w:sz w:val="14"/>
                <w:szCs w:val="14"/>
                <w:color w:val="auto"/>
              </w:rPr>
              <w:t>5.2%</w:t>
            </w:r>
          </w:p>
        </w:tc>
        <w:tc>
          <w:tcPr>
            <w:tcW w:w="1260" w:type="dxa"/>
            <w:vAlign w:val="bottom"/>
            <w:vMerge w:val="restart"/>
          </w:tcPr>
          <w:p>
            <w:pPr>
              <w:jc w:val="right"/>
              <w:ind w:right="328"/>
              <w:spacing w:after="0"/>
              <w:rPr>
                <w:sz w:val="20"/>
                <w:szCs w:val="20"/>
                <w:color w:val="auto"/>
              </w:rPr>
            </w:pPr>
            <w:r>
              <w:rPr>
                <w:rFonts w:ascii="Arial" w:cs="Arial" w:eastAsia="Arial" w:hAnsi="Arial"/>
                <w:sz w:val="14"/>
                <w:szCs w:val="14"/>
                <w:color w:val="auto"/>
              </w:rPr>
              <w:t>5.2%</w:t>
            </w:r>
          </w:p>
        </w:tc>
        <w:tc>
          <w:tcPr>
            <w:tcW w:w="1980" w:type="dxa"/>
            <w:vAlign w:val="bottom"/>
            <w:vMerge w:val="restart"/>
          </w:tcPr>
          <w:p>
            <w:pPr>
              <w:jc w:val="right"/>
              <w:ind w:right="668"/>
              <w:spacing w:after="0"/>
              <w:rPr>
                <w:sz w:val="20"/>
                <w:szCs w:val="20"/>
                <w:color w:val="auto"/>
              </w:rPr>
            </w:pPr>
            <w:r>
              <w:rPr>
                <w:rFonts w:ascii="Arial" w:cs="Arial" w:eastAsia="Arial" w:hAnsi="Arial"/>
                <w:sz w:val="14"/>
                <w:szCs w:val="14"/>
                <w:color w:val="auto"/>
              </w:rPr>
              <w:t>5.2%</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74"/>
        </w:trPr>
        <w:tc>
          <w:tcPr>
            <w:tcW w:w="3740" w:type="dxa"/>
            <w:vAlign w:val="bottom"/>
            <w:tcBorders>
              <w:bottom w:val="single" w:sz="8" w:color="auto"/>
            </w:tcBorders>
          </w:tcPr>
          <w:p>
            <w:pPr>
              <w:spacing w:after="0"/>
              <w:rPr>
                <w:sz w:val="6"/>
                <w:szCs w:val="6"/>
                <w:color w:val="auto"/>
              </w:rPr>
            </w:pPr>
          </w:p>
        </w:tc>
        <w:tc>
          <w:tcPr>
            <w:tcW w:w="2180" w:type="dxa"/>
            <w:vAlign w:val="bottom"/>
            <w:tcBorders>
              <w:bottom w:val="single" w:sz="8" w:color="auto"/>
            </w:tcBorders>
            <w:vMerge w:val="continue"/>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980" w:type="dxa"/>
            <w:vAlign w:val="bottom"/>
            <w:tcBorders>
              <w:bottom w:val="single" w:sz="8" w:color="auto"/>
            </w:tcBorders>
            <w:vMerge w:val="continue"/>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740" w:type="dxa"/>
            <w:vAlign w:val="bottom"/>
          </w:tcPr>
          <w:p>
            <w:pPr>
              <w:ind w:left="20"/>
              <w:spacing w:after="0"/>
              <w:rPr>
                <w:sz w:val="20"/>
                <w:szCs w:val="20"/>
                <w:color w:val="auto"/>
              </w:rPr>
            </w:pPr>
            <w:r>
              <w:rPr>
                <w:rFonts w:ascii="Arial" w:cs="Arial" w:eastAsia="Arial" w:hAnsi="Arial"/>
                <w:sz w:val="14"/>
                <w:szCs w:val="14"/>
                <w:color w:val="auto"/>
              </w:rPr>
              <w:t>Total</w:t>
            </w:r>
          </w:p>
        </w:tc>
        <w:tc>
          <w:tcPr>
            <w:tcW w:w="2180" w:type="dxa"/>
            <w:vAlign w:val="bottom"/>
            <w:vMerge w:val="restart"/>
          </w:tcPr>
          <w:p>
            <w:pPr>
              <w:jc w:val="right"/>
              <w:ind w:right="708"/>
              <w:spacing w:after="0"/>
              <w:rPr>
                <w:sz w:val="20"/>
                <w:szCs w:val="20"/>
                <w:color w:val="auto"/>
              </w:rPr>
            </w:pPr>
            <w:r>
              <w:rPr>
                <w:rFonts w:ascii="Arial" w:cs="Arial" w:eastAsia="Arial" w:hAnsi="Arial"/>
                <w:sz w:val="14"/>
                <w:szCs w:val="14"/>
                <w:color w:val="auto"/>
              </w:rPr>
              <w:t>100.0%</w:t>
            </w:r>
          </w:p>
        </w:tc>
        <w:tc>
          <w:tcPr>
            <w:tcW w:w="1260" w:type="dxa"/>
            <w:vAlign w:val="bottom"/>
            <w:vMerge w:val="restart"/>
          </w:tcPr>
          <w:p>
            <w:pPr>
              <w:jc w:val="right"/>
              <w:ind w:right="328"/>
              <w:spacing w:after="0"/>
              <w:rPr>
                <w:sz w:val="20"/>
                <w:szCs w:val="20"/>
                <w:color w:val="auto"/>
              </w:rPr>
            </w:pPr>
            <w:r>
              <w:rPr>
                <w:rFonts w:ascii="Arial" w:cs="Arial" w:eastAsia="Arial" w:hAnsi="Arial"/>
                <w:sz w:val="14"/>
                <w:szCs w:val="14"/>
                <w:color w:val="auto"/>
              </w:rPr>
              <w:t>100.0%</w:t>
            </w:r>
          </w:p>
        </w:tc>
        <w:tc>
          <w:tcPr>
            <w:tcW w:w="1980" w:type="dxa"/>
            <w:vAlign w:val="bottom"/>
            <w:vMerge w:val="restart"/>
          </w:tcPr>
          <w:p>
            <w:pPr>
              <w:jc w:val="right"/>
              <w:ind w:right="668"/>
              <w:spacing w:after="0"/>
              <w:rPr>
                <w:sz w:val="20"/>
                <w:szCs w:val="20"/>
                <w:color w:val="auto"/>
              </w:rPr>
            </w:pPr>
            <w:r>
              <w:rPr>
                <w:rFonts w:ascii="Arial" w:cs="Arial" w:eastAsia="Arial" w:hAnsi="Arial"/>
                <w:sz w:val="14"/>
                <w:szCs w:val="14"/>
                <w:color w:val="auto"/>
              </w:rPr>
              <w:t>100.0%</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87"/>
        </w:trPr>
        <w:tc>
          <w:tcPr>
            <w:tcW w:w="3740" w:type="dxa"/>
            <w:vAlign w:val="bottom"/>
            <w:tcBorders>
              <w:bottom w:val="single" w:sz="8" w:color="auto"/>
            </w:tcBorders>
          </w:tcPr>
          <w:p>
            <w:pPr>
              <w:spacing w:after="0"/>
              <w:rPr>
                <w:sz w:val="7"/>
                <w:szCs w:val="7"/>
                <w:color w:val="auto"/>
              </w:rPr>
            </w:pPr>
          </w:p>
        </w:tc>
        <w:tc>
          <w:tcPr>
            <w:tcW w:w="2180" w:type="dxa"/>
            <w:vAlign w:val="bottom"/>
            <w:tcBorders>
              <w:bottom w:val="single" w:sz="8" w:color="auto"/>
            </w:tcBorders>
            <w:vMerge w:val="continue"/>
          </w:tcPr>
          <w:p>
            <w:pPr>
              <w:spacing w:after="0"/>
              <w:rPr>
                <w:sz w:val="7"/>
                <w:szCs w:val="7"/>
                <w:color w:val="auto"/>
              </w:rPr>
            </w:pPr>
          </w:p>
        </w:tc>
        <w:tc>
          <w:tcPr>
            <w:tcW w:w="1260" w:type="dxa"/>
            <w:vAlign w:val="bottom"/>
            <w:tcBorders>
              <w:bottom w:val="single" w:sz="8" w:color="auto"/>
            </w:tcBorders>
            <w:vMerge w:val="continue"/>
          </w:tcPr>
          <w:p>
            <w:pPr>
              <w:spacing w:after="0"/>
              <w:rPr>
                <w:sz w:val="7"/>
                <w:szCs w:val="7"/>
                <w:color w:val="auto"/>
              </w:rPr>
            </w:pPr>
          </w:p>
        </w:tc>
        <w:tc>
          <w:tcPr>
            <w:tcW w:w="1980" w:type="dxa"/>
            <w:vAlign w:val="bottom"/>
            <w:tcBorders>
              <w:bottom w:val="single" w:sz="8" w:color="auto"/>
            </w:tcBorders>
            <w:vMerge w:val="continue"/>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40"/>
        <w:spacing w:after="0" w:line="273" w:lineRule="auto"/>
        <w:rPr>
          <w:sz w:val="20"/>
          <w:szCs w:val="20"/>
          <w:color w:val="auto"/>
        </w:rPr>
      </w:pPr>
      <w:r>
        <w:rPr>
          <w:rFonts w:ascii="Arial" w:cs="Arial" w:eastAsia="Arial" w:hAnsi="Arial"/>
          <w:sz w:val="14"/>
          <w:szCs w:val="14"/>
          <w:color w:val="auto"/>
        </w:rPr>
        <w:t>Subscription revenue received from residential customers who purchase bundled services at a discounted rate is allocated proportionally to each cable service based on the individual service’s price on a stand-alone basis.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For the three and six months ended June 30, 2017 and 2016, 2.8% of Cable Communications segment revenue was derived from franchise and other regulatory fees.</w:t>
      </w:r>
    </w:p>
    <w:p>
      <w:pPr>
        <w:spacing w:after="0" w:line="6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 costs associated with overhead, allocations, personnel costs and headquarter initiatives.</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The most common types of transactions are the following:</w:t>
      </w:r>
    </w:p>
    <w:p>
      <w:pPr>
        <w:spacing w:after="0" w:line="68" w:lineRule="exact"/>
        <w:rPr>
          <w:rFonts w:ascii="Arial" w:cs="Arial" w:eastAsia="Arial" w:hAnsi="Arial"/>
          <w:sz w:val="14"/>
          <w:szCs w:val="14"/>
          <w:color w:val="auto"/>
        </w:rPr>
      </w:pPr>
    </w:p>
    <w:p>
      <w:pPr>
        <w:ind w:left="980" w:hanging="81"/>
        <w:spacing w:after="0" w:line="273" w:lineRule="auto"/>
        <w:tabs>
          <w:tab w:leader="none" w:pos="98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Networks segment generates revenue by selling programming to our Cable Communications segment, which represents a substantial majority of the revenue elimination amount</w:t>
      </w:r>
    </w:p>
    <w:p>
      <w:pPr>
        <w:spacing w:after="0" w:line="25" w:lineRule="exact"/>
        <w:rPr>
          <w:rFonts w:ascii="Arial" w:cs="Arial" w:eastAsia="Arial" w:hAnsi="Arial"/>
          <w:sz w:val="14"/>
          <w:szCs w:val="14"/>
          <w:color w:val="auto"/>
        </w:rPr>
      </w:pPr>
    </w:p>
    <w:p>
      <w:pPr>
        <w:ind w:left="980" w:hanging="81"/>
        <w:spacing w:after="0"/>
        <w:tabs>
          <w:tab w:leader="none" w:pos="98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Broadcast Television segment generates revenue from the fees received under retransmission consent agreements with our Cable Communications segment</w:t>
      </w:r>
    </w:p>
    <w:p>
      <w:pPr>
        <w:spacing w:after="0" w:line="68" w:lineRule="exact"/>
        <w:rPr>
          <w:rFonts w:ascii="Arial" w:cs="Arial" w:eastAsia="Arial" w:hAnsi="Arial"/>
          <w:sz w:val="14"/>
          <w:szCs w:val="14"/>
          <w:color w:val="auto"/>
        </w:rPr>
      </w:pPr>
    </w:p>
    <w:p>
      <w:pPr>
        <w:ind w:left="980" w:hanging="81"/>
        <w:spacing w:after="0"/>
        <w:tabs>
          <w:tab w:leader="none" w:pos="98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68" w:lineRule="exact"/>
        <w:rPr>
          <w:rFonts w:ascii="Arial" w:cs="Arial" w:eastAsia="Arial" w:hAnsi="Arial"/>
          <w:sz w:val="14"/>
          <w:szCs w:val="14"/>
          <w:color w:val="auto"/>
        </w:rPr>
      </w:pPr>
    </w:p>
    <w:p>
      <w:pPr>
        <w:ind w:left="980" w:hanging="81"/>
        <w:spacing w:after="0"/>
        <w:tabs>
          <w:tab w:leader="none" w:pos="980" w:val="left"/>
        </w:tabs>
        <w:numPr>
          <w:ilvl w:val="1"/>
          <w:numId w:val="7"/>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from the licensing of film and television content to our Cable Networks segment</w:t>
      </w:r>
    </w:p>
    <w:p>
      <w:pPr>
        <w:spacing w:after="0" w:line="68" w:lineRule="exact"/>
        <w:rPr>
          <w:rFonts w:ascii="Arial" w:cs="Arial" w:eastAsia="Arial" w:hAnsi="Arial"/>
          <w:sz w:val="14"/>
          <w:szCs w:val="14"/>
          <w:color w:val="auto"/>
        </w:rPr>
      </w:pPr>
    </w:p>
    <w:p>
      <w:pPr>
        <w:ind w:left="340" w:hanging="332"/>
        <w:spacing w:after="0" w:line="312"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Corporate and Other activities include costs associated with overhead and personnel, the costs of other business initiatives, including our new wireless phone service, and the operations of Comcast Spectacor, which owns the Philadelphia Flyers and the Wells Fargo Center arena in Philadelphia, Pennsylvania and operates arena management-related businesses.</w:t>
      </w:r>
    </w:p>
    <w:p>
      <w:pPr>
        <w:spacing w:after="0" w:line="2" w:lineRule="exact"/>
        <w:rPr>
          <w:rFonts w:ascii="Arial" w:cs="Arial" w:eastAsia="Arial" w:hAnsi="Arial"/>
          <w:sz w:val="13"/>
          <w:szCs w:val="13"/>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68" w:lineRule="exact"/>
        <w:rPr>
          <w:rFonts w:ascii="Arial" w:cs="Arial" w:eastAsia="Arial" w:hAnsi="Arial"/>
          <w:sz w:val="14"/>
          <w:szCs w:val="14"/>
          <w:color w:val="auto"/>
        </w:rPr>
      </w:pPr>
    </w:p>
    <w:p>
      <w:pPr>
        <w:jc w:val="both"/>
        <w:ind w:left="340" w:hanging="332"/>
        <w:spacing w:after="0" w:line="244"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use Adjusted EBITDA as the measure of profit or loss for our operating segments. Adjusted EBITDA is defined as net income attributable to Comcast Corporation before net (income) loss attributable to noncontrolling interests and redeemable subsidiary preferred stock, income tax expense, other income (expense) items, net, and depreciation and amortization, and excluding impairment charges related to fixed and intangible assets and gains or losses on the sale of long-lived assets, if any. Other income (expense) items, net include interest expense, investment income (loss), equity in net income (losses) of investees, and other income (expense), net (as stated in our condensed consolidated statement of income). This measure eliminates the significant level of noncash depreciation and amortization expense that results from the capital-intensive nature of certain of our businesses and from intangible assets recognized in business combinations. Additionally, it is unaffected by our capital and tax structures and by our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net income (loss) attributable to Comcast Corporation, net cash provided by operating activities, or other measures of performance or liquidity we have reported in accordance with GAAP. Our reconciliation of the aggregate amount of Adjusted EBITDA for our reportable segments to consolidated income before income taxes is presented in the table below.</w:t>
      </w:r>
    </w:p>
    <w:p>
      <w:pPr>
        <w:sectPr>
          <w:pgSz w:w="11900" w:h="16838" w:orient="portrait"/>
          <w:cols w:equalWidth="0" w:num="1">
            <w:col w:w="11420"/>
          </w:cols>
          <w:pgMar w:left="240" w:top="121" w:right="239" w:bottom="1440" w:gutter="0" w:footer="0" w:header="0"/>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80" w:type="dxa"/>
            <w:vAlign w:val="bottom"/>
          </w:tcPr>
          <w:p>
            <w:pPr>
              <w:spacing w:after="0"/>
              <w:rPr>
                <w:sz w:val="14"/>
                <w:szCs w:val="14"/>
                <w:color w:val="auto"/>
              </w:rPr>
            </w:pPr>
          </w:p>
        </w:tc>
      </w:tr>
      <w:tr>
        <w:trPr>
          <w:trHeight w:val="188"/>
        </w:trPr>
        <w:tc>
          <w:tcPr>
            <w:tcW w:w="4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color w:val="auto"/>
              </w:rPr>
              <w:t>June 30</w:t>
            </w:r>
          </w:p>
        </w:tc>
        <w:tc>
          <w:tcPr>
            <w:tcW w:w="880" w:type="dxa"/>
            <w:vAlign w:val="bottom"/>
            <w:tcBorders>
              <w:bottom w:val="single" w:sz="8" w:color="auto"/>
            </w:tcBorders>
          </w:tcPr>
          <w:p>
            <w:pPr>
              <w:spacing w:after="0"/>
              <w:rPr>
                <w:sz w:val="16"/>
                <w:szCs w:val="16"/>
                <w:color w:val="auto"/>
              </w:rPr>
            </w:pPr>
          </w:p>
        </w:tc>
      </w:tr>
      <w:tr>
        <w:trPr>
          <w:trHeight w:val="264"/>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2017</w:t>
            </w:r>
          </w:p>
        </w:tc>
        <w:tc>
          <w:tcPr>
            <w:tcW w:w="6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w w:val="89"/>
              </w:rPr>
              <w:t>2016</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2017</w:t>
            </w: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2016</w:t>
            </w:r>
          </w:p>
        </w:tc>
      </w:tr>
      <w:tr>
        <w:trPr>
          <w:trHeight w:val="258"/>
        </w:trPr>
        <w:tc>
          <w:tcPr>
            <w:tcW w:w="448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7,099</w:t>
            </w:r>
          </w:p>
        </w:tc>
        <w:tc>
          <w:tcPr>
            <w:tcW w:w="6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6,455</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14,131</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12,822</w:t>
            </w:r>
          </w:p>
        </w:tc>
      </w:tr>
      <w:tr>
        <w:trPr>
          <w:trHeight w:val="270"/>
        </w:trPr>
        <w:tc>
          <w:tcPr>
            <w:tcW w:w="448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340" w:type="dxa"/>
            <w:vAlign w:val="bottom"/>
          </w:tcPr>
          <w:p>
            <w:pPr>
              <w:spacing w:after="0"/>
              <w:rPr>
                <w:sz w:val="23"/>
                <w:szCs w:val="23"/>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(1,970)</w:t>
            </w:r>
          </w:p>
        </w:tc>
        <w:tc>
          <w:tcPr>
            <w:tcW w:w="66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(1,868)</w:t>
            </w:r>
          </w:p>
        </w:tc>
        <w:tc>
          <w:tcPr>
            <w:tcW w:w="44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(3,885)</w:t>
            </w:r>
          </w:p>
        </w:tc>
        <w:tc>
          <w:tcPr>
            <w:tcW w:w="6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(3,653)</w:t>
            </w:r>
          </w:p>
        </w:tc>
      </w:tr>
      <w:tr>
        <w:trPr>
          <w:trHeight w:val="270"/>
        </w:trPr>
        <w:tc>
          <w:tcPr>
            <w:tcW w:w="448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340" w:type="dxa"/>
            <w:vAlign w:val="bottom"/>
          </w:tcPr>
          <w:p>
            <w:pPr>
              <w:spacing w:after="0"/>
              <w:rPr>
                <w:sz w:val="23"/>
                <w:szCs w:val="23"/>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(571)</w:t>
            </w:r>
          </w:p>
        </w:tc>
        <w:tc>
          <w:tcPr>
            <w:tcW w:w="66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(521)</w:t>
            </w:r>
          </w:p>
        </w:tc>
        <w:tc>
          <w:tcPr>
            <w:tcW w:w="44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(1,158)</w:t>
            </w:r>
          </w:p>
        </w:tc>
        <w:tc>
          <w:tcPr>
            <w:tcW w:w="6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(1,014)</w:t>
            </w:r>
          </w:p>
        </w:tc>
      </w:tr>
      <w:tr>
        <w:trPr>
          <w:trHeight w:val="276"/>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income (expense) items, net</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(659)</w:t>
            </w:r>
          </w:p>
        </w:tc>
        <w:tc>
          <w:tcPr>
            <w:tcW w:w="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(708)</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(1,284)</w:t>
            </w: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w:t>
            </w:r>
          </w:p>
        </w:tc>
      </w:tr>
      <w:tr>
        <w:trPr>
          <w:trHeight w:val="277"/>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3,899</w:t>
            </w:r>
          </w:p>
        </w:tc>
        <w:tc>
          <w:tcPr>
            <w:tcW w:w="6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3,358</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7,804</w:t>
            </w:r>
          </w:p>
        </w:tc>
        <w:tc>
          <w:tcPr>
            <w:tcW w:w="6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6,893</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Condensed Consolidating Financial Information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Comcast (“Comcast Parent”), Comcast Cable Communications, LLC (“CCCL Parent”), and NBCUniversal (“NBCUniversal Media Parent”) have fully and unconditionally guaranteed each other’s debt securities, including the Comcast revolving credit facility.</w:t>
      </w:r>
    </w:p>
    <w:p>
      <w:pPr>
        <w:spacing w:after="0" w:line="2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Comcast Parent and CCCL Parent also fully and unconditionally guarantee NBCUniversal Enterprise’s $4.8 billion aggregate principal amount of senior notes, $1.5 billion revolving credit facility and commercial paper program. NBCUniversal Media Parent does not guarantee the NBCUniversal Enterprise senior notes, revolving credit facility or commercial paper program.</w:t>
      </w:r>
    </w:p>
    <w:p>
      <w:pPr>
        <w:spacing w:after="0" w:line="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Comcast Parent provides an unconditional subordinated guarantee of the $185 million principal amount currently outstanding of Comcast Holdings’ ZONES due October 2029. Comcast Parent also provides an unconditional guarantee of the Universal Studios Japan ¥450 billion term loan with a final maturity of March 2022. Neither CCCL Parent nor NBCUniversal Media Parent guarantee the Comcast Holdings’ ZONES due October 2029. None of Comcast Parent, CCCL Parent nor NBCUniversal Media Parent guarantee the $62 million principal amount currently outstanding of Comcast Holdings’ ZONES due November 2029.</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72"/>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2"/>
              </w:rPr>
              <w:t>Non-</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98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86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CCCL</w:t>
            </w:r>
          </w:p>
        </w:tc>
        <w:tc>
          <w:tcPr>
            <w:tcW w:w="200" w:type="dxa"/>
            <w:vAlign w:val="bottom"/>
          </w:tcPr>
          <w:p>
            <w:pPr>
              <w:spacing w:after="0"/>
              <w:rPr>
                <w:sz w:val="12"/>
                <w:szCs w:val="12"/>
                <w:color w:val="auto"/>
              </w:rPr>
            </w:pPr>
          </w:p>
        </w:tc>
        <w:tc>
          <w:tcPr>
            <w:tcW w:w="1060" w:type="dxa"/>
            <w:vAlign w:val="bottom"/>
          </w:tcPr>
          <w:p>
            <w:pPr>
              <w:jc w:val="right"/>
              <w:ind w:right="71"/>
              <w:spacing w:after="0" w:line="149" w:lineRule="exact"/>
              <w:rPr>
                <w:sz w:val="20"/>
                <w:szCs w:val="20"/>
                <w:color w:val="auto"/>
              </w:rPr>
            </w:pPr>
            <w:r>
              <w:rPr>
                <w:rFonts w:ascii="Arial" w:cs="Arial" w:eastAsia="Arial" w:hAnsi="Arial"/>
                <w:sz w:val="14"/>
                <w:szCs w:val="14"/>
                <w:color w:val="auto"/>
              </w:rPr>
              <w:t>NBCUniversal</w:t>
            </w: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5"/>
              </w:rPr>
              <w:t>Guarantor</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Holdings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98"/>
              </w:rPr>
              <w:t>Media Parent</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4"/>
              </w:rPr>
              <w:t>Subsidiaries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2,383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2,693</w:t>
            </w: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7,849</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7,849</w:t>
            </w: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1,633</w:t>
            </w: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2,569</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2,657</w:t>
            </w: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14,434</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14,832</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6,595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6,595</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5,719</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6,521</w:t>
            </w:r>
          </w:p>
        </w:tc>
      </w:tr>
      <w:tr>
        <w:trPr>
          <w:trHeight w:val="256"/>
        </w:trPr>
        <w:tc>
          <w:tcPr>
            <w:tcW w:w="2720" w:type="dxa"/>
            <w:vAlign w:val="bottom"/>
          </w:tcPr>
          <w:p>
            <w:pPr>
              <w:ind w:left="40"/>
              <w:spacing w:after="0"/>
              <w:rPr>
                <w:sz w:val="20"/>
                <w:szCs w:val="20"/>
                <w:color w:val="auto"/>
              </w:rPr>
            </w:pPr>
            <w:r>
              <w:rPr>
                <w:rFonts w:ascii="Arial" w:cs="Arial" w:eastAsia="Arial" w:hAnsi="Arial"/>
                <w:sz w:val="18"/>
                <w:szCs w:val="18"/>
                <w:color w:val="auto"/>
              </w:rPr>
              <w:t>Investments in and amounts due</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720" w:type="dxa"/>
            <w:vAlign w:val="bottom"/>
          </w:tcPr>
          <w:p>
            <w:pPr>
              <w:ind w:left="200"/>
              <w:spacing w:after="0"/>
              <w:rPr>
                <w:sz w:val="20"/>
                <w:szCs w:val="20"/>
                <w:color w:val="auto"/>
              </w:rPr>
            </w:pPr>
            <w:r>
              <w:rPr>
                <w:rFonts w:ascii="Arial" w:cs="Arial" w:eastAsia="Arial" w:hAnsi="Arial"/>
                <w:sz w:val="18"/>
                <w:szCs w:val="18"/>
                <w:color w:val="auto"/>
                <w:w w:val="93"/>
              </w:rPr>
              <w:t>from subsidiaries eliminated upon</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720" w:type="dxa"/>
            <w:vAlign w:val="bottom"/>
          </w:tcPr>
          <w:p>
            <w:pPr>
              <w:ind w:left="200"/>
              <w:spacing w:after="0"/>
              <w:rPr>
                <w:sz w:val="20"/>
                <w:szCs w:val="20"/>
                <w:color w:val="auto"/>
              </w:rPr>
            </w:pPr>
            <w:r>
              <w:rPr>
                <w:rFonts w:ascii="Arial" w:cs="Arial" w:eastAsia="Arial" w:hAnsi="Arial"/>
                <w:sz w:val="18"/>
                <w:szCs w:val="18"/>
                <w:color w:val="auto"/>
              </w:rPr>
              <w:t>consolidation</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101,430</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126,187</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124,549</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49,038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110,545</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(511,749)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434</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36,737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37,171</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59,364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59,364</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36,742</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36,742</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18,896</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18,907</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1,149</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658</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2,035</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2,899</w:t>
            </w: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103,187</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126,846</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124,564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50,142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291,067</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(512,775)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183,031</w:t>
            </w:r>
          </w:p>
        </w:tc>
      </w:tr>
      <w:tr>
        <w:trPr>
          <w:trHeight w:val="34"/>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2720" w:type="dxa"/>
            <w:vAlign w:val="bottom"/>
          </w:tcPr>
          <w:p>
            <w:pPr>
              <w:ind w:left="180"/>
              <w:spacing w:after="0"/>
              <w:rPr>
                <w:sz w:val="20"/>
                <w:szCs w:val="20"/>
                <w:color w:val="auto"/>
              </w:rPr>
            </w:pPr>
            <w:r>
              <w:rPr>
                <w:rFonts w:ascii="Arial" w:cs="Arial" w:eastAsia="Arial" w:hAnsi="Arial"/>
                <w:sz w:val="18"/>
                <w:szCs w:val="18"/>
                <w:color w:val="auto"/>
              </w:rPr>
              <w:t>Accounts payable and accrued</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720" w:type="dxa"/>
            <w:vAlign w:val="bottom"/>
          </w:tcPr>
          <w:p>
            <w:pPr>
              <w:ind w:left="340"/>
              <w:spacing w:after="0"/>
              <w:rPr>
                <w:sz w:val="20"/>
                <w:szCs w:val="20"/>
                <w:color w:val="auto"/>
              </w:rPr>
            </w:pPr>
            <w:r>
              <w:rPr>
                <w:rFonts w:ascii="Arial" w:cs="Arial" w:eastAsia="Arial" w:hAnsi="Arial"/>
                <w:sz w:val="18"/>
                <w:szCs w:val="18"/>
                <w:color w:val="auto"/>
              </w:rPr>
              <w:t>expenses related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720" w:type="dxa"/>
            <w:vAlign w:val="bottom"/>
          </w:tcPr>
          <w:p>
            <w:pPr>
              <w:ind w:left="340"/>
              <w:spacing w:after="0"/>
              <w:rPr>
                <w:sz w:val="20"/>
                <w:szCs w:val="20"/>
                <w:color w:val="auto"/>
              </w:rPr>
            </w:pPr>
            <w:r>
              <w:rPr>
                <w:rFonts w:ascii="Arial" w:cs="Arial" w:eastAsia="Arial" w:hAnsi="Arial"/>
                <w:sz w:val="18"/>
                <w:szCs w:val="18"/>
                <w:color w:val="auto"/>
              </w:rPr>
              <w:t>to trade creditors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6,730</w:t>
            </w:r>
          </w:p>
        </w:tc>
      </w:tr>
      <w:tr>
        <w:trPr>
          <w:trHeight w:val="256"/>
        </w:trPr>
        <w:tc>
          <w:tcPr>
            <w:tcW w:w="2720" w:type="dxa"/>
            <w:vAlign w:val="bottom"/>
          </w:tcPr>
          <w:p>
            <w:pPr>
              <w:ind w:left="180"/>
              <w:spacing w:after="0"/>
              <w:rPr>
                <w:sz w:val="20"/>
                <w:szCs w:val="20"/>
                <w:color w:val="auto"/>
              </w:rPr>
            </w:pPr>
            <w:r>
              <w:rPr>
                <w:rFonts w:ascii="Arial" w:cs="Arial" w:eastAsia="Arial" w:hAnsi="Arial"/>
                <w:sz w:val="18"/>
                <w:szCs w:val="18"/>
                <w:color w:val="auto"/>
              </w:rPr>
              <w:t>Accrued participations and</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720" w:type="dxa"/>
            <w:vAlign w:val="bottom"/>
          </w:tcPr>
          <w:p>
            <w:pPr>
              <w:ind w:left="340"/>
              <w:spacing w:after="0"/>
              <w:rPr>
                <w:sz w:val="20"/>
                <w:szCs w:val="20"/>
                <w:color w:val="auto"/>
              </w:rPr>
            </w:pPr>
            <w:r>
              <w:rPr>
                <w:rFonts w:ascii="Arial" w:cs="Arial" w:eastAsia="Arial" w:hAnsi="Arial"/>
                <w:sz w:val="18"/>
                <w:szCs w:val="18"/>
                <w:color w:val="auto"/>
              </w:rPr>
              <w:t>residuals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1,882</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1,882</w:t>
            </w:r>
          </w:p>
        </w:tc>
      </w:tr>
      <w:tr>
        <w:trPr>
          <w:trHeight w:val="256"/>
        </w:trPr>
        <w:tc>
          <w:tcPr>
            <w:tcW w:w="272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72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1,887</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4,746</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7,306</w:t>
            </w: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w w:val="96"/>
              </w:rPr>
              <w:t>Current portion of long-term debt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4,032</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2,322</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6,358</w:t>
            </w: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5,931</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15,668</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22,276</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w w:val="93"/>
              </w:rPr>
              <w:t>Long-term debt, less current portion</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39,725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8,204</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7,039</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57,210</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508</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35,886</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(1,055)</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35,409</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2,526</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1,111</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7,171</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10,837</w:t>
            </w:r>
          </w:p>
        </w:tc>
      </w:tr>
      <w:tr>
        <w:trPr>
          <w:trHeight w:val="256"/>
        </w:trPr>
        <w:tc>
          <w:tcPr>
            <w:tcW w:w="2720" w:type="dxa"/>
            <w:vAlign w:val="bottom"/>
          </w:tcPr>
          <w:p>
            <w:pPr>
              <w:ind w:left="40"/>
              <w:spacing w:after="0"/>
              <w:rPr>
                <w:sz w:val="20"/>
                <w:szCs w:val="20"/>
                <w:color w:val="auto"/>
              </w:rPr>
            </w:pPr>
            <w:r>
              <w:rPr>
                <w:rFonts w:ascii="Arial" w:cs="Arial" w:eastAsia="Arial" w:hAnsi="Arial"/>
                <w:sz w:val="18"/>
                <w:szCs w:val="18"/>
                <w:color w:val="auto"/>
                <w:w w:val="91"/>
              </w:rPr>
              <w:t>Redeemable noncontrolling interests</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720" w:type="dxa"/>
            <w:vAlign w:val="bottom"/>
          </w:tcPr>
          <w:p>
            <w:pPr>
              <w:ind w:left="200"/>
              <w:spacing w:after="0"/>
              <w:rPr>
                <w:sz w:val="20"/>
                <w:szCs w:val="20"/>
                <w:color w:val="auto"/>
              </w:rPr>
            </w:pPr>
            <w:r>
              <w:rPr>
                <w:rFonts w:ascii="Arial" w:cs="Arial" w:eastAsia="Arial" w:hAnsi="Arial"/>
                <w:sz w:val="18"/>
                <w:szCs w:val="18"/>
                <w:color w:val="auto"/>
              </w:rPr>
              <w:t>and redeemable subsidiary</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720" w:type="dxa"/>
            <w:vAlign w:val="bottom"/>
          </w:tcPr>
          <w:p>
            <w:pPr>
              <w:ind w:left="20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1,451</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1,451</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w:t>
            </w:r>
          </w:p>
        </w:tc>
      </w:tr>
      <w:tr>
        <w:trPr>
          <w:trHeight w:val="270"/>
        </w:trPr>
        <w:tc>
          <w:tcPr>
            <w:tcW w:w="2720" w:type="dxa"/>
            <w:vAlign w:val="bottom"/>
          </w:tcPr>
          <w:p>
            <w:pPr>
              <w:ind w:left="180"/>
              <w:spacing w:after="0"/>
              <w:rPr>
                <w:sz w:val="20"/>
                <w:szCs w:val="20"/>
                <w:color w:val="auto"/>
              </w:rPr>
            </w:pPr>
            <w:r>
              <w:rPr>
                <w:rFonts w:ascii="Arial" w:cs="Arial" w:eastAsia="Arial" w:hAnsi="Arial"/>
                <w:sz w:val="18"/>
                <w:szCs w:val="18"/>
                <w:color w:val="auto"/>
              </w:rPr>
              <w:t>Other shareholders’ equity</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54,949</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126,104</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122,169</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40,467</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223,009</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(511,749)</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54,949</w:t>
            </w: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720" w:type="dxa"/>
            <w:vAlign w:val="bottom"/>
          </w:tcPr>
          <w:p>
            <w:pPr>
              <w:ind w:left="40"/>
              <w:spacing w:after="0"/>
              <w:rPr>
                <w:sz w:val="20"/>
                <w:szCs w:val="20"/>
                <w:color w:val="auto"/>
              </w:rPr>
            </w:pPr>
            <w:r>
              <w:rPr>
                <w:rFonts w:ascii="Arial" w:cs="Arial" w:eastAsia="Arial" w:hAnsi="Arial"/>
                <w:sz w:val="18"/>
                <w:szCs w:val="18"/>
                <w:color w:val="auto"/>
              </w:rPr>
              <w:t>Total Comcast Corporation</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720" w:type="dxa"/>
            <w:vAlign w:val="bottom"/>
          </w:tcPr>
          <w:p>
            <w:pPr>
              <w:ind w:left="200"/>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55,005</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126,104</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122,169</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40,467</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223,009</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(511,749)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55,005</w:t>
            </w:r>
          </w:p>
        </w:tc>
      </w:tr>
      <w:tr>
        <w:trPr>
          <w:trHeight w:val="270"/>
        </w:trPr>
        <w:tc>
          <w:tcPr>
            <w:tcW w:w="27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843</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843</w:t>
            </w: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55,005</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126,104</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122,169</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40,467</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223,852</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(511,749)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55,848</w:t>
            </w:r>
          </w:p>
        </w:tc>
      </w:tr>
      <w:tr>
        <w:trPr>
          <w:trHeight w:val="27"/>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103,187</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126,846</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124,564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50,142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291,067</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(512,775)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183,031</w:t>
            </w:r>
          </w:p>
        </w:tc>
      </w:tr>
      <w:tr>
        <w:trPr>
          <w:trHeight w:val="34"/>
        </w:trPr>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center"/>
              <w:ind w:right="72"/>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2"/>
              </w:rPr>
              <w:t>Non-</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280" w:type="dxa"/>
            <w:vAlign w:val="bottom"/>
          </w:tcPr>
          <w:p>
            <w:pPr>
              <w:spacing w:after="0"/>
              <w:rPr>
                <w:sz w:val="12"/>
                <w:szCs w:val="12"/>
                <w:color w:val="auto"/>
              </w:rPr>
            </w:pPr>
          </w:p>
        </w:tc>
        <w:tc>
          <w:tcPr>
            <w:tcW w:w="980" w:type="dxa"/>
            <w:vAlign w:val="bottom"/>
          </w:tcPr>
          <w:p>
            <w:pPr>
              <w:jc w:val="right"/>
              <w:ind w:right="251"/>
              <w:spacing w:after="0" w:line="149" w:lineRule="exact"/>
              <w:rPr>
                <w:sz w:val="20"/>
                <w:szCs w:val="20"/>
                <w:color w:val="auto"/>
              </w:rPr>
            </w:pPr>
            <w:r>
              <w:rPr>
                <w:rFonts w:ascii="Arial" w:cs="Arial" w:eastAsia="Arial" w:hAnsi="Arial"/>
                <w:sz w:val="14"/>
                <w:szCs w:val="14"/>
                <w:color w:val="auto"/>
              </w:rPr>
              <w:t>Comcast</w:t>
            </w:r>
          </w:p>
        </w:tc>
        <w:tc>
          <w:tcPr>
            <w:tcW w:w="320" w:type="dxa"/>
            <w:vAlign w:val="bottom"/>
          </w:tcPr>
          <w:p>
            <w:pPr>
              <w:spacing w:after="0"/>
              <w:rPr>
                <w:sz w:val="12"/>
                <w:szCs w:val="12"/>
                <w:color w:val="auto"/>
              </w:rPr>
            </w:pPr>
          </w:p>
        </w:tc>
        <w:tc>
          <w:tcPr>
            <w:tcW w:w="940" w:type="dxa"/>
            <w:vAlign w:val="bottom"/>
          </w:tcPr>
          <w:p>
            <w:pPr>
              <w:jc w:val="right"/>
              <w:ind w:right="311"/>
              <w:spacing w:after="0" w:line="149" w:lineRule="exact"/>
              <w:rPr>
                <w:sz w:val="20"/>
                <w:szCs w:val="20"/>
                <w:color w:val="auto"/>
              </w:rPr>
            </w:pPr>
            <w:r>
              <w:rPr>
                <w:rFonts w:ascii="Arial" w:cs="Arial" w:eastAsia="Arial" w:hAnsi="Arial"/>
                <w:sz w:val="14"/>
                <w:szCs w:val="14"/>
                <w:color w:val="auto"/>
              </w:rPr>
              <w:t>CCCL</w:t>
            </w:r>
          </w:p>
        </w:tc>
        <w:tc>
          <w:tcPr>
            <w:tcW w:w="200" w:type="dxa"/>
            <w:vAlign w:val="bottom"/>
          </w:tcPr>
          <w:p>
            <w:pPr>
              <w:spacing w:after="0"/>
              <w:rPr>
                <w:sz w:val="12"/>
                <w:szCs w:val="12"/>
                <w:color w:val="auto"/>
              </w:rPr>
            </w:pPr>
          </w:p>
        </w:tc>
        <w:tc>
          <w:tcPr>
            <w:tcW w:w="1060" w:type="dxa"/>
            <w:vAlign w:val="bottom"/>
          </w:tcPr>
          <w:p>
            <w:pPr>
              <w:jc w:val="right"/>
              <w:ind w:right="71"/>
              <w:spacing w:after="0" w:line="149" w:lineRule="exact"/>
              <w:rPr>
                <w:sz w:val="20"/>
                <w:szCs w:val="20"/>
                <w:color w:val="auto"/>
              </w:rPr>
            </w:pPr>
            <w:r>
              <w:rPr>
                <w:rFonts w:ascii="Arial" w:cs="Arial" w:eastAsia="Arial" w:hAnsi="Arial"/>
                <w:sz w:val="14"/>
                <w:szCs w:val="14"/>
                <w:color w:val="auto"/>
              </w:rPr>
              <w:t>NBCUniversal</w:t>
            </w:r>
          </w:p>
        </w:tc>
        <w:tc>
          <w:tcPr>
            <w:tcW w:w="22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5"/>
              </w:rPr>
              <w:t>Guarantor</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Holdings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98"/>
              </w:rPr>
              <w:t>Media Parent</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4"/>
              </w:rPr>
              <w:t>Subsidiaries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2,819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3,301</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7,955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7,955</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Programming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1,250</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1,250</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3,668</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3,855</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15,692</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16,361</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7,252</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7,252</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651</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4,521</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5,247</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w w:val="98"/>
              </w:rPr>
              <w:t>Investments in and amounts due</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from subsidiaries eliminated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upon consolidation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98,350</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120,071</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117,696</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47,393</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97,704</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(481,214)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35,955</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36,253</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Franchise rights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59,364</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59,364</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35,980</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35,980</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17,261</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17,274</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1,138</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638</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1,921</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(1,017)</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2,769</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100,025</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120,709</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117,696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48,651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275,650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(482,231)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180,500</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w w:val="98"/>
              </w:rPr>
              <w:t>Accounts payable and accrued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340"/>
              <w:spacing w:after="0"/>
              <w:rPr>
                <w:sz w:val="20"/>
                <w:szCs w:val="20"/>
                <w:color w:val="auto"/>
              </w:rPr>
            </w:pPr>
            <w:r>
              <w:rPr>
                <w:rFonts w:ascii="Arial" w:cs="Arial" w:eastAsia="Arial" w:hAnsi="Arial"/>
                <w:sz w:val="18"/>
                <w:szCs w:val="18"/>
                <w:color w:val="auto"/>
              </w:rPr>
              <w:t>expenses related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to trade creditors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6,892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6,915</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participations and</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residuals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1,726</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1,726</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1,726</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5,045</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7,414</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w w:val="92"/>
              </w:rPr>
              <w:t>Current portion of long-term debt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3,739</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1,187</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5,480</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5,488</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891</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14,850</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21,535</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Long-term debt, less current</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portion</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38,123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2,100</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8,208</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6,994</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55,566</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542</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35,259</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(1,017)</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34,854</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2,471</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1,166</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7,288</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10,925</w:t>
            </w:r>
          </w:p>
        </w:tc>
      </w:tr>
      <w:tr>
        <w:trPr>
          <w:trHeight w:val="256"/>
        </w:trPr>
        <w:tc>
          <w:tcPr>
            <w:tcW w:w="2620" w:type="dxa"/>
            <w:vAlign w:val="bottom"/>
          </w:tcPr>
          <w:p>
            <w:pPr>
              <w:ind w:left="40"/>
              <w:spacing w:after="0"/>
              <w:rPr>
                <w:sz w:val="20"/>
                <w:szCs w:val="20"/>
                <w:color w:val="auto"/>
              </w:rPr>
            </w:pPr>
            <w:r>
              <w:rPr>
                <w:rFonts w:ascii="Arial" w:cs="Arial" w:eastAsia="Arial" w:hAnsi="Arial"/>
                <w:sz w:val="18"/>
                <w:szCs w:val="18"/>
                <w:color w:val="auto"/>
              </w:rPr>
              <w:t>Redeemable noncontrolling</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20" w:type="dxa"/>
            <w:vAlign w:val="bottom"/>
          </w:tcPr>
          <w:p>
            <w:pPr>
              <w:ind w:left="200"/>
              <w:spacing w:after="0"/>
              <w:rPr>
                <w:sz w:val="20"/>
                <w:szCs w:val="20"/>
                <w:color w:val="auto"/>
              </w:rPr>
            </w:pPr>
            <w:r>
              <w:rPr>
                <w:rFonts w:ascii="Arial" w:cs="Arial" w:eastAsia="Arial" w:hAnsi="Arial"/>
                <w:sz w:val="18"/>
                <w:szCs w:val="18"/>
                <w:color w:val="auto"/>
              </w:rPr>
              <w:t>interests and redeemable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1,446</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1,446</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w:t>
            </w:r>
          </w:p>
        </w:tc>
      </w:tr>
      <w:tr>
        <w:trPr>
          <w:trHeight w:val="270"/>
        </w:trPr>
        <w:tc>
          <w:tcPr>
            <w:tcW w:w="2620" w:type="dxa"/>
            <w:vAlign w:val="bottom"/>
          </w:tcPr>
          <w:p>
            <w:pPr>
              <w:ind w:left="180"/>
              <w:spacing w:after="0"/>
              <w:rPr>
                <w:sz w:val="20"/>
                <w:szCs w:val="20"/>
                <w:color w:val="auto"/>
              </w:rPr>
            </w:pPr>
            <w:r>
              <w:rPr>
                <w:rFonts w:ascii="Arial" w:cs="Arial" w:eastAsia="Arial" w:hAnsi="Arial"/>
                <w:sz w:val="18"/>
                <w:szCs w:val="18"/>
                <w:color w:val="auto"/>
              </w:rPr>
              <w:t>Other shareholders’ equity</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53,887</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120,026</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114,705</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38,901</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207,582</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(481,214)</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53,887</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20" w:type="dxa"/>
            <w:vAlign w:val="bottom"/>
          </w:tcPr>
          <w:p>
            <w:pPr>
              <w:ind w:left="40"/>
              <w:spacing w:after="0"/>
              <w:rPr>
                <w:sz w:val="20"/>
                <w:szCs w:val="20"/>
                <w:color w:val="auto"/>
              </w:rPr>
            </w:pPr>
            <w:r>
              <w:rPr>
                <w:rFonts w:ascii="Arial" w:cs="Arial" w:eastAsia="Arial" w:hAnsi="Arial"/>
                <w:sz w:val="18"/>
                <w:szCs w:val="18"/>
                <w:color w:val="auto"/>
              </w:rPr>
              <w:t>Total Comcast Corporation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620" w:type="dxa"/>
            <w:vAlign w:val="bottom"/>
          </w:tcPr>
          <w:p>
            <w:pPr>
              <w:ind w:left="20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53,943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120,026</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114,705</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38,901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207,582</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(481,214)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53,943</w:t>
            </w:r>
          </w:p>
        </w:tc>
      </w:tr>
      <w:tr>
        <w:trPr>
          <w:trHeight w:val="270"/>
        </w:trPr>
        <w:tc>
          <w:tcPr>
            <w:tcW w:w="26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2,231</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2,231</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53,943</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120,026</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114,705</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38,901</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209,813</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(481,214)</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56,174</w:t>
            </w:r>
          </w:p>
        </w:tc>
      </w:tr>
      <w:tr>
        <w:trPr>
          <w:trHeight w:val="27"/>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100,025</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120,709</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117,696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48,651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275,650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(482,231)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180,500</w:t>
            </w:r>
          </w:p>
        </w:tc>
      </w:tr>
      <w:tr>
        <w:trPr>
          <w:trHeight w:val="34"/>
        </w:trPr>
        <w:tc>
          <w:tcPr>
            <w:tcW w:w="2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For the Three Months Ended June 30, 2017</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53"/>
              <w:spacing w:after="0"/>
              <w:rPr>
                <w:sz w:val="20"/>
                <w:szCs w:val="20"/>
                <w:color w:val="auto"/>
              </w:rPr>
            </w:pPr>
            <w:r>
              <w:rPr>
                <w:rFonts w:ascii="Arial" w:cs="Arial" w:eastAsia="Arial" w:hAnsi="Arial"/>
                <w:sz w:val="14"/>
                <w:szCs w:val="14"/>
                <w:color w:val="auto"/>
                <w:w w:val="99"/>
              </w:rPr>
              <w:t>Elimination</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9"/>
        </w:trPr>
        <w:tc>
          <w:tcPr>
            <w:tcW w:w="3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8"/>
              </w:rPr>
              <w:t>Non-</w:t>
            </w:r>
          </w:p>
        </w:tc>
        <w:tc>
          <w:tcPr>
            <w:tcW w:w="160" w:type="dxa"/>
            <w:vAlign w:val="bottom"/>
          </w:tcPr>
          <w:p>
            <w:pPr>
              <w:spacing w:after="0"/>
              <w:rPr>
                <w:sz w:val="12"/>
                <w:szCs w:val="12"/>
                <w:color w:val="auto"/>
              </w:rPr>
            </w:pPr>
          </w:p>
        </w:tc>
        <w:tc>
          <w:tcPr>
            <w:tcW w:w="98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85"/>
              </w:rPr>
              <w:t>and</w:t>
            </w:r>
          </w:p>
        </w:tc>
        <w:tc>
          <w:tcPr>
            <w:tcW w:w="160" w:type="dxa"/>
            <w:vAlign w:val="bottom"/>
          </w:tcPr>
          <w:p>
            <w:pPr>
              <w:spacing w:after="0"/>
              <w:rPr>
                <w:sz w:val="12"/>
                <w:szCs w:val="12"/>
                <w:color w:val="auto"/>
              </w:rPr>
            </w:pPr>
          </w:p>
        </w:tc>
        <w:tc>
          <w:tcPr>
            <w:tcW w:w="100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3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9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8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7"/>
              </w:rPr>
              <w:t>NBCUniversal</w:t>
            </w:r>
          </w:p>
        </w:tc>
        <w:tc>
          <w:tcPr>
            <w:tcW w:w="160" w:type="dxa"/>
            <w:vAlign w:val="bottom"/>
          </w:tcPr>
          <w:p>
            <w:pPr>
              <w:spacing w:after="0"/>
              <w:rPr>
                <w:sz w:val="12"/>
                <w:szCs w:val="12"/>
                <w:color w:val="auto"/>
              </w:rPr>
            </w:pPr>
          </w:p>
        </w:tc>
        <w:tc>
          <w:tcPr>
            <w:tcW w:w="96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1"/>
              </w:rPr>
              <w:t>Guarantor</w:t>
            </w:r>
          </w:p>
        </w:tc>
        <w:tc>
          <w:tcPr>
            <w:tcW w:w="160" w:type="dxa"/>
            <w:vAlign w:val="bottom"/>
          </w:tcPr>
          <w:p>
            <w:pPr>
              <w:spacing w:after="0"/>
              <w:rPr>
                <w:sz w:val="12"/>
                <w:szCs w:val="12"/>
                <w:color w:val="auto"/>
              </w:rPr>
            </w:pPr>
          </w:p>
        </w:tc>
        <w:tc>
          <w:tcPr>
            <w:tcW w:w="98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94"/>
              </w:rPr>
              <w:t>Consolidation</w:t>
            </w:r>
          </w:p>
        </w:tc>
        <w:tc>
          <w:tcPr>
            <w:tcW w:w="160" w:type="dxa"/>
            <w:vAlign w:val="bottom"/>
          </w:tcPr>
          <w:p>
            <w:pPr>
              <w:spacing w:after="0"/>
              <w:rPr>
                <w:sz w:val="12"/>
                <w:szCs w:val="12"/>
                <w:color w:val="auto"/>
              </w:rPr>
            </w:pPr>
          </w:p>
        </w:tc>
        <w:tc>
          <w:tcPr>
            <w:tcW w:w="100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4"/>
              </w:rPr>
              <w:t>Comcast</w:t>
            </w:r>
          </w:p>
        </w:tc>
      </w:tr>
      <w:tr>
        <w:trPr>
          <w:trHeight w:val="188"/>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1"/>
              </w:rPr>
              <w:t>Subsidiaries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3"/>
              </w:rPr>
              <w:t>Adjustments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2"/>
              </w:rPr>
              <w:t>Corporation</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Service revenue</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21,165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21,165</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Management fee revenue</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(558)</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21,165</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(558)</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21,165</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Programming and production</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6,341</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6,341</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Other operating and administrative</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5,880</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(558)</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6,060</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Advertising, marketing and promotion</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1,665</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1,665</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1,963</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1,970</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570</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571</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16,419</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(558)</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16,607</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4,746</w:t>
            </w:r>
          </w:p>
        </w:tc>
        <w:tc>
          <w:tcPr>
            <w:tcW w:w="16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4,558</w:t>
            </w:r>
          </w:p>
        </w:tc>
      </w:tr>
      <w:tr>
        <w:trPr>
          <w:trHeight w:val="270"/>
        </w:trPr>
        <w:tc>
          <w:tcPr>
            <w:tcW w:w="32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(531)</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(758)</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Investment income (loss), net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64</w:t>
            </w:r>
          </w:p>
        </w:tc>
      </w:tr>
      <w:tr>
        <w:trPr>
          <w:trHeight w:val="256"/>
        </w:trPr>
        <w:tc>
          <w:tcPr>
            <w:tcW w:w="3280" w:type="dxa"/>
            <w:vAlign w:val="bottom"/>
          </w:tcPr>
          <w:p>
            <w:pPr>
              <w:ind w:left="160"/>
              <w:spacing w:after="0"/>
              <w:rPr>
                <w:sz w:val="20"/>
                <w:szCs w:val="20"/>
                <w:color w:val="auto"/>
              </w:rPr>
            </w:pPr>
            <w:r>
              <w:rPr>
                <w:rFonts w:ascii="Arial" w:cs="Arial" w:eastAsia="Arial" w:hAnsi="Arial"/>
                <w:sz w:val="18"/>
                <w:szCs w:val="18"/>
                <w:color w:val="auto"/>
              </w:rPr>
              <w:t>Equity in net income (losses) of</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3280" w:type="dxa"/>
            <w:vAlign w:val="bottom"/>
          </w:tcPr>
          <w:p>
            <w:pPr>
              <w:ind w:left="320"/>
              <w:spacing w:after="0"/>
              <w:rPr>
                <w:sz w:val="20"/>
                <w:szCs w:val="20"/>
                <w:color w:val="auto"/>
              </w:rPr>
            </w:pPr>
            <w:r>
              <w:rPr>
                <w:rFonts w:ascii="Arial" w:cs="Arial" w:eastAsia="Arial" w:hAnsi="Arial"/>
                <w:sz w:val="18"/>
                <w:szCs w:val="18"/>
                <w:color w:val="auto"/>
              </w:rPr>
              <w:t>investees, net</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2,811</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2,613</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1,659</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1,291</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(10,660)</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20</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2,280</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2,634</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1,545</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1,292</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(10,660)</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2,353</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2,634</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1,284</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6,038</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(10,660)</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3,899</w:t>
            </w:r>
          </w:p>
        </w:tc>
      </w:tr>
      <w:tr>
        <w:trPr>
          <w:trHeight w:val="270"/>
        </w:trPr>
        <w:tc>
          <w:tcPr>
            <w:tcW w:w="32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(1,527)</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(1,364)</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2,513</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2,627</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2,268</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1,276</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4,511</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(10,660)</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2,535</w:t>
            </w:r>
          </w:p>
        </w:tc>
      </w:tr>
      <w:tr>
        <w:trPr>
          <w:trHeight w:val="256"/>
        </w:trPr>
        <w:tc>
          <w:tcPr>
            <w:tcW w:w="3280" w:type="dxa"/>
            <w:vAlign w:val="bottom"/>
          </w:tcPr>
          <w:p>
            <w:pPr>
              <w:ind w:left="20"/>
              <w:spacing w:after="0"/>
              <w:rPr>
                <w:sz w:val="20"/>
                <w:szCs w:val="20"/>
                <w:color w:val="auto"/>
              </w:rPr>
            </w:pPr>
            <w:r>
              <w:rPr>
                <w:rFonts w:ascii="Arial" w:cs="Arial" w:eastAsia="Arial" w:hAnsi="Arial"/>
                <w:sz w:val="18"/>
                <w:szCs w:val="18"/>
                <w:color w:val="auto"/>
              </w:rPr>
              <w:t>Net (income) loss attributable to</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6"/>
        </w:trPr>
        <w:tc>
          <w:tcPr>
            <w:tcW w:w="3280" w:type="dxa"/>
            <w:vAlign w:val="bottom"/>
          </w:tcPr>
          <w:p>
            <w:pPr>
              <w:ind w:left="200"/>
              <w:spacing w:after="0"/>
              <w:rPr>
                <w:sz w:val="20"/>
                <w:szCs w:val="20"/>
                <w:color w:val="auto"/>
              </w:rPr>
            </w:pPr>
            <w:r>
              <w:rPr>
                <w:rFonts w:ascii="Arial" w:cs="Arial" w:eastAsia="Arial" w:hAnsi="Arial"/>
                <w:sz w:val="18"/>
                <w:szCs w:val="18"/>
                <w:color w:val="auto"/>
                <w:w w:val="95"/>
              </w:rPr>
              <w:t>noncontrolling interests and redeemable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328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w w:val="90"/>
              </w:rPr>
              <w:t>Net income (loss) attributable to Comcast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32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2,513</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2,627</w:t>
            </w: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2,268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1,276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4,489</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(10,660)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2,513</w:t>
            </w:r>
          </w:p>
        </w:tc>
      </w:tr>
      <w:tr>
        <w:trPr>
          <w:trHeight w:val="34"/>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5"/>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w w:val="90"/>
              </w:rPr>
              <w:t>Comprehensive income (loss) attributable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3280" w:type="dxa"/>
            <w:vAlign w:val="bottom"/>
          </w:tcPr>
          <w:p>
            <w:pPr>
              <w:ind w:left="200"/>
              <w:spacing w:after="0"/>
              <w:rPr>
                <w:sz w:val="20"/>
                <w:szCs w:val="20"/>
                <w:color w:val="auto"/>
              </w:rPr>
            </w:pPr>
            <w:r>
              <w:rPr>
                <w:rFonts w:ascii="Arial" w:cs="Arial" w:eastAsia="Arial" w:hAnsi="Arial"/>
                <w:sz w:val="18"/>
                <w:szCs w:val="18"/>
                <w:b w:val="1"/>
                <w:bCs w:val="1"/>
                <w:color w:val="auto"/>
              </w:rPr>
              <w:t>to Comcast Corporation</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2,405</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2,591</w:t>
            </w: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2,269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1,120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4,246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(10,226)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2,405</w:t>
            </w:r>
          </w:p>
        </w:tc>
      </w:tr>
      <w:tr>
        <w:trPr>
          <w:trHeight w:val="34"/>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621"/>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19</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June 30, 2016</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53"/>
              <w:spacing w:after="0"/>
              <w:rPr>
                <w:sz w:val="20"/>
                <w:szCs w:val="20"/>
                <w:color w:val="auto"/>
              </w:rPr>
            </w:pPr>
            <w:r>
              <w:rPr>
                <w:rFonts w:ascii="Arial" w:cs="Arial" w:eastAsia="Arial" w:hAnsi="Arial"/>
                <w:sz w:val="14"/>
                <w:szCs w:val="14"/>
                <w:color w:val="auto"/>
                <w:w w:val="99"/>
              </w:rPr>
              <w:t>Elimination</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9"/>
        </w:trPr>
        <w:tc>
          <w:tcPr>
            <w:tcW w:w="3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8"/>
              </w:rPr>
              <w:t>Non-</w:t>
            </w:r>
          </w:p>
        </w:tc>
        <w:tc>
          <w:tcPr>
            <w:tcW w:w="160" w:type="dxa"/>
            <w:vAlign w:val="bottom"/>
          </w:tcPr>
          <w:p>
            <w:pPr>
              <w:spacing w:after="0"/>
              <w:rPr>
                <w:sz w:val="12"/>
                <w:szCs w:val="12"/>
                <w:color w:val="auto"/>
              </w:rPr>
            </w:pPr>
          </w:p>
        </w:tc>
        <w:tc>
          <w:tcPr>
            <w:tcW w:w="98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85"/>
              </w:rPr>
              <w:t>and</w:t>
            </w:r>
          </w:p>
        </w:tc>
        <w:tc>
          <w:tcPr>
            <w:tcW w:w="160" w:type="dxa"/>
            <w:vAlign w:val="bottom"/>
          </w:tcPr>
          <w:p>
            <w:pPr>
              <w:spacing w:after="0"/>
              <w:rPr>
                <w:sz w:val="12"/>
                <w:szCs w:val="12"/>
                <w:color w:val="auto"/>
              </w:rPr>
            </w:pPr>
          </w:p>
        </w:tc>
        <w:tc>
          <w:tcPr>
            <w:tcW w:w="100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3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Comcast</w:t>
            </w:r>
          </w:p>
        </w:tc>
        <w:tc>
          <w:tcPr>
            <w:tcW w:w="220" w:type="dxa"/>
            <w:vAlign w:val="bottom"/>
          </w:tcPr>
          <w:p>
            <w:pPr>
              <w:spacing w:after="0"/>
              <w:rPr>
                <w:sz w:val="12"/>
                <w:szCs w:val="12"/>
                <w:color w:val="auto"/>
              </w:rPr>
            </w:pPr>
          </w:p>
        </w:tc>
        <w:tc>
          <w:tcPr>
            <w:tcW w:w="92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82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7"/>
              </w:rPr>
              <w:t>NBCUniversal</w:t>
            </w:r>
          </w:p>
        </w:tc>
        <w:tc>
          <w:tcPr>
            <w:tcW w:w="160" w:type="dxa"/>
            <w:vAlign w:val="bottom"/>
          </w:tcPr>
          <w:p>
            <w:pPr>
              <w:spacing w:after="0"/>
              <w:rPr>
                <w:sz w:val="12"/>
                <w:szCs w:val="12"/>
                <w:color w:val="auto"/>
              </w:rPr>
            </w:pPr>
          </w:p>
        </w:tc>
        <w:tc>
          <w:tcPr>
            <w:tcW w:w="960" w:type="dxa"/>
            <w:vAlign w:val="bottom"/>
          </w:tcPr>
          <w:p>
            <w:pPr>
              <w:jc w:val="center"/>
              <w:ind w:right="52"/>
              <w:spacing w:after="0" w:line="149" w:lineRule="exact"/>
              <w:rPr>
                <w:sz w:val="20"/>
                <w:szCs w:val="20"/>
                <w:color w:val="auto"/>
              </w:rPr>
            </w:pPr>
            <w:r>
              <w:rPr>
                <w:rFonts w:ascii="Arial" w:cs="Arial" w:eastAsia="Arial" w:hAnsi="Arial"/>
                <w:sz w:val="14"/>
                <w:szCs w:val="14"/>
                <w:color w:val="auto"/>
                <w:w w:val="91"/>
              </w:rPr>
              <w:t>Guarantor</w:t>
            </w:r>
          </w:p>
        </w:tc>
        <w:tc>
          <w:tcPr>
            <w:tcW w:w="160" w:type="dxa"/>
            <w:vAlign w:val="bottom"/>
          </w:tcPr>
          <w:p>
            <w:pPr>
              <w:spacing w:after="0"/>
              <w:rPr>
                <w:sz w:val="12"/>
                <w:szCs w:val="12"/>
                <w:color w:val="auto"/>
              </w:rPr>
            </w:pPr>
          </w:p>
        </w:tc>
        <w:tc>
          <w:tcPr>
            <w:tcW w:w="980" w:type="dxa"/>
            <w:vAlign w:val="bottom"/>
          </w:tcPr>
          <w:p>
            <w:pPr>
              <w:jc w:val="center"/>
              <w:ind w:right="53"/>
              <w:spacing w:after="0" w:line="149" w:lineRule="exact"/>
              <w:rPr>
                <w:sz w:val="20"/>
                <w:szCs w:val="20"/>
                <w:color w:val="auto"/>
              </w:rPr>
            </w:pPr>
            <w:r>
              <w:rPr>
                <w:rFonts w:ascii="Arial" w:cs="Arial" w:eastAsia="Arial" w:hAnsi="Arial"/>
                <w:sz w:val="14"/>
                <w:szCs w:val="14"/>
                <w:color w:val="auto"/>
                <w:w w:val="94"/>
              </w:rPr>
              <w:t>Consolidation</w:t>
            </w:r>
          </w:p>
        </w:tc>
        <w:tc>
          <w:tcPr>
            <w:tcW w:w="160" w:type="dxa"/>
            <w:vAlign w:val="bottom"/>
          </w:tcPr>
          <w:p>
            <w:pPr>
              <w:spacing w:after="0"/>
              <w:rPr>
                <w:sz w:val="12"/>
                <w:szCs w:val="12"/>
                <w:color w:val="auto"/>
              </w:rPr>
            </w:pPr>
          </w:p>
        </w:tc>
        <w:tc>
          <w:tcPr>
            <w:tcW w:w="100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4"/>
              </w:rPr>
              <w:t>Comcast</w:t>
            </w:r>
          </w:p>
        </w:tc>
      </w:tr>
      <w:tr>
        <w:trPr>
          <w:trHeight w:val="188"/>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Parent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1"/>
              </w:rPr>
              <w:t>Subsidiaries</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3"/>
              </w:rPr>
              <w:t>Adjustments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w w:val="92"/>
              </w:rPr>
              <w:t>Corporation</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Service revenue</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19,269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19,269</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Management fee revenue</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19,269</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19,269</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Programming and production</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5,492</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5,492</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Other operating and administrative</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5,522</w:t>
            </w:r>
          </w:p>
        </w:tc>
        <w:tc>
          <w:tcPr>
            <w:tcW w:w="1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5,763</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Advertising, marketing and promotion</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1,559</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1,559</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1,862</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1,868</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521</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14,954</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15,203</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4,315</w:t>
            </w:r>
          </w:p>
        </w:tc>
        <w:tc>
          <w:tcPr>
            <w:tcW w:w="16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4,066</w:t>
            </w:r>
          </w:p>
        </w:tc>
      </w:tr>
      <w:tr>
        <w:trPr>
          <w:trHeight w:val="270"/>
        </w:trPr>
        <w:tc>
          <w:tcPr>
            <w:tcW w:w="328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(732)</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Investment income (loss), net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58</w:t>
            </w:r>
          </w:p>
        </w:tc>
      </w:tr>
      <w:tr>
        <w:trPr>
          <w:trHeight w:val="256"/>
        </w:trPr>
        <w:tc>
          <w:tcPr>
            <w:tcW w:w="3280" w:type="dxa"/>
            <w:vAlign w:val="bottom"/>
          </w:tcPr>
          <w:p>
            <w:pPr>
              <w:ind w:left="160"/>
              <w:spacing w:after="0"/>
              <w:rPr>
                <w:sz w:val="20"/>
                <w:szCs w:val="20"/>
                <w:color w:val="auto"/>
              </w:rPr>
            </w:pPr>
            <w:r>
              <w:rPr>
                <w:rFonts w:ascii="Arial" w:cs="Arial" w:eastAsia="Arial" w:hAnsi="Arial"/>
                <w:sz w:val="18"/>
                <w:szCs w:val="18"/>
                <w:color w:val="auto"/>
                <w:w w:val="92"/>
              </w:rPr>
              <w:t>Equity in net income (losses) of investees,</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30"/>
        </w:trPr>
        <w:tc>
          <w:tcPr>
            <w:tcW w:w="3280" w:type="dxa"/>
            <w:vAlign w:val="bottom"/>
          </w:tcPr>
          <w:p>
            <w:pPr>
              <w:ind w:left="32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2,354</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2,275</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1,288</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914</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(8,977)</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328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1,879</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2,273</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1,163</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888</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(8,977)</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(708)</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1,852</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2,273</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941</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5,203</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(8,977)</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3,358</w:t>
            </w:r>
          </w:p>
        </w:tc>
      </w:tr>
      <w:tr>
        <w:trPr>
          <w:trHeight w:val="270"/>
        </w:trPr>
        <w:tc>
          <w:tcPr>
            <w:tcW w:w="32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3"/>
                <w:szCs w:val="23"/>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(1,468)</w:t>
            </w:r>
          </w:p>
        </w:tc>
        <w:tc>
          <w:tcPr>
            <w:tcW w:w="16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(1,278)</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2,028</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2,274</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933</w:t>
            </w: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3,735</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(8,977)</w:t>
            </w:r>
          </w:p>
        </w:tc>
        <w:tc>
          <w:tcPr>
            <w:tcW w:w="16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2,080</w:t>
            </w:r>
          </w:p>
        </w:tc>
      </w:tr>
      <w:tr>
        <w:trPr>
          <w:trHeight w:val="256"/>
        </w:trPr>
        <w:tc>
          <w:tcPr>
            <w:tcW w:w="3280" w:type="dxa"/>
            <w:vAlign w:val="bottom"/>
          </w:tcPr>
          <w:p>
            <w:pPr>
              <w:ind w:left="20"/>
              <w:spacing w:after="0"/>
              <w:rPr>
                <w:sz w:val="20"/>
                <w:szCs w:val="20"/>
                <w:color w:val="auto"/>
              </w:rPr>
            </w:pPr>
            <w:r>
              <w:rPr>
                <w:rFonts w:ascii="Arial" w:cs="Arial" w:eastAsia="Arial" w:hAnsi="Arial"/>
                <w:sz w:val="18"/>
                <w:szCs w:val="18"/>
                <w:color w:val="auto"/>
              </w:rPr>
              <w:t>Net (income) loss attributable to</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6"/>
        </w:trPr>
        <w:tc>
          <w:tcPr>
            <w:tcW w:w="3280" w:type="dxa"/>
            <w:vAlign w:val="bottom"/>
          </w:tcPr>
          <w:p>
            <w:pPr>
              <w:ind w:left="200"/>
              <w:spacing w:after="0"/>
              <w:rPr>
                <w:sz w:val="20"/>
                <w:szCs w:val="20"/>
                <w:color w:val="auto"/>
              </w:rPr>
            </w:pPr>
            <w:r>
              <w:rPr>
                <w:rFonts w:ascii="Arial" w:cs="Arial" w:eastAsia="Arial" w:hAnsi="Arial"/>
                <w:sz w:val="18"/>
                <w:szCs w:val="18"/>
                <w:color w:val="auto"/>
                <w:w w:val="95"/>
              </w:rPr>
              <w:t>noncontrolling interests and redeemable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328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w w:val="90"/>
              </w:rPr>
              <w:t>Net income (loss) attributable to Comcast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32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2,028</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2,274</w:t>
            </w: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2,087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933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3,683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(8,977)</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2,028</w:t>
            </w:r>
          </w:p>
        </w:tc>
      </w:tr>
      <w:tr>
        <w:trPr>
          <w:trHeight w:val="34"/>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5"/>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w w:val="90"/>
              </w:rPr>
              <w:t>Comprehensive income (loss) attributable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3280" w:type="dxa"/>
            <w:vAlign w:val="bottom"/>
          </w:tcPr>
          <w:p>
            <w:pPr>
              <w:ind w:left="200"/>
              <w:spacing w:after="0"/>
              <w:rPr>
                <w:sz w:val="20"/>
                <w:szCs w:val="20"/>
                <w:color w:val="auto"/>
              </w:rPr>
            </w:pPr>
            <w:r>
              <w:rPr>
                <w:rFonts w:ascii="Arial" w:cs="Arial" w:eastAsia="Arial" w:hAnsi="Arial"/>
                <w:sz w:val="18"/>
                <w:szCs w:val="18"/>
                <w:b w:val="1"/>
                <w:bCs w:val="1"/>
                <w:color w:val="auto"/>
              </w:rPr>
              <w:t>to Comcast Corporation</w:t>
            </w: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2,113</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2,321</w:t>
            </w: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2,087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1,096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4,194</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(9,698)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2,113</w:t>
            </w:r>
          </w:p>
        </w:tc>
      </w:tr>
      <w:tr>
        <w:trPr>
          <w:trHeight w:val="34"/>
        </w:trPr>
        <w:tc>
          <w:tcPr>
            <w:tcW w:w="3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621"/>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20</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00"/>
          </w:cols>
          <w:pgMar w:left="240" w:top="121"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41,628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41,628</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(1,103)</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41,628</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41,628</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12,415</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12,415</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11,506</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11,887</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Advertising, marketing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promotion</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3,195</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3,195</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3,871</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3,885</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1,155</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1,158</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387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32,142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32,540</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9,486</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9,088</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(1,048)</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(1,513)</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Investment income (loss), net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123</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w w:val="95"/>
              </w:rPr>
              <w:t>Equity in net income (losses) of</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investees, net</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5,650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5,263</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4,621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3,256</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2,527</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(21,266)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4,603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5,309</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4,510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3,054</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2,506</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(21,266)</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(1,284)</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w w:val="91"/>
              </w:rPr>
              <w:t>Income (loss) before income taxes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4,772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5,309</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4,510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2,487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11,992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(21,266)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7,804</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307</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(2,941)</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(2,622)</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5,079</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5,293</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4,549</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2,476</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9,051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(21,266)</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5,182</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w w:val="99"/>
              </w:rPr>
              <w:t>Net (income) loss attributable to</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noncontrolling interests and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w w:val="91"/>
              </w:rPr>
              <w:t>redeemable subsidiary preferred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stock</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1"/>
              </w:rPr>
              <w:t>Net income (loss)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5,079</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5,293</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4,549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2,476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8,948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(21,266)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5,079</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8"/>
              </w:rPr>
              <w:t>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attributable to Comcast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5,215</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5,307</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4,551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2,526</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8,949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(21,333)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5,215</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3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3"/>
              <w:spacing w:after="0"/>
              <w:rPr>
                <w:sz w:val="20"/>
                <w:szCs w:val="20"/>
                <w:color w:val="auto"/>
              </w:rPr>
            </w:pPr>
            <w:r>
              <w:rPr>
                <w:rFonts w:ascii="Arial" w:cs="Arial" w:eastAsia="Arial" w:hAnsi="Arial"/>
                <w:sz w:val="14"/>
                <w:szCs w:val="14"/>
                <w:color w:val="auto"/>
                <w:w w:val="99"/>
              </w:rPr>
              <w:t>Elimination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85"/>
              </w:rPr>
              <w:t>and</w:t>
            </w:r>
          </w:p>
        </w:tc>
        <w:tc>
          <w:tcPr>
            <w:tcW w:w="18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8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Consolidation</w:t>
            </w:r>
          </w:p>
        </w:tc>
        <w:tc>
          <w:tcPr>
            <w:tcW w:w="18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color w:val="auto"/>
                <w:w w:val="93"/>
              </w:rPr>
              <w:t>Adjustments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Service revenue</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38,059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38,059</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Management fee revenue</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525</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515</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(1,040)</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525</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515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38,059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38,059</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10,923</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10,923</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Other operating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administrative</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441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515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10,856</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11,289</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rPr>
              <w:t>Advertising, marketing and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promotion</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3,025</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3,025</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3,639</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3,653</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1,011</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1,014</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458</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515</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29,454</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29,904</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8,605</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8,155</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(929)</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(1,435)</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Investment income (loss), net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88</w:t>
            </w:r>
          </w:p>
        </w:tc>
      </w:tr>
      <w:tr>
        <w:trPr>
          <w:trHeight w:val="256"/>
        </w:trPr>
        <w:tc>
          <w:tcPr>
            <w:tcW w:w="2580" w:type="dxa"/>
            <w:vAlign w:val="bottom"/>
          </w:tcPr>
          <w:p>
            <w:pPr>
              <w:ind w:left="180"/>
              <w:spacing w:after="0"/>
              <w:rPr>
                <w:sz w:val="20"/>
                <w:szCs w:val="20"/>
                <w:color w:val="auto"/>
              </w:rPr>
            </w:pPr>
            <w:r>
              <w:rPr>
                <w:rFonts w:ascii="Arial" w:cs="Arial" w:eastAsia="Arial" w:hAnsi="Arial"/>
                <w:sz w:val="18"/>
                <w:szCs w:val="18"/>
                <w:color w:val="auto"/>
                <w:w w:val="95"/>
              </w:rPr>
              <w:t>Equity in net income (losses) of</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580" w:type="dxa"/>
            <w:vAlign w:val="bottom"/>
          </w:tcPr>
          <w:p>
            <w:pPr>
              <w:ind w:left="340"/>
              <w:spacing w:after="0"/>
              <w:rPr>
                <w:sz w:val="20"/>
                <w:szCs w:val="20"/>
                <w:color w:val="auto"/>
              </w:rPr>
            </w:pPr>
            <w:r>
              <w:rPr>
                <w:rFonts w:ascii="Arial" w:cs="Arial" w:eastAsia="Arial" w:hAnsi="Arial"/>
                <w:sz w:val="18"/>
                <w:szCs w:val="18"/>
                <w:color w:val="auto"/>
              </w:rPr>
              <w:t>investees, net</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4,720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4,539</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4,241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2,585</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1,905</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258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115</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3,794</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4,534</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4,121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2,465</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1,844</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(1,262)</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w w:val="91"/>
              </w:rPr>
              <w:t>Income (loss) before income taxes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3,861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4,534</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4,121</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1,948</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10,449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(18,020)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6,893</w:t>
            </w:r>
          </w:p>
        </w:tc>
      </w:tr>
      <w:tr>
        <w:trPr>
          <w:trHeight w:val="270"/>
        </w:trPr>
        <w:tc>
          <w:tcPr>
            <w:tcW w:w="25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(2,921)</w:t>
            </w:r>
          </w:p>
        </w:tc>
        <w:tc>
          <w:tcPr>
            <w:tcW w:w="18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(2,589)</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4,162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4,536</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4,163</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1,935</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7,528</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(18,020)</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4,304</w:t>
            </w:r>
          </w:p>
        </w:tc>
      </w:tr>
      <w:tr>
        <w:trPr>
          <w:trHeight w:val="256"/>
        </w:trPr>
        <w:tc>
          <w:tcPr>
            <w:tcW w:w="2580" w:type="dxa"/>
            <w:vAlign w:val="bottom"/>
          </w:tcPr>
          <w:p>
            <w:pPr>
              <w:ind w:left="40"/>
              <w:spacing w:after="0"/>
              <w:rPr>
                <w:sz w:val="20"/>
                <w:szCs w:val="20"/>
                <w:color w:val="auto"/>
              </w:rPr>
            </w:pPr>
            <w:r>
              <w:rPr>
                <w:rFonts w:ascii="Arial" w:cs="Arial" w:eastAsia="Arial" w:hAnsi="Arial"/>
                <w:sz w:val="18"/>
                <w:szCs w:val="18"/>
                <w:color w:val="auto"/>
                <w:w w:val="99"/>
              </w:rPr>
              <w:t>Net (income) loss attributable to</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rPr>
              <w:t>noncontrolling interests and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color w:val="auto"/>
                <w:w w:val="91"/>
              </w:rPr>
              <w:t>redeemable subsidiary preferred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580" w:type="dxa"/>
            <w:vAlign w:val="bottom"/>
          </w:tcPr>
          <w:p>
            <w:pPr>
              <w:ind w:left="200"/>
              <w:spacing w:after="0"/>
              <w:rPr>
                <w:sz w:val="20"/>
                <w:szCs w:val="20"/>
                <w:color w:val="auto"/>
              </w:rPr>
            </w:pPr>
            <w:r>
              <w:rPr>
                <w:rFonts w:ascii="Arial" w:cs="Arial" w:eastAsia="Arial" w:hAnsi="Arial"/>
                <w:sz w:val="18"/>
                <w:szCs w:val="18"/>
                <w:color w:val="auto"/>
              </w:rPr>
              <w:t>stock</w:t>
            </w:r>
          </w:p>
        </w:tc>
        <w:tc>
          <w:tcPr>
            <w:tcW w:w="3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1"/>
              </w:rPr>
              <w:t>Net income (loss) attributable to</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Comcast 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4,162</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4,536</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4,163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1,935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7,386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(18,020)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4,162</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5"/>
        </w:trPr>
        <w:tc>
          <w:tcPr>
            <w:tcW w:w="2580" w:type="dxa"/>
            <w:vAlign w:val="bottom"/>
          </w:tcPr>
          <w:p>
            <w:pPr>
              <w:ind w:left="40"/>
              <w:spacing w:after="0"/>
              <w:rPr>
                <w:sz w:val="20"/>
                <w:szCs w:val="20"/>
                <w:color w:val="auto"/>
              </w:rPr>
            </w:pPr>
            <w:r>
              <w:rPr>
                <w:rFonts w:ascii="Arial" w:cs="Arial" w:eastAsia="Arial" w:hAnsi="Arial"/>
                <w:sz w:val="18"/>
                <w:szCs w:val="18"/>
                <w:b w:val="1"/>
                <w:bCs w:val="1"/>
                <w:color w:val="auto"/>
                <w:w w:val="98"/>
              </w:rPr>
              <w:t>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attributable to Comcast</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58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4,337</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4,627</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4,165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2,242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7,899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(18,933)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4,337</w:t>
            </w:r>
          </w:p>
        </w:tc>
      </w:tr>
      <w:tr>
        <w:trPr>
          <w:trHeight w:val="34"/>
        </w:trPr>
        <w:tc>
          <w:tcPr>
            <w:tcW w:w="2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Six Months Ended June 30, 2017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33"/>
              <w:spacing w:after="0"/>
              <w:rPr>
                <w:sz w:val="20"/>
                <w:szCs w:val="20"/>
                <w:color w:val="auto"/>
              </w:rPr>
            </w:pPr>
            <w:r>
              <w:rPr>
                <w:rFonts w:ascii="Arial" w:cs="Arial" w:eastAsia="Arial" w:hAnsi="Arial"/>
                <w:sz w:val="14"/>
                <w:szCs w:val="14"/>
                <w:color w:val="auto"/>
                <w:w w:val="99"/>
              </w:rPr>
              <w:t>Elimination</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85"/>
              </w:rPr>
              <w:t>and</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291"/>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1000" w:type="dxa"/>
            <w:vAlign w:val="bottom"/>
          </w:tcPr>
          <w:p>
            <w:pPr>
              <w:jc w:val="right"/>
              <w:ind w:right="271"/>
              <w:spacing w:after="0" w:line="149" w:lineRule="exact"/>
              <w:rPr>
                <w:sz w:val="20"/>
                <w:szCs w:val="20"/>
                <w:color w:val="auto"/>
              </w:rPr>
            </w:pPr>
            <w:r>
              <w:rPr>
                <w:rFonts w:ascii="Arial" w:cs="Arial" w:eastAsia="Arial" w:hAnsi="Arial"/>
                <w:sz w:val="14"/>
                <w:szCs w:val="14"/>
                <w:color w:val="auto"/>
              </w:rPr>
              <w:t>Comcast</w:t>
            </w:r>
          </w:p>
        </w:tc>
        <w:tc>
          <w:tcPr>
            <w:tcW w:w="300" w:type="dxa"/>
            <w:vAlign w:val="bottom"/>
          </w:tcPr>
          <w:p>
            <w:pPr>
              <w:spacing w:after="0"/>
              <w:rPr>
                <w:sz w:val="12"/>
                <w:szCs w:val="12"/>
                <w:color w:val="auto"/>
              </w:rPr>
            </w:pPr>
          </w:p>
        </w:tc>
        <w:tc>
          <w:tcPr>
            <w:tcW w:w="960" w:type="dxa"/>
            <w:vAlign w:val="bottom"/>
          </w:tcPr>
          <w:p>
            <w:pPr>
              <w:jc w:val="right"/>
              <w:ind w:right="331"/>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1"/>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94"/>
              </w:rPr>
              <w:t>Consolidation</w:t>
            </w:r>
          </w:p>
        </w:tc>
        <w:tc>
          <w:tcPr>
            <w:tcW w:w="22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Holdings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3"/>
              </w:rPr>
              <w:t>Adjustments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24"/>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12,069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10,814</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Net transactions with affiliates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2,559</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666</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605</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(3,728)</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(4,402)</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(4,405)</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w w:val="97"/>
              </w:rPr>
              <w:t>Cash paid for intangible assets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(834)</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(836)</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4"/>
              </w:rPr>
              <w:t>Acquisitions and construction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real estate properties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Acquisitions, net of cash</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acquired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sales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57</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(1,748)</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(1,825)</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170</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2,492</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666</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607</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(11,150)</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(7,487)</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6"/>
              </w:rPr>
              <w:t>Proceeds from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short-term borrowings, net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(1,068)</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(1,695)</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3,500</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5,463</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8,963</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2"/>
              </w:rPr>
              <w:t>Repurchases and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(3,414)</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(4,967)</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7"/>
              </w:rPr>
              <w:t>Repurchases of common stock</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w w:val="90"/>
              </w:rPr>
              <w:t>under repurchase program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employee plans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(2,476)</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(2,476)</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(1,404)</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(1,404)</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9"/>
              </w:rPr>
              <w:t>Purchase of Universal Studios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w w:val="93"/>
              </w:rPr>
              <w:t>Japan noncontrolling interests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(2,299)</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(2,299)</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Issuances of common stock</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Distributions to noncontrolling</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interests and dividends for</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redeemable subsidiary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80</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(2,027)</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(3,935)</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00" w:type="dxa"/>
            <w:vAlign w:val="bottom"/>
          </w:tcPr>
          <w:p>
            <w:pPr>
              <w:ind w:left="40"/>
              <w:spacing w:after="0"/>
              <w:rPr>
                <w:sz w:val="20"/>
                <w:szCs w:val="20"/>
                <w:color w:val="auto"/>
              </w:rPr>
            </w:pPr>
            <w:r>
              <w:rPr>
                <w:rFonts w:ascii="Arial" w:cs="Arial" w:eastAsia="Arial" w:hAnsi="Arial"/>
                <w:sz w:val="18"/>
                <w:szCs w:val="18"/>
                <w:color w:val="auto"/>
                <w:w w:val="98"/>
              </w:rPr>
              <w:t>Increase (decrease) in cash and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56"/>
        </w:trPr>
        <w:tc>
          <w:tcPr>
            <w:tcW w:w="26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beginning of period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482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2,819</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3,301</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2"/>
              </w:rPr>
              <w:t>Cash and cash equivalents, end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of period</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310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2,383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2,693</w:t>
            </w:r>
          </w:p>
        </w:tc>
      </w:tr>
      <w:tr>
        <w:trPr>
          <w:trHeight w:val="34"/>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33"/>
              <w:spacing w:after="0"/>
              <w:rPr>
                <w:sz w:val="20"/>
                <w:szCs w:val="20"/>
                <w:color w:val="auto"/>
              </w:rPr>
            </w:pPr>
            <w:r>
              <w:rPr>
                <w:rFonts w:ascii="Arial" w:cs="Arial" w:eastAsia="Arial" w:hAnsi="Arial"/>
                <w:sz w:val="14"/>
                <w:szCs w:val="14"/>
                <w:color w:val="auto"/>
                <w:w w:val="99"/>
              </w:rPr>
              <w:t>Elimination</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2"/>
              </w:rPr>
              <w:t>Non-</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85"/>
              </w:rPr>
              <w:t>and</w:t>
            </w:r>
          </w:p>
        </w:tc>
        <w:tc>
          <w:tcPr>
            <w:tcW w:w="220" w:type="dxa"/>
            <w:vAlign w:val="bottom"/>
          </w:tcPr>
          <w:p>
            <w:pPr>
              <w:spacing w:after="0"/>
              <w:rPr>
                <w:sz w:val="12"/>
                <w:szCs w:val="12"/>
                <w:color w:val="auto"/>
              </w:rPr>
            </w:pPr>
          </w:p>
        </w:tc>
        <w:tc>
          <w:tcPr>
            <w:tcW w:w="10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92"/>
              </w:rPr>
              <w:t>Consolidated</w:t>
            </w:r>
          </w:p>
        </w:tc>
      </w:tr>
      <w:tr>
        <w:trPr>
          <w:trHeight w:val="149"/>
        </w:trPr>
        <w:tc>
          <w:tcPr>
            <w:tcW w:w="2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291"/>
              <w:spacing w:after="0" w:line="149" w:lineRule="exact"/>
              <w:rPr>
                <w:sz w:val="20"/>
                <w:szCs w:val="20"/>
                <w:color w:val="auto"/>
              </w:rPr>
            </w:pPr>
            <w:r>
              <w:rPr>
                <w:rFonts w:ascii="Arial" w:cs="Arial" w:eastAsia="Arial" w:hAnsi="Arial"/>
                <w:sz w:val="14"/>
                <w:szCs w:val="14"/>
                <w:color w:val="auto"/>
              </w:rPr>
              <w:t>Comcast</w:t>
            </w:r>
          </w:p>
        </w:tc>
        <w:tc>
          <w:tcPr>
            <w:tcW w:w="240" w:type="dxa"/>
            <w:vAlign w:val="bottom"/>
          </w:tcPr>
          <w:p>
            <w:pPr>
              <w:spacing w:after="0"/>
              <w:rPr>
                <w:sz w:val="12"/>
                <w:szCs w:val="12"/>
                <w:color w:val="auto"/>
              </w:rPr>
            </w:pPr>
          </w:p>
        </w:tc>
        <w:tc>
          <w:tcPr>
            <w:tcW w:w="980" w:type="dxa"/>
            <w:vAlign w:val="bottom"/>
          </w:tcPr>
          <w:p>
            <w:pPr>
              <w:ind w:left="140"/>
              <w:spacing w:after="0" w:line="149" w:lineRule="exact"/>
              <w:rPr>
                <w:sz w:val="20"/>
                <w:szCs w:val="20"/>
                <w:color w:val="auto"/>
              </w:rPr>
            </w:pPr>
            <w:r>
              <w:rPr>
                <w:rFonts w:ascii="Arial" w:cs="Arial" w:eastAsia="Arial" w:hAnsi="Arial"/>
                <w:sz w:val="14"/>
                <w:szCs w:val="14"/>
                <w:color w:val="auto"/>
              </w:rPr>
              <w:t>Comcast</w:t>
            </w:r>
          </w:p>
        </w:tc>
        <w:tc>
          <w:tcPr>
            <w:tcW w:w="320" w:type="dxa"/>
            <w:vAlign w:val="bottom"/>
          </w:tcPr>
          <w:p>
            <w:pPr>
              <w:spacing w:after="0"/>
              <w:rPr>
                <w:sz w:val="12"/>
                <w:szCs w:val="12"/>
                <w:color w:val="auto"/>
              </w:rPr>
            </w:pPr>
          </w:p>
        </w:tc>
        <w:tc>
          <w:tcPr>
            <w:tcW w:w="960" w:type="dxa"/>
            <w:vAlign w:val="bottom"/>
          </w:tcPr>
          <w:p>
            <w:pPr>
              <w:jc w:val="right"/>
              <w:ind w:right="331"/>
              <w:spacing w:after="0" w:line="149" w:lineRule="exact"/>
              <w:rPr>
                <w:sz w:val="20"/>
                <w:szCs w:val="20"/>
                <w:color w:val="auto"/>
              </w:rPr>
            </w:pPr>
            <w:r>
              <w:rPr>
                <w:rFonts w:ascii="Arial" w:cs="Arial" w:eastAsia="Arial" w:hAnsi="Arial"/>
                <w:sz w:val="14"/>
                <w:szCs w:val="14"/>
                <w:color w:val="auto"/>
              </w:rPr>
              <w:t>CCCL</w:t>
            </w:r>
          </w:p>
        </w:tc>
        <w:tc>
          <w:tcPr>
            <w:tcW w:w="180" w:type="dxa"/>
            <w:vAlign w:val="bottom"/>
          </w:tcPr>
          <w:p>
            <w:pPr>
              <w:spacing w:after="0"/>
              <w:rPr>
                <w:sz w:val="12"/>
                <w:szCs w:val="12"/>
                <w:color w:val="auto"/>
              </w:rPr>
            </w:pPr>
          </w:p>
        </w:tc>
        <w:tc>
          <w:tcPr>
            <w:tcW w:w="1080" w:type="dxa"/>
            <w:vAlign w:val="bottom"/>
          </w:tcPr>
          <w:p>
            <w:pPr>
              <w:jc w:val="right"/>
              <w:ind w:right="91"/>
              <w:spacing w:after="0" w:line="149" w:lineRule="exact"/>
              <w:rPr>
                <w:sz w:val="20"/>
                <w:szCs w:val="20"/>
                <w:color w:val="auto"/>
              </w:rPr>
            </w:pPr>
            <w:r>
              <w:rPr>
                <w:rFonts w:ascii="Arial" w:cs="Arial" w:eastAsia="Arial" w:hAnsi="Arial"/>
                <w:sz w:val="14"/>
                <w:szCs w:val="14"/>
                <w:color w:val="auto"/>
              </w:rPr>
              <w:t>NBCUniversal</w:t>
            </w:r>
          </w:p>
        </w:tc>
        <w:tc>
          <w:tcPr>
            <w:tcW w:w="200" w:type="dxa"/>
            <w:vAlign w:val="bottom"/>
          </w:tcPr>
          <w:p>
            <w:pPr>
              <w:spacing w:after="0"/>
              <w:rPr>
                <w:sz w:val="12"/>
                <w:szCs w:val="12"/>
                <w:color w:val="auto"/>
              </w:rPr>
            </w:pPr>
          </w:p>
        </w:tc>
        <w:tc>
          <w:tcPr>
            <w:tcW w:w="106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5"/>
              </w:rPr>
              <w:t>Guarantor</w:t>
            </w:r>
          </w:p>
        </w:tc>
        <w:tc>
          <w:tcPr>
            <w:tcW w:w="180" w:type="dxa"/>
            <w:vAlign w:val="bottom"/>
          </w:tcPr>
          <w:p>
            <w:pPr>
              <w:spacing w:after="0"/>
              <w:rPr>
                <w:sz w:val="12"/>
                <w:szCs w:val="12"/>
                <w:color w:val="auto"/>
              </w:rPr>
            </w:pPr>
          </w:p>
        </w:tc>
        <w:tc>
          <w:tcPr>
            <w:tcW w:w="104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94"/>
              </w:rPr>
              <w:t>Consolidation</w:t>
            </w:r>
          </w:p>
        </w:tc>
        <w:tc>
          <w:tcPr>
            <w:tcW w:w="220" w:type="dxa"/>
            <w:vAlign w:val="bottom"/>
          </w:tcPr>
          <w:p>
            <w:pPr>
              <w:spacing w:after="0"/>
              <w:rPr>
                <w:sz w:val="12"/>
                <w:szCs w:val="12"/>
                <w:color w:val="auto"/>
              </w:rPr>
            </w:pPr>
          </w:p>
        </w:tc>
        <w:tc>
          <w:tcPr>
            <w:tcW w:w="1080" w:type="dxa"/>
            <w:vAlign w:val="bottom"/>
          </w:tcPr>
          <w:p>
            <w:pPr>
              <w:jc w:val="center"/>
              <w:ind w:right="92"/>
              <w:spacing w:after="0" w:line="149" w:lineRule="exact"/>
              <w:rPr>
                <w:sz w:val="20"/>
                <w:szCs w:val="20"/>
                <w:color w:val="auto"/>
              </w:rPr>
            </w:pPr>
            <w:r>
              <w:rPr>
                <w:rFonts w:ascii="Arial" w:cs="Arial" w:eastAsia="Arial" w:hAnsi="Arial"/>
                <w:sz w:val="14"/>
                <w:szCs w:val="14"/>
                <w:color w:val="auto"/>
                <w:w w:val="90"/>
              </w:rPr>
              <w:t>Comcast</w:t>
            </w:r>
          </w:p>
        </w:tc>
      </w:tr>
      <w:tr>
        <w:trPr>
          <w:trHeight w:val="188"/>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Parent</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Holdings</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Parent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w w:val="98"/>
              </w:rPr>
              <w:t>Media Parent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4"/>
              </w:rPr>
              <w:t>Subsidiaries</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3"/>
              </w:rPr>
              <w:t>Adjustments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color w:val="auto"/>
                <w:w w:val="95"/>
              </w:rPr>
              <w:t>Corporation</w:t>
            </w:r>
          </w:p>
        </w:tc>
      </w:tr>
      <w:tr>
        <w:trPr>
          <w:trHeight w:val="224"/>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11,054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9,794</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Net transactions with affiliates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880</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1,579</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(2,543)</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(4,149)</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(4,156)</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w w:val="97"/>
              </w:rPr>
              <w:t>Cash paid for intangible assets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(734)</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(737)</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4"/>
              </w:rPr>
              <w:t>Acquisitions and construction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real estate properties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Acquisitions, net of cash</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acquired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sales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138</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Purchases of investments</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(563)</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691</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1,644</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(8,247)</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(5,828)</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6"/>
              </w:rPr>
              <w:t>Proceeds from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short-term borrowings, net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605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205</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Proceeds from borrowings</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4,753</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4,753</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2"/>
              </w:rPr>
              <w:t>Repurchases and repayments of</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(1,004)</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(797)</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(2,551)</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w w:val="97"/>
              </w:rPr>
              <w:t>Repurchases of common stock</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w w:val="90"/>
              </w:rPr>
              <w:t>under repurchase program and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employee plans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(2,636)</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(2,636)</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(1,281)</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(1,281)</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Issuances of common stock</w:t>
            </w:r>
          </w:p>
        </w:tc>
        <w:tc>
          <w:tcPr>
            <w:tcW w:w="280" w:type="dxa"/>
            <w:vAlign w:val="bottom"/>
          </w:tcPr>
          <w:p>
            <w:pPr>
              <w:spacing w:after="0"/>
              <w:rPr>
                <w:sz w:val="23"/>
                <w:szCs w:val="23"/>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56"/>
        </w:trPr>
        <w:tc>
          <w:tcPr>
            <w:tcW w:w="2600" w:type="dxa"/>
            <w:vAlign w:val="bottom"/>
          </w:tcPr>
          <w:p>
            <w:pPr>
              <w:ind w:left="180"/>
              <w:spacing w:after="0"/>
              <w:rPr>
                <w:sz w:val="20"/>
                <w:szCs w:val="20"/>
                <w:color w:val="auto"/>
              </w:rPr>
            </w:pPr>
            <w:r>
              <w:rPr>
                <w:rFonts w:ascii="Arial" w:cs="Arial" w:eastAsia="Arial" w:hAnsi="Arial"/>
                <w:sz w:val="18"/>
                <w:szCs w:val="18"/>
                <w:color w:val="auto"/>
              </w:rPr>
              <w:t>Distributions to noncontrolling</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interests and dividends for</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600" w:type="dxa"/>
            <w:vAlign w:val="bottom"/>
          </w:tcPr>
          <w:p>
            <w:pPr>
              <w:ind w:left="340"/>
              <w:spacing w:after="0"/>
              <w:rPr>
                <w:sz w:val="20"/>
                <w:szCs w:val="20"/>
                <w:color w:val="auto"/>
              </w:rPr>
            </w:pPr>
            <w:r>
              <w:rPr>
                <w:rFonts w:ascii="Arial" w:cs="Arial" w:eastAsia="Arial" w:hAnsi="Arial"/>
                <w:sz w:val="18"/>
                <w:szCs w:val="18"/>
                <w:color w:val="auto"/>
              </w:rPr>
              <w:t>redeemable subsidiary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260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0"/>
        </w:trPr>
        <w:tc>
          <w:tcPr>
            <w:tcW w:w="260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3"/>
                <w:szCs w:val="23"/>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3"/>
                <w:szCs w:val="23"/>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6"/>
              </w:rPr>
              <w:t>Net cash provided by (used in)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(979)</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(293)</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(1,596)</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2"/>
        </w:trPr>
        <w:tc>
          <w:tcPr>
            <w:tcW w:w="2600" w:type="dxa"/>
            <w:vAlign w:val="bottom"/>
          </w:tcPr>
          <w:p>
            <w:pPr>
              <w:ind w:left="40"/>
              <w:spacing w:after="0"/>
              <w:rPr>
                <w:sz w:val="20"/>
                <w:szCs w:val="20"/>
                <w:color w:val="auto"/>
              </w:rPr>
            </w:pPr>
            <w:r>
              <w:rPr>
                <w:rFonts w:ascii="Arial" w:cs="Arial" w:eastAsia="Arial" w:hAnsi="Arial"/>
                <w:sz w:val="18"/>
                <w:szCs w:val="18"/>
                <w:color w:val="auto"/>
                <w:w w:val="98"/>
              </w:rPr>
              <w:t>Increase (decrease) in cash and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2,514</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2,370</w:t>
            </w:r>
          </w:p>
        </w:tc>
      </w:tr>
      <w:tr>
        <w:trPr>
          <w:trHeight w:val="256"/>
        </w:trPr>
        <w:tc>
          <w:tcPr>
            <w:tcW w:w="26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2600" w:type="dxa"/>
            <w:vAlign w:val="bottom"/>
          </w:tcPr>
          <w:p>
            <w:pPr>
              <w:ind w:left="200"/>
              <w:spacing w:after="0"/>
              <w:rPr>
                <w:sz w:val="20"/>
                <w:szCs w:val="20"/>
                <w:color w:val="auto"/>
              </w:rPr>
            </w:pPr>
            <w:r>
              <w:rPr>
                <w:rFonts w:ascii="Arial" w:cs="Arial" w:eastAsia="Arial" w:hAnsi="Arial"/>
                <w:sz w:val="18"/>
                <w:szCs w:val="18"/>
                <w:color w:val="auto"/>
              </w:rPr>
              <w:t>beginning of period</w:t>
            </w:r>
          </w:p>
        </w:tc>
        <w:tc>
          <w:tcPr>
            <w:tcW w:w="28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414</w:t>
            </w:r>
          </w:p>
        </w:tc>
        <w:tc>
          <w:tcPr>
            <w:tcW w:w="20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1,881</w:t>
            </w:r>
          </w:p>
        </w:tc>
        <w:tc>
          <w:tcPr>
            <w:tcW w:w="180" w:type="dxa"/>
            <w:vAlign w:val="bottom"/>
          </w:tcPr>
          <w:p>
            <w:pPr>
              <w:spacing w:after="0"/>
              <w:rPr>
                <w:sz w:val="20"/>
                <w:szCs w:val="20"/>
                <w:color w:val="auto"/>
              </w:rPr>
            </w:pPr>
          </w:p>
        </w:tc>
        <w:tc>
          <w:tcPr>
            <w:tcW w:w="1040" w:type="dxa"/>
            <w:vAlign w:val="bottom"/>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2,295</w:t>
            </w:r>
          </w:p>
        </w:tc>
      </w:tr>
      <w:tr>
        <w:trPr>
          <w:trHeight w:val="27"/>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2"/>
              </w:rPr>
              <w:t>Cash and cash equivalents, end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of period</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ind w:left="74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270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4,395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ind w:left="8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4,665</w:t>
            </w:r>
          </w:p>
        </w:tc>
      </w:tr>
      <w:tr>
        <w:trPr>
          <w:trHeight w:val="34"/>
        </w:trPr>
        <w:tc>
          <w:tcPr>
            <w:tcW w:w="26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940"/>
        <w:spacing w:after="0" w:line="274"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 Cable Networks, Broadcast Television, Filmed Entertainment and Theme Parks (collectively, the “NBCUniversal segments”).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w:t>
      </w:r>
    </w:p>
    <w:p>
      <w:pPr>
        <w:spacing w:after="0" w:line="1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Comcast Cable is one of the nation’s largest providers of video, high-speed Internet, voice, and security and automation services (“cable services”) to residential customers under the XFINITY brand; we also provide these and other services to business customers and sell advertising. As of June 30, 2017, our cable systems had 29.0 million total customer relationships, including 26.9 million residential and 2.1 million business customer relationships, and passed more than 56 million homes and businesses. Our Cable Communications segment generates revenue primarily from residential and business customers that subscribe to our cable services, which we market individually and as bundled services, and from the sale of advertising. During the six months ended June 30, 2017, our Cable Communications segment generated 61% of our consolidated revenue and 70% of the aggregate Adjusted EBITDA for our reportable business segments.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Segments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NBCUniversal is one of the world’s leading media and entertainment companies that develops, produces and distributes entertainment, news and information, sports, and other content for global audiences, and owns and operates theme parks worldwide.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Cable Networks segment consists primarily of a diversified portfolio of cable television networks. Our cable networks are comprised of our national cable networks that provide a variety of entertainment, news and information, and sports content; our regional sports and news networks; our international cable networks; our cable television studio production operations; and related digital media properties. Our Cable Networks segment generates revenue primarily from the distribution of our cable network programming to traditional and virtual multichannel video providers, from the sale of advertising on our cable networks and related digital media properties, from the licensing of our owned programming, including programming from our cable television studio production operations, to cable and broadcast networks and subscription video on demand services, and from the sale of our owned programming on standard-definition digital video discs and Blu-ray discs (together, “DVDs”) and through digital distribution services such as iTunes.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12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Broadcast Television segment consists primarily of the NBC and Telemundo broadcast networks, our NBC and Telemundo owned local broadcast television stations, the NBC Universo national cable network, our broadcast television studio production operations, and related digital media properties. Our Broadcast Television segment generates revenue primarily from the sale of advertising on our broadcast networks, owned local broadcast television stations and related digital media properties; from the licensing of our owned programming by our broadcast television studio production operations to various distribution platforms, including to cable and broadcast networks as well as to subscription video on demand services; from the fees received under retransmission consent agreements and associated fees received from NBC-affiliated local broadcast television stations; and from the sale of our owned programming on DVDs and through digital distribution services.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w:t>
      </w:r>
    </w:p>
    <w:p>
      <w:pPr>
        <w:spacing w:after="0" w:line="1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Filmed Entertainment segment primarily produces, acquires, markets and distributes filmed entertainment worldwide, and it also develops, produces and licenses live stage plays. Our films are produced primarily under the Universal Pictures, Illumination, Focus Features and DreamWorks Animation names. Our Filmed Entertainment segment generates revenue primarily from the worldwide distribution of our produced and acquired films for exhibition in movie theaters, from the licensing of produced and acquired films through various distribution platforms, and from the sale of produced and acquired films on DVDs and through digital distribution services. Our Filmed Entertainment segment also generates revenue from producing and licensing live stage plays, from the distribution of filmed entertainment produced by third parties, and from Fandango, our movie ticketing and entertainment business.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75"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Theme Parks segment consists primarily of our Universal theme parks in Orlando, Florida; Hollywood, California; and Osaka, Japan. In addition, along with a consortium of Chinese state-owned companies, we are developing a theme park in China. Our Theme Parks segment generates revenue primarily from ticket sales and guest spending at our Universal theme parks.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other business interests consist primarily of the operations of Comcast Spectacor, which owns the Philadelphia Flyers and the Wells Fargo Center arena in Philadelphia, Pennsylvania and operates arena management-related businesses.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also pursuing other business initiatives, such as our wireless phone service that we launched in the second quarter of 2017 on a small scale to our residential cable customers using our virtual network operator rights to provide the service over Verizon’s wireless network and our existing network of in-home and outdoor Wi-Fi hotspots. We offer the wireless phone service only as part of our bundled service offerings to residential customers subscribing to our high-speed Internet service within our cable distribution footprint and may in the future also offer wireless phone service to our small business customers on similar terms. The wireless phone service has success-based working capital requirements, primarily associated with the procurement of handsets, which customers are able to pay for upfront or finance interest-free over 24 months, and other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results of operations of our reportable business segments are affected by competition, as all of our businesses operate in intensely competitive, consumer-driven and rapidly changing environments and compete with a growing number of companies that provide a broad range of communications products and services and entertainment, news and information content to consumers. For additional information on the competition our businesses face, see Item 1: Business included in our 2016 Annual Report on Form 10-K and refer to the “Competition” discussion within that section and see Item 1A: Risk Factors included in our 2016 Annual Report on Form 10-K and refer to the risk factors within that section entitled “Our businesses currently face a wide range of competition, and our businesses and results of operations could be adversely affected if we do not compete effectively” and “Changes in consumer behavior driven by new technologies and distribution platforms for viewing content may adversely affect our businesses and challenge existing business models.”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businesses is subject to seasonal and cyclical variations. In our Cable Communications segment, our results are impacted by the seasonal nature of customers receiving our cable services in college and vacation markets. This generally results in a reduction in net customer additions in the second quarter and an increase in net customer additions in the third and fourth quarters of each year.</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Revenue in our Cable Communications, Cable Networks and Broadcast Television segments is subject to cyclical advertising patterns and changes in viewership levels. Advertising revenue in the U.S. is generally higher in the second and fourth quarters of each year, due in part to increases in consumer advertising in the spring and in the period leading up to and including the holiday season. Advertising revenue in the U.S. is also cyclical, with a benefit in even-numbered years due to advertising related to candidates running for political office and issue-oriented advertising. Revenue in our Cable Networks and Broadcast Television segments fluctuates depending on the timing of when our programming is aired, which typically results in higher advertising revenue in the second and fourth quarters of each year. Our revenue and operating costs and expenses, excluding depreciation and amortization (“operating costs and expenses”) are cyclical as a result of our periodic broadcasts of major sporting events, such as the Olympic Games, which affect our Cable Networks and Broadcast Television segments, and the Super Bowl, which affects our Broadcast Television segment. Our advertising revenue increases in the period of these broadcasts due to increased demand for advertising time, and our operating costs and expenses also increase as a result of our production costs and the amortization of the related rights fees.</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Revenue in our Filmed Entertainment segment fluctuates due to the timing of the release of films in movie theaters, on DVDs and through various other distribution platforms. Release dates are determined by several factors, including competition and the timing of vacation and holiday periods. As a result, revenue tends to be seasonal, with increases experienced each year during the summer months and around the holiday season. Revenue in our Cable Networks, Broadcast Television and Filmed Entertainment segments also fluctuates due to the timing of when our content is made available to licensees.</w:t>
      </w:r>
    </w:p>
    <w:p>
      <w:pPr>
        <w:spacing w:after="0" w:line="1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in our Theme Parks segment fluctuates with changes in theme park attendance that result from the seasonal nature of vacation travel and weather variations, local entertainment offerings and the opening of new attractions, as well as with changes in currency exchange rates. Our theme parks generally experience peak attendance during the spring holiday period, the summer months when schools are closed and the holiday season.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75"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3"/>
          </w:tcPr>
          <w:p>
            <w:pPr>
              <w:jc w:val="right"/>
              <w:ind w:right="791"/>
              <w:spacing w:after="0"/>
              <w:rPr>
                <w:sz w:val="20"/>
                <w:szCs w:val="20"/>
                <w:color w:val="auto"/>
              </w:rPr>
            </w:pPr>
            <w:r>
              <w:rPr>
                <w:rFonts w:ascii="Arial" w:cs="Arial" w:eastAsia="Arial" w:hAnsi="Arial"/>
                <w:sz w:val="14"/>
                <w:szCs w:val="14"/>
                <w:color w:val="auto"/>
              </w:rPr>
              <w:t>Three Months Ended</w:t>
            </w:r>
          </w:p>
        </w:tc>
        <w:tc>
          <w:tcPr>
            <w:tcW w:w="1320" w:type="dxa"/>
            <w:vAlign w:val="bottom"/>
          </w:tcPr>
          <w:p>
            <w:pPr>
              <w:jc w:val="right"/>
              <w:ind w:right="392"/>
              <w:spacing w:after="0"/>
              <w:rPr>
                <w:sz w:val="20"/>
                <w:szCs w:val="20"/>
                <w:color w:val="auto"/>
              </w:rPr>
            </w:pPr>
            <w:r>
              <w:rPr>
                <w:rFonts w:ascii="Arial" w:cs="Arial" w:eastAsia="Arial" w:hAnsi="Arial"/>
                <w:sz w:val="14"/>
                <w:szCs w:val="14"/>
                <w:color w:val="auto"/>
              </w:rPr>
              <w:t>Increase/</w:t>
            </w:r>
          </w:p>
        </w:tc>
        <w:tc>
          <w:tcPr>
            <w:tcW w:w="340" w:type="dxa"/>
            <w:vAlign w:val="bottom"/>
          </w:tcPr>
          <w:p>
            <w:pPr>
              <w:spacing w:after="0"/>
              <w:rPr>
                <w:sz w:val="14"/>
                <w:szCs w:val="14"/>
                <w:color w:val="auto"/>
              </w:rPr>
            </w:pPr>
          </w:p>
        </w:tc>
        <w:tc>
          <w:tcPr>
            <w:tcW w:w="2500" w:type="dxa"/>
            <w:vAlign w:val="bottom"/>
            <w:gridSpan w:val="3"/>
          </w:tcPr>
          <w:p>
            <w:pPr>
              <w:jc w:val="right"/>
              <w:ind w:right="871"/>
              <w:spacing w:after="0"/>
              <w:rPr>
                <w:sz w:val="20"/>
                <w:szCs w:val="20"/>
                <w:color w:val="auto"/>
              </w:rPr>
            </w:pPr>
            <w:r>
              <w:rPr>
                <w:rFonts w:ascii="Arial" w:cs="Arial" w:eastAsia="Arial" w:hAnsi="Arial"/>
                <w:sz w:val="14"/>
                <w:szCs w:val="14"/>
                <w:color w:val="auto"/>
              </w:rPr>
              <w:t>Six Months Ended</w:t>
            </w:r>
          </w:p>
        </w:tc>
        <w:tc>
          <w:tcPr>
            <w:tcW w:w="1260" w:type="dxa"/>
            <w:vAlign w:val="bottom"/>
          </w:tcPr>
          <w:p>
            <w:pPr>
              <w:jc w:val="right"/>
              <w:ind w:right="332"/>
              <w:spacing w:after="0"/>
              <w:rPr>
                <w:sz w:val="20"/>
                <w:szCs w:val="20"/>
                <w:color w:val="auto"/>
              </w:rPr>
            </w:pPr>
            <w:r>
              <w:rPr>
                <w:rFonts w:ascii="Arial" w:cs="Arial" w:eastAsia="Arial" w:hAnsi="Arial"/>
                <w:sz w:val="14"/>
                <w:szCs w:val="14"/>
                <w:color w:val="auto"/>
              </w:rPr>
              <w:t>Increase/</w:t>
            </w:r>
          </w:p>
        </w:tc>
      </w:tr>
      <w:tr>
        <w:trPr>
          <w:trHeight w:val="188"/>
        </w:trPr>
        <w:tc>
          <w:tcPr>
            <w:tcW w:w="3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June 30</w:t>
            </w:r>
          </w:p>
        </w:tc>
        <w:tc>
          <w:tcPr>
            <w:tcW w:w="1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(Decrease)</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color w:val="auto"/>
              </w:rPr>
              <w:t>June 30</w:t>
            </w:r>
          </w:p>
        </w:tc>
        <w:tc>
          <w:tcPr>
            <w:tcW w:w="1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(Decrease)</w:t>
            </w:r>
          </w:p>
        </w:tc>
      </w:tr>
      <w:tr>
        <w:trPr>
          <w:trHeight w:val="264"/>
        </w:trPr>
        <w:tc>
          <w:tcPr>
            <w:tcW w:w="3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2017</w:t>
            </w: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2016</w:t>
            </w:r>
          </w:p>
        </w:tc>
        <w:tc>
          <w:tcPr>
            <w:tcW w:w="13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2017</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2016</w:t>
            </w:r>
          </w:p>
        </w:tc>
        <w:tc>
          <w:tcPr>
            <w:tcW w:w="1260" w:type="dxa"/>
            <w:vAlign w:val="bottom"/>
            <w:tcBorders>
              <w:bottom w:val="single" w:sz="8" w:color="auto"/>
            </w:tcBorders>
          </w:tcPr>
          <w:p>
            <w:pPr>
              <w:spacing w:after="0"/>
              <w:rPr>
                <w:sz w:val="22"/>
                <w:szCs w:val="22"/>
                <w:color w:val="auto"/>
              </w:rPr>
            </w:pP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21,165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19,269</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9.8 %</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41,628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51"/>
              <w:spacing w:after="0"/>
              <w:rPr>
                <w:sz w:val="20"/>
                <w:szCs w:val="20"/>
                <w:color w:val="auto"/>
              </w:rPr>
            </w:pPr>
            <w:r>
              <w:rPr>
                <w:rFonts w:ascii="Arial" w:cs="Arial" w:eastAsia="Arial" w:hAnsi="Arial"/>
                <w:sz w:val="18"/>
                <w:szCs w:val="18"/>
                <w:color w:val="auto"/>
              </w:rPr>
              <w:t>38,059</w:t>
            </w:r>
          </w:p>
        </w:tc>
        <w:tc>
          <w:tcPr>
            <w:tcW w:w="1260" w:type="dxa"/>
            <w:vAlign w:val="bottom"/>
          </w:tcPr>
          <w:p>
            <w:pPr>
              <w:jc w:val="right"/>
              <w:spacing w:after="0"/>
              <w:rPr>
                <w:sz w:val="20"/>
                <w:szCs w:val="20"/>
                <w:color w:val="auto"/>
              </w:rPr>
            </w:pPr>
            <w:r>
              <w:rPr>
                <w:rFonts w:ascii="Arial" w:cs="Arial" w:eastAsia="Arial" w:hAnsi="Arial"/>
                <w:sz w:val="18"/>
                <w:szCs w:val="18"/>
                <w:color w:val="auto"/>
              </w:rPr>
              <w:t>9.4 %</w:t>
            </w:r>
          </w:p>
        </w:tc>
      </w:tr>
      <w:tr>
        <w:trPr>
          <w:trHeight w:val="270"/>
        </w:trPr>
        <w:tc>
          <w:tcPr>
            <w:tcW w:w="32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322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0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6,341</w:t>
            </w:r>
          </w:p>
        </w:tc>
        <w:tc>
          <w:tcPr>
            <w:tcW w:w="38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5,492</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15.5</w:t>
            </w:r>
          </w:p>
        </w:tc>
        <w:tc>
          <w:tcPr>
            <w:tcW w:w="34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12,415</w:t>
            </w:r>
          </w:p>
        </w:tc>
        <w:tc>
          <w:tcPr>
            <w:tcW w:w="400" w:type="dxa"/>
            <w:vAlign w:val="bottom"/>
          </w:tcPr>
          <w:p>
            <w:pPr>
              <w:spacing w:after="0"/>
              <w:rPr>
                <w:sz w:val="23"/>
                <w:szCs w:val="23"/>
                <w:color w:val="auto"/>
              </w:rPr>
            </w:pPr>
          </w:p>
        </w:tc>
        <w:tc>
          <w:tcPr>
            <w:tcW w:w="1120" w:type="dxa"/>
            <w:vAlign w:val="bottom"/>
          </w:tcPr>
          <w:p>
            <w:pPr>
              <w:jc w:val="right"/>
              <w:ind w:right="251"/>
              <w:spacing w:after="0"/>
              <w:rPr>
                <w:sz w:val="20"/>
                <w:szCs w:val="20"/>
                <w:color w:val="auto"/>
              </w:rPr>
            </w:pPr>
            <w:r>
              <w:rPr>
                <w:rFonts w:ascii="Arial" w:cs="Arial" w:eastAsia="Arial" w:hAnsi="Arial"/>
                <w:sz w:val="18"/>
                <w:szCs w:val="18"/>
                <w:color w:val="auto"/>
              </w:rPr>
              <w:t>10,923</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13.7</w:t>
            </w:r>
          </w:p>
        </w:tc>
      </w:tr>
      <w:tr>
        <w:trPr>
          <w:trHeight w:val="270"/>
        </w:trPr>
        <w:tc>
          <w:tcPr>
            <w:tcW w:w="322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0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6,060</w:t>
            </w:r>
          </w:p>
        </w:tc>
        <w:tc>
          <w:tcPr>
            <w:tcW w:w="38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5,763</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11,887</w:t>
            </w:r>
          </w:p>
        </w:tc>
        <w:tc>
          <w:tcPr>
            <w:tcW w:w="400" w:type="dxa"/>
            <w:vAlign w:val="bottom"/>
          </w:tcPr>
          <w:p>
            <w:pPr>
              <w:spacing w:after="0"/>
              <w:rPr>
                <w:sz w:val="23"/>
                <w:szCs w:val="23"/>
                <w:color w:val="auto"/>
              </w:rPr>
            </w:pPr>
          </w:p>
        </w:tc>
        <w:tc>
          <w:tcPr>
            <w:tcW w:w="1120" w:type="dxa"/>
            <w:vAlign w:val="bottom"/>
          </w:tcPr>
          <w:p>
            <w:pPr>
              <w:jc w:val="right"/>
              <w:ind w:right="251"/>
              <w:spacing w:after="0"/>
              <w:rPr>
                <w:sz w:val="20"/>
                <w:szCs w:val="20"/>
                <w:color w:val="auto"/>
              </w:rPr>
            </w:pPr>
            <w:r>
              <w:rPr>
                <w:rFonts w:ascii="Arial" w:cs="Arial" w:eastAsia="Arial" w:hAnsi="Arial"/>
                <w:sz w:val="18"/>
                <w:szCs w:val="18"/>
                <w:color w:val="auto"/>
              </w:rPr>
              <w:t>11,289</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5.3</w:t>
            </w:r>
          </w:p>
        </w:tc>
      </w:tr>
      <w:tr>
        <w:trPr>
          <w:trHeight w:val="270"/>
        </w:trPr>
        <w:tc>
          <w:tcPr>
            <w:tcW w:w="3220" w:type="dxa"/>
            <w:vAlign w:val="bottom"/>
          </w:tcPr>
          <w:p>
            <w:pPr>
              <w:ind w:left="380"/>
              <w:spacing w:after="0"/>
              <w:rPr>
                <w:sz w:val="20"/>
                <w:szCs w:val="20"/>
                <w:color w:val="auto"/>
              </w:rPr>
            </w:pPr>
            <w:r>
              <w:rPr>
                <w:rFonts w:ascii="Arial" w:cs="Arial" w:eastAsia="Arial" w:hAnsi="Arial"/>
                <w:sz w:val="18"/>
                <w:szCs w:val="18"/>
                <w:color w:val="auto"/>
                <w:w w:val="94"/>
              </w:rPr>
              <w:t>Advertising, marketing and promotion</w:t>
            </w:r>
          </w:p>
        </w:tc>
        <w:tc>
          <w:tcPr>
            <w:tcW w:w="30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1,665</w:t>
            </w:r>
          </w:p>
        </w:tc>
        <w:tc>
          <w:tcPr>
            <w:tcW w:w="38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1,559</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3,195</w:t>
            </w:r>
          </w:p>
        </w:tc>
        <w:tc>
          <w:tcPr>
            <w:tcW w:w="400" w:type="dxa"/>
            <w:vAlign w:val="bottom"/>
          </w:tcPr>
          <w:p>
            <w:pPr>
              <w:spacing w:after="0"/>
              <w:rPr>
                <w:sz w:val="23"/>
                <w:szCs w:val="23"/>
                <w:color w:val="auto"/>
              </w:rPr>
            </w:pPr>
          </w:p>
        </w:tc>
        <w:tc>
          <w:tcPr>
            <w:tcW w:w="1120" w:type="dxa"/>
            <w:vAlign w:val="bottom"/>
          </w:tcPr>
          <w:p>
            <w:pPr>
              <w:jc w:val="right"/>
              <w:ind w:right="251"/>
              <w:spacing w:after="0"/>
              <w:rPr>
                <w:sz w:val="20"/>
                <w:szCs w:val="20"/>
                <w:color w:val="auto"/>
              </w:rPr>
            </w:pPr>
            <w:r>
              <w:rPr>
                <w:rFonts w:ascii="Arial" w:cs="Arial" w:eastAsia="Arial" w:hAnsi="Arial"/>
                <w:sz w:val="18"/>
                <w:szCs w:val="18"/>
                <w:color w:val="auto"/>
              </w:rPr>
              <w:t>3,025</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5.6</w:t>
            </w:r>
          </w:p>
        </w:tc>
      </w:tr>
      <w:tr>
        <w:trPr>
          <w:trHeight w:val="270"/>
        </w:trPr>
        <w:tc>
          <w:tcPr>
            <w:tcW w:w="322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1,970</w:t>
            </w:r>
          </w:p>
        </w:tc>
        <w:tc>
          <w:tcPr>
            <w:tcW w:w="38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1,868</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3,885</w:t>
            </w:r>
          </w:p>
        </w:tc>
        <w:tc>
          <w:tcPr>
            <w:tcW w:w="400" w:type="dxa"/>
            <w:vAlign w:val="bottom"/>
          </w:tcPr>
          <w:p>
            <w:pPr>
              <w:spacing w:after="0"/>
              <w:rPr>
                <w:sz w:val="23"/>
                <w:szCs w:val="23"/>
                <w:color w:val="auto"/>
              </w:rPr>
            </w:pPr>
          </w:p>
        </w:tc>
        <w:tc>
          <w:tcPr>
            <w:tcW w:w="1120" w:type="dxa"/>
            <w:vAlign w:val="bottom"/>
          </w:tcPr>
          <w:p>
            <w:pPr>
              <w:jc w:val="right"/>
              <w:ind w:right="251"/>
              <w:spacing w:after="0"/>
              <w:rPr>
                <w:sz w:val="20"/>
                <w:szCs w:val="20"/>
                <w:color w:val="auto"/>
              </w:rPr>
            </w:pPr>
            <w:r>
              <w:rPr>
                <w:rFonts w:ascii="Arial" w:cs="Arial" w:eastAsia="Arial" w:hAnsi="Arial"/>
                <w:sz w:val="18"/>
                <w:szCs w:val="18"/>
                <w:color w:val="auto"/>
              </w:rPr>
              <w:t>3,653</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6.4</w:t>
            </w:r>
          </w:p>
        </w:tc>
      </w:tr>
      <w:tr>
        <w:trPr>
          <w:trHeight w:val="270"/>
        </w:trPr>
        <w:tc>
          <w:tcPr>
            <w:tcW w:w="322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0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571</w:t>
            </w:r>
          </w:p>
        </w:tc>
        <w:tc>
          <w:tcPr>
            <w:tcW w:w="380" w:type="dxa"/>
            <w:vAlign w:val="bottom"/>
          </w:tcPr>
          <w:p>
            <w:pPr>
              <w:spacing w:after="0"/>
              <w:rPr>
                <w:sz w:val="23"/>
                <w:szCs w:val="23"/>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521</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23"/>
                <w:szCs w:val="23"/>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1,158</w:t>
            </w:r>
          </w:p>
        </w:tc>
        <w:tc>
          <w:tcPr>
            <w:tcW w:w="400" w:type="dxa"/>
            <w:vAlign w:val="bottom"/>
          </w:tcPr>
          <w:p>
            <w:pPr>
              <w:spacing w:after="0"/>
              <w:rPr>
                <w:sz w:val="23"/>
                <w:szCs w:val="23"/>
                <w:color w:val="auto"/>
              </w:rPr>
            </w:pPr>
          </w:p>
        </w:tc>
        <w:tc>
          <w:tcPr>
            <w:tcW w:w="1120" w:type="dxa"/>
            <w:vAlign w:val="bottom"/>
          </w:tcPr>
          <w:p>
            <w:pPr>
              <w:jc w:val="right"/>
              <w:ind w:right="251"/>
              <w:spacing w:after="0"/>
              <w:rPr>
                <w:sz w:val="20"/>
                <w:szCs w:val="20"/>
                <w:color w:val="auto"/>
              </w:rPr>
            </w:pPr>
            <w:r>
              <w:rPr>
                <w:rFonts w:ascii="Arial" w:cs="Arial" w:eastAsia="Arial" w:hAnsi="Arial"/>
                <w:sz w:val="18"/>
                <w:szCs w:val="18"/>
                <w:color w:val="auto"/>
              </w:rPr>
              <w:t>1,014</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14.1</w:t>
            </w:r>
          </w:p>
        </w:tc>
      </w:tr>
      <w:tr>
        <w:trPr>
          <w:trHeight w:val="27"/>
        </w:trPr>
        <w:tc>
          <w:tcPr>
            <w:tcW w:w="3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4,558</w:t>
            </w:r>
          </w:p>
        </w:tc>
        <w:tc>
          <w:tcPr>
            <w:tcW w:w="380" w:type="dxa"/>
            <w:vAlign w:val="bottom"/>
          </w:tcPr>
          <w:p>
            <w:pPr>
              <w:spacing w:after="0"/>
              <w:rPr>
                <w:sz w:val="20"/>
                <w:szCs w:val="20"/>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4,066</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9,088</w:t>
            </w:r>
          </w:p>
        </w:tc>
        <w:tc>
          <w:tcPr>
            <w:tcW w:w="400" w:type="dxa"/>
            <w:vAlign w:val="bottom"/>
          </w:tcPr>
          <w:p>
            <w:pPr>
              <w:spacing w:after="0"/>
              <w:rPr>
                <w:sz w:val="20"/>
                <w:szCs w:val="20"/>
                <w:color w:val="auto"/>
              </w:rPr>
            </w:pPr>
          </w:p>
        </w:tc>
        <w:tc>
          <w:tcPr>
            <w:tcW w:w="1120" w:type="dxa"/>
            <w:vAlign w:val="bottom"/>
          </w:tcPr>
          <w:p>
            <w:pPr>
              <w:jc w:val="right"/>
              <w:ind w:right="251"/>
              <w:spacing w:after="0"/>
              <w:rPr>
                <w:sz w:val="20"/>
                <w:szCs w:val="20"/>
                <w:color w:val="auto"/>
              </w:rPr>
            </w:pPr>
            <w:r>
              <w:rPr>
                <w:rFonts w:ascii="Arial" w:cs="Arial" w:eastAsia="Arial" w:hAnsi="Arial"/>
                <w:sz w:val="18"/>
                <w:szCs w:val="18"/>
                <w:color w:val="auto"/>
              </w:rPr>
              <w:t>8,155</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11.4</w:t>
            </w:r>
          </w:p>
        </w:tc>
      </w:tr>
      <w:tr>
        <w:trPr>
          <w:trHeight w:val="270"/>
        </w:trPr>
        <w:tc>
          <w:tcPr>
            <w:tcW w:w="3220" w:type="dxa"/>
            <w:vAlign w:val="bottom"/>
          </w:tcPr>
          <w:p>
            <w:pPr>
              <w:ind w:left="40"/>
              <w:spacing w:after="0"/>
              <w:rPr>
                <w:sz w:val="20"/>
                <w:szCs w:val="20"/>
                <w:color w:val="auto"/>
              </w:rPr>
            </w:pPr>
            <w:r>
              <w:rPr>
                <w:rFonts w:ascii="Arial" w:cs="Arial" w:eastAsia="Arial" w:hAnsi="Arial"/>
                <w:sz w:val="18"/>
                <w:szCs w:val="18"/>
                <w:color w:val="auto"/>
              </w:rPr>
              <w:t>Other income (expense) items, net</w:t>
            </w:r>
          </w:p>
        </w:tc>
        <w:tc>
          <w:tcPr>
            <w:tcW w:w="30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(659)</w:t>
            </w:r>
          </w:p>
        </w:tc>
        <w:tc>
          <w:tcPr>
            <w:tcW w:w="380" w:type="dxa"/>
            <w:vAlign w:val="bottom"/>
          </w:tcPr>
          <w:p>
            <w:pPr>
              <w:spacing w:after="0"/>
              <w:rPr>
                <w:sz w:val="23"/>
                <w:szCs w:val="23"/>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(708)</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(1,284)</w:t>
            </w:r>
          </w:p>
        </w:tc>
        <w:tc>
          <w:tcPr>
            <w:tcW w:w="400" w:type="dxa"/>
            <w:vAlign w:val="bottom"/>
          </w:tcPr>
          <w:p>
            <w:pPr>
              <w:spacing w:after="0"/>
              <w:rPr>
                <w:sz w:val="23"/>
                <w:szCs w:val="23"/>
                <w:color w:val="auto"/>
              </w:rPr>
            </w:pPr>
          </w:p>
        </w:tc>
        <w:tc>
          <w:tcPr>
            <w:tcW w:w="1120" w:type="dxa"/>
            <w:vAlign w:val="bottom"/>
          </w:tcPr>
          <w:p>
            <w:pPr>
              <w:jc w:val="right"/>
              <w:ind w:right="191"/>
              <w:spacing w:after="0"/>
              <w:rPr>
                <w:sz w:val="20"/>
                <w:szCs w:val="20"/>
                <w:color w:val="auto"/>
              </w:rPr>
            </w:pPr>
            <w:r>
              <w:rPr>
                <w:rFonts w:ascii="Arial" w:cs="Arial" w:eastAsia="Arial" w:hAnsi="Arial"/>
                <w:sz w:val="18"/>
                <w:szCs w:val="18"/>
                <w:color w:val="auto"/>
              </w:rPr>
              <w:t>(1,262)</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1.8</w:t>
            </w:r>
          </w:p>
        </w:tc>
      </w:tr>
      <w:tr>
        <w:trPr>
          <w:trHeight w:val="27"/>
        </w:trPr>
        <w:tc>
          <w:tcPr>
            <w:tcW w:w="3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3,899</w:t>
            </w:r>
          </w:p>
        </w:tc>
        <w:tc>
          <w:tcPr>
            <w:tcW w:w="380" w:type="dxa"/>
            <w:vAlign w:val="bottom"/>
          </w:tcPr>
          <w:p>
            <w:pPr>
              <w:spacing w:after="0"/>
              <w:rPr>
                <w:sz w:val="20"/>
                <w:szCs w:val="20"/>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3,358</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16.1</w:t>
            </w:r>
          </w:p>
        </w:tc>
        <w:tc>
          <w:tcPr>
            <w:tcW w:w="34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7,804</w:t>
            </w:r>
          </w:p>
        </w:tc>
        <w:tc>
          <w:tcPr>
            <w:tcW w:w="400" w:type="dxa"/>
            <w:vAlign w:val="bottom"/>
          </w:tcPr>
          <w:p>
            <w:pPr>
              <w:spacing w:after="0"/>
              <w:rPr>
                <w:sz w:val="20"/>
                <w:szCs w:val="20"/>
                <w:color w:val="auto"/>
              </w:rPr>
            </w:pPr>
          </w:p>
        </w:tc>
        <w:tc>
          <w:tcPr>
            <w:tcW w:w="1120" w:type="dxa"/>
            <w:vAlign w:val="bottom"/>
          </w:tcPr>
          <w:p>
            <w:pPr>
              <w:jc w:val="right"/>
              <w:ind w:right="251"/>
              <w:spacing w:after="0"/>
              <w:rPr>
                <w:sz w:val="20"/>
                <w:szCs w:val="20"/>
                <w:color w:val="auto"/>
              </w:rPr>
            </w:pPr>
            <w:r>
              <w:rPr>
                <w:rFonts w:ascii="Arial" w:cs="Arial" w:eastAsia="Arial" w:hAnsi="Arial"/>
                <w:sz w:val="18"/>
                <w:szCs w:val="18"/>
                <w:color w:val="auto"/>
              </w:rPr>
              <w:t>6,893</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13.2</w:t>
            </w:r>
          </w:p>
        </w:tc>
      </w:tr>
      <w:tr>
        <w:trPr>
          <w:trHeight w:val="270"/>
        </w:trPr>
        <w:tc>
          <w:tcPr>
            <w:tcW w:w="32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(1,364)</w:t>
            </w:r>
          </w:p>
        </w:tc>
        <w:tc>
          <w:tcPr>
            <w:tcW w:w="380" w:type="dxa"/>
            <w:vAlign w:val="bottom"/>
          </w:tcPr>
          <w:p>
            <w:pPr>
              <w:spacing w:after="0"/>
              <w:rPr>
                <w:sz w:val="23"/>
                <w:szCs w:val="23"/>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(1,278)</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(2,622)</w:t>
            </w:r>
          </w:p>
        </w:tc>
        <w:tc>
          <w:tcPr>
            <w:tcW w:w="400" w:type="dxa"/>
            <w:vAlign w:val="bottom"/>
          </w:tcPr>
          <w:p>
            <w:pPr>
              <w:spacing w:after="0"/>
              <w:rPr>
                <w:sz w:val="23"/>
                <w:szCs w:val="23"/>
                <w:color w:val="auto"/>
              </w:rPr>
            </w:pPr>
          </w:p>
        </w:tc>
        <w:tc>
          <w:tcPr>
            <w:tcW w:w="1120" w:type="dxa"/>
            <w:vAlign w:val="bottom"/>
          </w:tcPr>
          <w:p>
            <w:pPr>
              <w:jc w:val="right"/>
              <w:ind w:right="191"/>
              <w:spacing w:after="0"/>
              <w:rPr>
                <w:sz w:val="20"/>
                <w:szCs w:val="20"/>
                <w:color w:val="auto"/>
              </w:rPr>
            </w:pPr>
            <w:r>
              <w:rPr>
                <w:rFonts w:ascii="Arial" w:cs="Arial" w:eastAsia="Arial" w:hAnsi="Arial"/>
                <w:sz w:val="18"/>
                <w:szCs w:val="18"/>
                <w:color w:val="auto"/>
              </w:rPr>
              <w:t>(2,589)</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1.3</w:t>
            </w:r>
          </w:p>
        </w:tc>
      </w:tr>
      <w:tr>
        <w:trPr>
          <w:trHeight w:val="27"/>
        </w:trPr>
        <w:tc>
          <w:tcPr>
            <w:tcW w:w="3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2,535</w:t>
            </w:r>
          </w:p>
        </w:tc>
        <w:tc>
          <w:tcPr>
            <w:tcW w:w="380" w:type="dxa"/>
            <w:vAlign w:val="bottom"/>
          </w:tcPr>
          <w:p>
            <w:pPr>
              <w:spacing w:after="0"/>
              <w:rPr>
                <w:sz w:val="20"/>
                <w:szCs w:val="20"/>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2,080</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21.9</w:t>
            </w:r>
          </w:p>
        </w:tc>
        <w:tc>
          <w:tcPr>
            <w:tcW w:w="340" w:type="dxa"/>
            <w:vAlign w:val="bottom"/>
          </w:tcPr>
          <w:p>
            <w:pPr>
              <w:spacing w:after="0"/>
              <w:rPr>
                <w:sz w:val="20"/>
                <w:szCs w:val="20"/>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5,182</w:t>
            </w:r>
          </w:p>
        </w:tc>
        <w:tc>
          <w:tcPr>
            <w:tcW w:w="400" w:type="dxa"/>
            <w:vAlign w:val="bottom"/>
          </w:tcPr>
          <w:p>
            <w:pPr>
              <w:spacing w:after="0"/>
              <w:rPr>
                <w:sz w:val="20"/>
                <w:szCs w:val="20"/>
                <w:color w:val="auto"/>
              </w:rPr>
            </w:pPr>
          </w:p>
        </w:tc>
        <w:tc>
          <w:tcPr>
            <w:tcW w:w="1120" w:type="dxa"/>
            <w:vAlign w:val="bottom"/>
          </w:tcPr>
          <w:p>
            <w:pPr>
              <w:jc w:val="right"/>
              <w:ind w:right="251"/>
              <w:spacing w:after="0"/>
              <w:rPr>
                <w:sz w:val="20"/>
                <w:szCs w:val="20"/>
                <w:color w:val="auto"/>
              </w:rPr>
            </w:pPr>
            <w:r>
              <w:rPr>
                <w:rFonts w:ascii="Arial" w:cs="Arial" w:eastAsia="Arial" w:hAnsi="Arial"/>
                <w:sz w:val="18"/>
                <w:szCs w:val="18"/>
                <w:color w:val="auto"/>
              </w:rPr>
              <w:t>4,304</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20.4</w:t>
            </w:r>
          </w:p>
        </w:tc>
      </w:tr>
      <w:tr>
        <w:trPr>
          <w:trHeight w:val="256"/>
        </w:trPr>
        <w:tc>
          <w:tcPr>
            <w:tcW w:w="3220" w:type="dxa"/>
            <w:vAlign w:val="bottom"/>
          </w:tcPr>
          <w:p>
            <w:pPr>
              <w:ind w:left="40"/>
              <w:spacing w:after="0"/>
              <w:rPr>
                <w:sz w:val="20"/>
                <w:szCs w:val="20"/>
                <w:color w:val="auto"/>
              </w:rPr>
            </w:pPr>
            <w:r>
              <w:rPr>
                <w:rFonts w:ascii="Arial" w:cs="Arial" w:eastAsia="Arial" w:hAnsi="Arial"/>
                <w:sz w:val="18"/>
                <w:szCs w:val="18"/>
                <w:color w:val="auto"/>
              </w:rPr>
              <w:t>Net (income) loss attributable to</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16"/>
        </w:trPr>
        <w:tc>
          <w:tcPr>
            <w:tcW w:w="3220" w:type="dxa"/>
            <w:vAlign w:val="bottom"/>
          </w:tcPr>
          <w:p>
            <w:pPr>
              <w:ind w:left="200"/>
              <w:spacing w:after="0"/>
              <w:rPr>
                <w:sz w:val="20"/>
                <w:szCs w:val="20"/>
                <w:color w:val="auto"/>
              </w:rPr>
            </w:pPr>
            <w:r>
              <w:rPr>
                <w:rFonts w:ascii="Arial" w:cs="Arial" w:eastAsia="Arial" w:hAnsi="Arial"/>
                <w:sz w:val="18"/>
                <w:szCs w:val="18"/>
                <w:color w:val="auto"/>
                <w:w w:val="93"/>
              </w:rPr>
              <w:t>noncontrolling interests and redeemable</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3220" w:type="dxa"/>
            <w:vAlign w:val="bottom"/>
          </w:tcPr>
          <w:p>
            <w:pPr>
              <w:ind w:left="200"/>
              <w:spacing w:after="0"/>
              <w:rPr>
                <w:sz w:val="20"/>
                <w:szCs w:val="20"/>
                <w:color w:val="auto"/>
              </w:rPr>
            </w:pPr>
            <w:r>
              <w:rPr>
                <w:rFonts w:ascii="Arial" w:cs="Arial" w:eastAsia="Arial" w:hAnsi="Arial"/>
                <w:sz w:val="18"/>
                <w:szCs w:val="18"/>
                <w:color w:val="auto"/>
              </w:rPr>
              <w:t>subsidiary preferred stock</w:t>
            </w:r>
          </w:p>
        </w:tc>
        <w:tc>
          <w:tcPr>
            <w:tcW w:w="30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0"/>
                <w:szCs w:val="20"/>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(52)</w:t>
            </w:r>
          </w:p>
        </w:tc>
        <w:tc>
          <w:tcPr>
            <w:tcW w:w="1320" w:type="dxa"/>
            <w:vAlign w:val="bottom"/>
          </w:tcPr>
          <w:p>
            <w:pPr>
              <w:jc w:val="right"/>
              <w:ind w:right="172"/>
              <w:spacing w:after="0"/>
              <w:rPr>
                <w:sz w:val="20"/>
                <w:szCs w:val="20"/>
                <w:color w:val="auto"/>
              </w:rPr>
            </w:pPr>
            <w:r>
              <w:rPr>
                <w:rFonts w:ascii="Arial" w:cs="Arial" w:eastAsia="Arial" w:hAnsi="Arial"/>
                <w:sz w:val="18"/>
                <w:szCs w:val="18"/>
                <w:color w:val="auto"/>
              </w:rPr>
              <w:t>(58.7)</w:t>
            </w:r>
          </w:p>
        </w:tc>
        <w:tc>
          <w:tcPr>
            <w:tcW w:w="34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0"/>
                <w:szCs w:val="20"/>
                <w:color w:val="auto"/>
              </w:rPr>
            </w:pPr>
          </w:p>
        </w:tc>
        <w:tc>
          <w:tcPr>
            <w:tcW w:w="1120" w:type="dxa"/>
            <w:vAlign w:val="bottom"/>
          </w:tcPr>
          <w:p>
            <w:pPr>
              <w:jc w:val="right"/>
              <w:ind w:right="191"/>
              <w:spacing w:after="0"/>
              <w:rPr>
                <w:sz w:val="20"/>
                <w:szCs w:val="20"/>
                <w:color w:val="auto"/>
              </w:rPr>
            </w:pPr>
            <w:r>
              <w:rPr>
                <w:rFonts w:ascii="Arial" w:cs="Arial" w:eastAsia="Arial" w:hAnsi="Arial"/>
                <w:sz w:val="18"/>
                <w:szCs w:val="18"/>
                <w:color w:val="auto"/>
              </w:rPr>
              <w:t>(142)</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(27.9)</w:t>
            </w:r>
          </w:p>
        </w:tc>
      </w:tr>
      <w:tr>
        <w:trPr>
          <w:trHeight w:val="27"/>
        </w:trPr>
        <w:tc>
          <w:tcPr>
            <w:tcW w:w="3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322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Comcast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3220" w:type="dxa"/>
            <w:vAlign w:val="bottom"/>
          </w:tcPr>
          <w:p>
            <w:pPr>
              <w:ind w:left="200"/>
              <w:spacing w:after="0"/>
              <w:rPr>
                <w:sz w:val="20"/>
                <w:szCs w:val="20"/>
                <w:color w:val="auto"/>
              </w:rPr>
            </w:pPr>
            <w:r>
              <w:rPr>
                <w:rFonts w:ascii="Arial" w:cs="Arial" w:eastAsia="Arial" w:hAnsi="Arial"/>
                <w:sz w:val="18"/>
                <w:szCs w:val="18"/>
                <w:b w:val="1"/>
                <w:bCs w:val="1"/>
                <w:color w:val="auto"/>
              </w:rPr>
              <w:t>Corporation</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73"/>
              <w:spacing w:after="0"/>
              <w:rPr>
                <w:sz w:val="20"/>
                <w:szCs w:val="20"/>
                <w:color w:val="auto"/>
              </w:rPr>
            </w:pPr>
            <w:r>
              <w:rPr>
                <w:rFonts w:ascii="Arial" w:cs="Arial" w:eastAsia="Arial" w:hAnsi="Arial"/>
                <w:sz w:val="18"/>
                <w:szCs w:val="18"/>
                <w:b w:val="1"/>
                <w:bCs w:val="1"/>
                <w:color w:val="auto"/>
              </w:rPr>
              <w:t>2,513</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31"/>
              <w:spacing w:after="0"/>
              <w:rPr>
                <w:sz w:val="20"/>
                <w:szCs w:val="20"/>
                <w:color w:val="auto"/>
              </w:rPr>
            </w:pPr>
            <w:r>
              <w:rPr>
                <w:rFonts w:ascii="Arial" w:cs="Arial" w:eastAsia="Arial" w:hAnsi="Arial"/>
                <w:sz w:val="18"/>
                <w:szCs w:val="18"/>
                <w:b w:val="1"/>
                <w:bCs w:val="1"/>
                <w:color w:val="auto"/>
              </w:rPr>
              <w:t>2,028</w:t>
            </w:r>
          </w:p>
        </w:tc>
        <w:tc>
          <w:tcPr>
            <w:tcW w:w="1320" w:type="dxa"/>
            <w:vAlign w:val="bottom"/>
          </w:tcPr>
          <w:p>
            <w:pPr>
              <w:jc w:val="right"/>
              <w:ind w:right="12"/>
              <w:spacing w:after="0"/>
              <w:rPr>
                <w:sz w:val="20"/>
                <w:szCs w:val="20"/>
                <w:color w:val="auto"/>
              </w:rPr>
            </w:pPr>
            <w:r>
              <w:rPr>
                <w:rFonts w:ascii="Arial" w:cs="Arial" w:eastAsia="Arial" w:hAnsi="Arial"/>
                <w:sz w:val="18"/>
                <w:szCs w:val="18"/>
                <w:b w:val="1"/>
                <w:bCs w:val="1"/>
                <w:color w:val="auto"/>
              </w:rPr>
              <w:t>23.9 %</w:t>
            </w:r>
          </w:p>
        </w:tc>
        <w:tc>
          <w:tcPr>
            <w:tcW w:w="3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3"/>
              <w:spacing w:after="0"/>
              <w:rPr>
                <w:sz w:val="20"/>
                <w:szCs w:val="20"/>
                <w:color w:val="auto"/>
              </w:rPr>
            </w:pPr>
            <w:r>
              <w:rPr>
                <w:rFonts w:ascii="Arial" w:cs="Arial" w:eastAsia="Arial" w:hAnsi="Arial"/>
                <w:sz w:val="18"/>
                <w:szCs w:val="18"/>
                <w:b w:val="1"/>
                <w:bCs w:val="1"/>
                <w:color w:val="auto"/>
              </w:rPr>
              <w:t>5,079</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51"/>
              <w:spacing w:after="0"/>
              <w:rPr>
                <w:sz w:val="20"/>
                <w:szCs w:val="20"/>
                <w:color w:val="auto"/>
              </w:rPr>
            </w:pPr>
            <w:r>
              <w:rPr>
                <w:rFonts w:ascii="Arial" w:cs="Arial" w:eastAsia="Arial" w:hAnsi="Arial"/>
                <w:sz w:val="18"/>
                <w:szCs w:val="18"/>
                <w:b w:val="1"/>
                <w:bCs w:val="1"/>
                <w:color w:val="auto"/>
              </w:rPr>
              <w:t>4,162</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 of our reportable business segments accounted for the increases in consolidated revenue for the three and six months ended June 30, 2017.</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for our segments is discussed separately below under the heading “Segment Operating Results.” Revenue for our other businesses is discussed separately below under the heading “Corporate and Other Results of Operations.”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Costs and Expenses</w:t>
      </w:r>
    </w:p>
    <w:p>
      <w:pPr>
        <w:spacing w:after="0" w:line="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Cable Communications, Broadcast Television, Filmed Entertainment and Theme Parks segments accounted for substantially all of the increases in consolidated operating costs and expenses for the three and six months ended June 30, 2017.</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Operating costs and expenses for our segments are discussed separately below under the heading “Segment Operating Results.” Operating costs and expenses for our corporate and other businesses and initiatives are discussed separately below under the heading “Corporate and Other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Depreciation and Amortization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20" w:type="dxa"/>
            <w:vAlign w:val="bottom"/>
            <w:gridSpan w:val="3"/>
          </w:tcPr>
          <w:p>
            <w:pPr>
              <w:jc w:val="right"/>
              <w:ind w:right="874"/>
              <w:spacing w:after="0"/>
              <w:rPr>
                <w:sz w:val="20"/>
                <w:szCs w:val="20"/>
                <w:color w:val="auto"/>
              </w:rPr>
            </w:pPr>
            <w:r>
              <w:rPr>
                <w:rFonts w:ascii="Arial" w:cs="Arial" w:eastAsia="Arial" w:hAnsi="Arial"/>
                <w:sz w:val="14"/>
                <w:szCs w:val="14"/>
                <w:color w:val="auto"/>
              </w:rPr>
              <w:t>Three Months Ended</w:t>
            </w:r>
          </w:p>
        </w:tc>
        <w:tc>
          <w:tcPr>
            <w:tcW w:w="1460" w:type="dxa"/>
            <w:vAlign w:val="bottom"/>
          </w:tcPr>
          <w:p>
            <w:pPr>
              <w:jc w:val="right"/>
              <w:ind w:right="456"/>
              <w:spacing w:after="0"/>
              <w:rPr>
                <w:sz w:val="20"/>
                <w:szCs w:val="20"/>
                <w:color w:val="auto"/>
              </w:rPr>
            </w:pPr>
            <w:r>
              <w:rPr>
                <w:rFonts w:ascii="Arial" w:cs="Arial" w:eastAsia="Arial" w:hAnsi="Arial"/>
                <w:sz w:val="14"/>
                <w:szCs w:val="14"/>
                <w:color w:val="auto"/>
              </w:rPr>
              <w:t>Increase/</w:t>
            </w:r>
          </w:p>
        </w:tc>
        <w:tc>
          <w:tcPr>
            <w:tcW w:w="40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1020" w:type="dxa"/>
            <w:vAlign w:val="bottom"/>
          </w:tcPr>
          <w:p>
            <w:pPr>
              <w:spacing w:after="0"/>
              <w:rPr>
                <w:sz w:val="14"/>
                <w:szCs w:val="14"/>
                <w:color w:val="auto"/>
              </w:rPr>
            </w:pPr>
          </w:p>
        </w:tc>
        <w:tc>
          <w:tcPr>
            <w:tcW w:w="1360" w:type="dxa"/>
            <w:vAlign w:val="bottom"/>
          </w:tcPr>
          <w:p>
            <w:pPr>
              <w:jc w:val="right"/>
              <w:ind w:right="336"/>
              <w:spacing w:after="0"/>
              <w:rPr>
                <w:sz w:val="20"/>
                <w:szCs w:val="20"/>
                <w:color w:val="auto"/>
              </w:rPr>
            </w:pPr>
            <w:r>
              <w:rPr>
                <w:rFonts w:ascii="Arial" w:cs="Arial" w:eastAsia="Arial" w:hAnsi="Arial"/>
                <w:sz w:val="14"/>
                <w:szCs w:val="14"/>
                <w:color w:val="auto"/>
              </w:rPr>
              <w:t>Increase/</w:t>
            </w:r>
          </w:p>
        </w:tc>
      </w:tr>
      <w:tr>
        <w:trPr>
          <w:trHeight w:val="188"/>
        </w:trPr>
        <w:tc>
          <w:tcPr>
            <w:tcW w:w="2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w w:val="88"/>
              </w:rPr>
              <w:t>June 30</w:t>
            </w:r>
          </w:p>
        </w:tc>
        <w:tc>
          <w:tcPr>
            <w:tcW w:w="1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(Decrease)</w:t>
            </w: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w w:val="88"/>
              </w:rPr>
              <w:t>June 30</w:t>
            </w:r>
          </w:p>
        </w:tc>
        <w:tc>
          <w:tcPr>
            <w:tcW w:w="10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(Decrease)</w:t>
            </w:r>
          </w:p>
        </w:tc>
      </w:tr>
      <w:tr>
        <w:trPr>
          <w:trHeight w:val="264"/>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2017</w:t>
            </w:r>
          </w:p>
        </w:tc>
        <w:tc>
          <w:tcPr>
            <w:tcW w:w="6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2016</w:t>
            </w:r>
          </w:p>
        </w:tc>
        <w:tc>
          <w:tcPr>
            <w:tcW w:w="14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2017</w:t>
            </w:r>
          </w:p>
        </w:tc>
        <w:tc>
          <w:tcPr>
            <w:tcW w:w="7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w w:val="89"/>
              </w:rPr>
              <w:t>2016</w:t>
            </w:r>
          </w:p>
        </w:tc>
        <w:tc>
          <w:tcPr>
            <w:tcW w:w="1360" w:type="dxa"/>
            <w:vAlign w:val="bottom"/>
            <w:tcBorders>
              <w:bottom w:val="single" w:sz="8" w:color="auto"/>
            </w:tcBorders>
          </w:tcPr>
          <w:p>
            <w:pPr>
              <w:spacing w:after="0"/>
              <w:rPr>
                <w:sz w:val="22"/>
                <w:szCs w:val="22"/>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Cable Communications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2,001</w:t>
            </w:r>
          </w:p>
        </w:tc>
        <w:tc>
          <w:tcPr>
            <w:tcW w:w="6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74"/>
              <w:spacing w:after="0"/>
              <w:rPr>
                <w:sz w:val="20"/>
                <w:szCs w:val="20"/>
                <w:color w:val="auto"/>
              </w:rPr>
            </w:pPr>
            <w:r>
              <w:rPr>
                <w:rFonts w:ascii="Arial" w:cs="Arial" w:eastAsia="Arial" w:hAnsi="Arial"/>
                <w:sz w:val="18"/>
                <w:szCs w:val="18"/>
                <w:color w:val="auto"/>
              </w:rPr>
              <w:t>1,904</w:t>
            </w:r>
          </w:p>
        </w:tc>
        <w:tc>
          <w:tcPr>
            <w:tcW w:w="1460" w:type="dxa"/>
            <w:vAlign w:val="bottom"/>
          </w:tcPr>
          <w:p>
            <w:pPr>
              <w:jc w:val="right"/>
              <w:ind w:right="96"/>
              <w:spacing w:after="0"/>
              <w:rPr>
                <w:sz w:val="20"/>
                <w:szCs w:val="20"/>
                <w:color w:val="auto"/>
              </w:rPr>
            </w:pPr>
            <w:r>
              <w:rPr>
                <w:rFonts w:ascii="Arial" w:cs="Arial" w:eastAsia="Arial" w:hAnsi="Arial"/>
                <w:sz w:val="18"/>
                <w:szCs w:val="18"/>
                <w:color w:val="auto"/>
              </w:rPr>
              <w:t>5.1 %</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3,981</w:t>
            </w:r>
          </w:p>
        </w:tc>
        <w:tc>
          <w:tcPr>
            <w:tcW w:w="78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4"/>
              <w:spacing w:after="0"/>
              <w:rPr>
                <w:sz w:val="20"/>
                <w:szCs w:val="20"/>
                <w:color w:val="auto"/>
              </w:rPr>
            </w:pPr>
            <w:r>
              <w:rPr>
                <w:rFonts w:ascii="Arial" w:cs="Arial" w:eastAsia="Arial" w:hAnsi="Arial"/>
                <w:sz w:val="18"/>
                <w:szCs w:val="18"/>
                <w:color w:val="auto"/>
              </w:rPr>
              <w:t>3,747</w:t>
            </w:r>
          </w:p>
        </w:tc>
        <w:tc>
          <w:tcPr>
            <w:tcW w:w="1360" w:type="dxa"/>
            <w:vAlign w:val="bottom"/>
          </w:tcPr>
          <w:p>
            <w:pPr>
              <w:jc w:val="right"/>
              <w:spacing w:after="0"/>
              <w:rPr>
                <w:sz w:val="20"/>
                <w:szCs w:val="20"/>
                <w:color w:val="auto"/>
              </w:rPr>
            </w:pPr>
            <w:r>
              <w:rPr>
                <w:rFonts w:ascii="Arial" w:cs="Arial" w:eastAsia="Arial" w:hAnsi="Arial"/>
                <w:sz w:val="18"/>
                <w:szCs w:val="18"/>
                <w:color w:val="auto"/>
              </w:rPr>
              <w:t>6.2 %</w:t>
            </w:r>
          </w:p>
        </w:tc>
      </w:tr>
      <w:tr>
        <w:trPr>
          <w:trHeight w:val="270"/>
        </w:trPr>
        <w:tc>
          <w:tcPr>
            <w:tcW w:w="2640" w:type="dxa"/>
            <w:vAlign w:val="bottom"/>
          </w:tcPr>
          <w:p>
            <w:pPr>
              <w:ind w:left="40"/>
              <w:spacing w:after="0"/>
              <w:rPr>
                <w:sz w:val="20"/>
                <w:szCs w:val="20"/>
                <w:color w:val="auto"/>
              </w:rPr>
            </w:pPr>
            <w:r>
              <w:rPr>
                <w:rFonts w:ascii="Arial" w:cs="Arial" w:eastAsia="Arial" w:hAnsi="Arial"/>
                <w:sz w:val="18"/>
                <w:szCs w:val="18"/>
                <w:color w:val="auto"/>
              </w:rPr>
              <w:t>NBCUniversal</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520</w:t>
            </w:r>
          </w:p>
        </w:tc>
        <w:tc>
          <w:tcPr>
            <w:tcW w:w="620" w:type="dxa"/>
            <w:vAlign w:val="bottom"/>
          </w:tcPr>
          <w:p>
            <w:pPr>
              <w:spacing w:after="0"/>
              <w:rPr>
                <w:sz w:val="23"/>
                <w:szCs w:val="23"/>
                <w:color w:val="auto"/>
              </w:rPr>
            </w:pPr>
          </w:p>
        </w:tc>
        <w:tc>
          <w:tcPr>
            <w:tcW w:w="1180" w:type="dxa"/>
            <w:vAlign w:val="bottom"/>
          </w:tcPr>
          <w:p>
            <w:pPr>
              <w:jc w:val="right"/>
              <w:ind w:right="274"/>
              <w:spacing w:after="0"/>
              <w:rPr>
                <w:sz w:val="20"/>
                <w:szCs w:val="20"/>
                <w:color w:val="auto"/>
              </w:rPr>
            </w:pPr>
            <w:r>
              <w:rPr>
                <w:rFonts w:ascii="Arial" w:cs="Arial" w:eastAsia="Arial" w:hAnsi="Arial"/>
                <w:sz w:val="18"/>
                <w:szCs w:val="18"/>
                <w:color w:val="auto"/>
              </w:rPr>
              <w:t>465</w:t>
            </w:r>
          </w:p>
        </w:tc>
        <w:tc>
          <w:tcPr>
            <w:tcW w:w="1460" w:type="dxa"/>
            <w:vAlign w:val="bottom"/>
          </w:tcPr>
          <w:p>
            <w:pPr>
              <w:jc w:val="right"/>
              <w:ind w:right="276"/>
              <w:spacing w:after="0"/>
              <w:rPr>
                <w:sz w:val="20"/>
                <w:szCs w:val="20"/>
                <w:color w:val="auto"/>
              </w:rPr>
            </w:pPr>
            <w:r>
              <w:rPr>
                <w:rFonts w:ascii="Arial" w:cs="Arial" w:eastAsia="Arial" w:hAnsi="Arial"/>
                <w:sz w:val="18"/>
                <w:szCs w:val="18"/>
                <w:color w:val="auto"/>
              </w:rPr>
              <w:t>11.9</w:t>
            </w: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1,028</w:t>
            </w:r>
          </w:p>
        </w:tc>
        <w:tc>
          <w:tcPr>
            <w:tcW w:w="780" w:type="dxa"/>
            <w:vAlign w:val="bottom"/>
          </w:tcPr>
          <w:p>
            <w:pPr>
              <w:spacing w:after="0"/>
              <w:rPr>
                <w:sz w:val="23"/>
                <w:szCs w:val="23"/>
                <w:color w:val="auto"/>
              </w:rPr>
            </w:pPr>
          </w:p>
        </w:tc>
        <w:tc>
          <w:tcPr>
            <w:tcW w:w="1020" w:type="dxa"/>
            <w:vAlign w:val="bottom"/>
          </w:tcPr>
          <w:p>
            <w:pPr>
              <w:jc w:val="right"/>
              <w:ind w:right="254"/>
              <w:spacing w:after="0"/>
              <w:rPr>
                <w:sz w:val="20"/>
                <w:szCs w:val="20"/>
                <w:color w:val="auto"/>
              </w:rPr>
            </w:pPr>
            <w:r>
              <w:rPr>
                <w:rFonts w:ascii="Arial" w:cs="Arial" w:eastAsia="Arial" w:hAnsi="Arial"/>
                <w:sz w:val="18"/>
                <w:szCs w:val="18"/>
                <w:color w:val="auto"/>
              </w:rPr>
              <w:t>879</w:t>
            </w:r>
          </w:p>
        </w:tc>
        <w:tc>
          <w:tcPr>
            <w:tcW w:w="1360" w:type="dxa"/>
            <w:vAlign w:val="bottom"/>
          </w:tcPr>
          <w:p>
            <w:pPr>
              <w:jc w:val="right"/>
              <w:ind w:right="176"/>
              <w:spacing w:after="0"/>
              <w:rPr>
                <w:sz w:val="20"/>
                <w:szCs w:val="20"/>
                <w:color w:val="auto"/>
              </w:rPr>
            </w:pPr>
            <w:r>
              <w:rPr>
                <w:rFonts w:ascii="Arial" w:cs="Arial" w:eastAsia="Arial" w:hAnsi="Arial"/>
                <w:sz w:val="18"/>
                <w:szCs w:val="18"/>
                <w:color w:val="auto"/>
              </w:rPr>
              <w:t>17.0</w:t>
            </w:r>
          </w:p>
        </w:tc>
      </w:tr>
      <w:tr>
        <w:trPr>
          <w:trHeight w:val="270"/>
        </w:trPr>
        <w:tc>
          <w:tcPr>
            <w:tcW w:w="264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23"/>
                <w:szCs w:val="23"/>
                <w:color w:val="auto"/>
              </w:rPr>
            </w:pPr>
          </w:p>
        </w:tc>
        <w:tc>
          <w:tcPr>
            <w:tcW w:w="1180" w:type="dxa"/>
            <w:vAlign w:val="bottom"/>
          </w:tcPr>
          <w:p>
            <w:pPr>
              <w:jc w:val="right"/>
              <w:ind w:right="274"/>
              <w:spacing w:after="0"/>
              <w:rPr>
                <w:sz w:val="20"/>
                <w:szCs w:val="20"/>
                <w:color w:val="auto"/>
              </w:rPr>
            </w:pPr>
            <w:r>
              <w:rPr>
                <w:rFonts w:ascii="Arial" w:cs="Arial" w:eastAsia="Arial" w:hAnsi="Arial"/>
                <w:sz w:val="18"/>
                <w:szCs w:val="18"/>
                <w:color w:val="auto"/>
              </w:rPr>
              <w:t>20</w:t>
            </w:r>
          </w:p>
        </w:tc>
        <w:tc>
          <w:tcPr>
            <w:tcW w:w="1460" w:type="dxa"/>
            <w:vAlign w:val="bottom"/>
          </w:tcPr>
          <w:p>
            <w:pPr>
              <w:jc w:val="right"/>
              <w:ind w:right="216"/>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780" w:type="dxa"/>
            <w:vAlign w:val="bottom"/>
          </w:tcPr>
          <w:p>
            <w:pPr>
              <w:spacing w:after="0"/>
              <w:rPr>
                <w:sz w:val="23"/>
                <w:szCs w:val="23"/>
                <w:color w:val="auto"/>
              </w:rPr>
            </w:pPr>
          </w:p>
        </w:tc>
        <w:tc>
          <w:tcPr>
            <w:tcW w:w="1020" w:type="dxa"/>
            <w:vAlign w:val="bottom"/>
          </w:tcPr>
          <w:p>
            <w:pPr>
              <w:jc w:val="right"/>
              <w:ind w:right="254"/>
              <w:spacing w:after="0"/>
              <w:rPr>
                <w:sz w:val="20"/>
                <w:szCs w:val="20"/>
                <w:color w:val="auto"/>
              </w:rPr>
            </w:pPr>
            <w:r>
              <w:rPr>
                <w:rFonts w:ascii="Arial" w:cs="Arial" w:eastAsia="Arial" w:hAnsi="Arial"/>
                <w:sz w:val="18"/>
                <w:szCs w:val="18"/>
                <w:color w:val="auto"/>
              </w:rPr>
              <w:t>41</w:t>
            </w:r>
          </w:p>
        </w:tc>
        <w:tc>
          <w:tcPr>
            <w:tcW w:w="1360" w:type="dxa"/>
            <w:vAlign w:val="bottom"/>
          </w:tcPr>
          <w:p>
            <w:pPr>
              <w:jc w:val="right"/>
              <w:ind w:right="116"/>
              <w:spacing w:after="0"/>
              <w:rPr>
                <w:sz w:val="20"/>
                <w:szCs w:val="20"/>
                <w:color w:val="auto"/>
              </w:rPr>
            </w:pPr>
            <w:r>
              <w:rPr>
                <w:rFonts w:ascii="Arial" w:cs="Arial" w:eastAsia="Arial" w:hAnsi="Arial"/>
                <w:sz w:val="18"/>
                <w:szCs w:val="18"/>
                <w:color w:val="auto"/>
              </w:rPr>
              <w:t>(18.6)</w:t>
            </w:r>
          </w:p>
        </w:tc>
      </w:tr>
      <w:tr>
        <w:trPr>
          <w:trHeight w:val="27"/>
        </w:trPr>
        <w:tc>
          <w:tcPr>
            <w:tcW w:w="2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2,541</w:t>
            </w:r>
          </w:p>
        </w:tc>
        <w:tc>
          <w:tcPr>
            <w:tcW w:w="620" w:type="dxa"/>
            <w:vAlign w:val="bottom"/>
          </w:tcPr>
          <w:p>
            <w:pPr>
              <w:jc w:val="right"/>
              <w:ind w:right="96"/>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274"/>
              <w:spacing w:after="0"/>
              <w:rPr>
                <w:sz w:val="20"/>
                <w:szCs w:val="20"/>
                <w:color w:val="auto"/>
              </w:rPr>
            </w:pPr>
            <w:r>
              <w:rPr>
                <w:rFonts w:ascii="Arial" w:cs="Arial" w:eastAsia="Arial" w:hAnsi="Arial"/>
                <w:sz w:val="18"/>
                <w:szCs w:val="18"/>
                <w:b w:val="1"/>
                <w:bCs w:val="1"/>
                <w:color w:val="auto"/>
              </w:rPr>
              <w:t>2,389</w:t>
            </w:r>
          </w:p>
        </w:tc>
        <w:tc>
          <w:tcPr>
            <w:tcW w:w="1460" w:type="dxa"/>
            <w:vAlign w:val="bottom"/>
          </w:tcPr>
          <w:p>
            <w:pPr>
              <w:jc w:val="right"/>
              <w:ind w:right="56"/>
              <w:spacing w:after="0"/>
              <w:rPr>
                <w:sz w:val="20"/>
                <w:szCs w:val="20"/>
                <w:color w:val="auto"/>
              </w:rPr>
            </w:pPr>
            <w:r>
              <w:rPr>
                <w:rFonts w:ascii="Arial" w:cs="Arial" w:eastAsia="Arial" w:hAnsi="Arial"/>
                <w:sz w:val="18"/>
                <w:szCs w:val="18"/>
                <w:b w:val="1"/>
                <w:bCs w:val="1"/>
                <w:color w:val="auto"/>
              </w:rPr>
              <w:t>6.4 %</w:t>
            </w: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5,043</w:t>
            </w:r>
          </w:p>
        </w:tc>
        <w:tc>
          <w:tcPr>
            <w:tcW w:w="780" w:type="dxa"/>
            <w:vAlign w:val="bottom"/>
          </w:tcPr>
          <w:p>
            <w:pPr>
              <w:jc w:val="right"/>
              <w:ind w:right="256"/>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254"/>
              <w:spacing w:after="0"/>
              <w:rPr>
                <w:sz w:val="20"/>
                <w:szCs w:val="20"/>
                <w:color w:val="auto"/>
              </w:rPr>
            </w:pPr>
            <w:r>
              <w:rPr>
                <w:rFonts w:ascii="Arial" w:cs="Arial" w:eastAsia="Arial" w:hAnsi="Arial"/>
                <w:sz w:val="18"/>
                <w:szCs w:val="18"/>
                <w:b w:val="1"/>
                <w:bCs w:val="1"/>
                <w:color w:val="auto"/>
              </w:rPr>
              <w:t>4,667</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8.1 %</w:t>
            </w:r>
          </w:p>
        </w:tc>
      </w:tr>
      <w:tr>
        <w:trPr>
          <w:trHeight w:val="34"/>
        </w:trPr>
        <w:tc>
          <w:tcPr>
            <w:tcW w:w="2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depreciation and amortization expense increased for the three and six months ended June 30, 2017 primarily due to increases in capital expenditures, as well as expenditures for software in our Cable Communications segment in recent years. We continue to invest to increase our network capacity and in customer premise equipment, primarily for our X1 platform, cloud DVR technology and wireless gateways. These assets generally have shorter estimated useful lives, which is also a contributor to our increase in depreciation expense for the three and six months ended June 30, 2017. NBCUniversal depreciation and amortization expense also increased for the three and six months ended June 30, 2017 due to our investments in new attractions in our Theme Parks segment.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75"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segment operating results are presented based on how we assess operating performance and internally report financial information. We use Adjusted EBITDA (formerly referred to as operating income before depreciation and amortization) as the measure of profit or loss for our operating segments. Adjusted EBITDA is defined as net income attributable to Comcast Corporation before net (income) loss attributable to noncontrolling interests and redeemable subsidiary preferred stock, income tax expense, other income (expense) items, net and depreciation and amortization, and excluding impairment charges related to fixed and intangible assets and gains or losses on the sale of long-lived assets, if any. Other income (expense) items, net include interest expense, investment income (loss), equity in net income (losses) of investees and other income (expense), net, as stated in our condensed consolidated statement of income. This measure eliminates the significant level of noncash depreciation and amortization expense that results from the capital-intensive nature of certain of our businesses and from intangible assets recognized in business combinations. Additionally, it is unaffected by our capital and tax structures and by our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We reconcile the aggregate amount of Adjusted EBITDA for our reportable segments to consolidated income before income taxes in the business segment footnote to our condensed consolidated financial statements (see Note 11 to Comcast’s condensed consolidated financial statements and Note 10 to NBCUniversal’s condensed consolidated financial statements). This measure should not be considered a substitute for operating income (loss), net income (loss), net income (loss) attributable to Comcast Corporation or NBCUniversal, net cash provided by operating activities, or other measures of performance or liquidity we have reported in accordance with generally accepted accounting principles in the United States.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be consistent with our current management reporting presentation, certain 2016 operating results were reclassified within the Cable Communications segment.</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 Results of Operations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tcPr>
          <w:p>
            <w:pPr>
              <w:jc w:val="right"/>
              <w:ind w:right="173"/>
              <w:spacing w:after="0"/>
              <w:rPr>
                <w:sz w:val="20"/>
                <w:szCs w:val="20"/>
                <w:color w:val="auto"/>
              </w:rPr>
            </w:pPr>
            <w:r>
              <w:rPr>
                <w:rFonts w:ascii="Arial" w:cs="Arial" w:eastAsia="Arial" w:hAnsi="Arial"/>
                <w:sz w:val="14"/>
                <w:szCs w:val="14"/>
                <w:color w:val="auto"/>
              </w:rPr>
              <w:t>Increase/</w:t>
            </w:r>
          </w:p>
        </w:tc>
        <w:tc>
          <w:tcPr>
            <w:tcW w:w="1060" w:type="dxa"/>
            <w:vAlign w:val="bottom"/>
          </w:tcPr>
          <w:p>
            <w:pPr>
              <w:spacing w:after="0"/>
              <w:rPr>
                <w:sz w:val="14"/>
                <w:szCs w:val="14"/>
                <w:color w:val="auto"/>
              </w:rPr>
            </w:pPr>
          </w:p>
        </w:tc>
      </w:tr>
      <w:tr>
        <w:trPr>
          <w:trHeight w:val="188"/>
        </w:trPr>
        <w:tc>
          <w:tcPr>
            <w:tcW w:w="5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(Decrease)</w:t>
            </w:r>
          </w:p>
        </w:tc>
        <w:tc>
          <w:tcPr>
            <w:tcW w:w="106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2017</w:t>
            </w:r>
          </w:p>
        </w:tc>
        <w:tc>
          <w:tcPr>
            <w:tcW w:w="6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w w:val="89"/>
              </w:rPr>
              <w:t>2016</w:t>
            </w:r>
          </w:p>
        </w:tc>
        <w:tc>
          <w:tcPr>
            <w:tcW w:w="5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253"/>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color w:val="auto"/>
              </w:rPr>
              <w:t>%</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5040" w:type="dxa"/>
            <w:vAlign w:val="bottom"/>
          </w:tcPr>
          <w:p>
            <w:pPr>
              <w:ind w:left="700"/>
              <w:spacing w:after="0"/>
              <w:rPr>
                <w:sz w:val="20"/>
                <w:szCs w:val="20"/>
                <w:color w:val="auto"/>
              </w:rPr>
            </w:pPr>
            <w:r>
              <w:rPr>
                <w:rFonts w:ascii="Arial" w:cs="Arial" w:eastAsia="Arial" w:hAnsi="Arial"/>
                <w:sz w:val="18"/>
                <w:szCs w:val="18"/>
                <w:color w:val="auto"/>
              </w:rPr>
              <w:t>Video</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5,797</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5,581</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216</w:t>
            </w:r>
          </w:p>
        </w:tc>
        <w:tc>
          <w:tcPr>
            <w:tcW w:w="106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70"/>
        </w:trPr>
        <w:tc>
          <w:tcPr>
            <w:tcW w:w="5040" w:type="dxa"/>
            <w:vAlign w:val="bottom"/>
          </w:tcPr>
          <w:p>
            <w:pPr>
              <w:ind w:left="700"/>
              <w:spacing w:after="0"/>
              <w:rPr>
                <w:sz w:val="20"/>
                <w:szCs w:val="20"/>
                <w:color w:val="auto"/>
              </w:rPr>
            </w:pPr>
            <w:r>
              <w:rPr>
                <w:rFonts w:ascii="Arial" w:cs="Arial" w:eastAsia="Arial" w:hAnsi="Arial"/>
                <w:sz w:val="18"/>
                <w:szCs w:val="18"/>
                <w:color w:val="auto"/>
              </w:rPr>
              <w:t>High-speed Internet</w:t>
            </w:r>
          </w:p>
        </w:tc>
        <w:tc>
          <w:tcPr>
            <w:tcW w:w="34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3,679</w:t>
            </w:r>
          </w:p>
        </w:tc>
        <w:tc>
          <w:tcPr>
            <w:tcW w:w="66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3,369</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310</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9.2</w:t>
            </w:r>
          </w:p>
        </w:tc>
      </w:tr>
      <w:tr>
        <w:trPr>
          <w:trHeight w:val="270"/>
        </w:trPr>
        <w:tc>
          <w:tcPr>
            <w:tcW w:w="5040" w:type="dxa"/>
            <w:vAlign w:val="bottom"/>
          </w:tcPr>
          <w:p>
            <w:pPr>
              <w:ind w:left="700"/>
              <w:spacing w:after="0"/>
              <w:rPr>
                <w:sz w:val="20"/>
                <w:szCs w:val="20"/>
                <w:color w:val="auto"/>
              </w:rPr>
            </w:pPr>
            <w:r>
              <w:rPr>
                <w:rFonts w:ascii="Arial" w:cs="Arial" w:eastAsia="Arial" w:hAnsi="Arial"/>
                <w:sz w:val="18"/>
                <w:szCs w:val="18"/>
                <w:color w:val="auto"/>
              </w:rPr>
              <w:t>Voice</w:t>
            </w:r>
          </w:p>
        </w:tc>
        <w:tc>
          <w:tcPr>
            <w:tcW w:w="34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856</w:t>
            </w:r>
          </w:p>
        </w:tc>
        <w:tc>
          <w:tcPr>
            <w:tcW w:w="66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893</w:t>
            </w:r>
          </w:p>
        </w:tc>
        <w:tc>
          <w:tcPr>
            <w:tcW w:w="500" w:type="dxa"/>
            <w:vAlign w:val="bottom"/>
          </w:tcPr>
          <w:p>
            <w:pPr>
              <w:spacing w:after="0"/>
              <w:rPr>
                <w:sz w:val="23"/>
                <w:szCs w:val="23"/>
                <w:color w:val="auto"/>
              </w:rPr>
            </w:pPr>
          </w:p>
        </w:tc>
        <w:tc>
          <w:tcPr>
            <w:tcW w:w="1700" w:type="dxa"/>
            <w:vAlign w:val="bottom"/>
          </w:tcPr>
          <w:p>
            <w:pPr>
              <w:jc w:val="right"/>
              <w:ind w:right="613"/>
              <w:spacing w:after="0"/>
              <w:rPr>
                <w:sz w:val="20"/>
                <w:szCs w:val="20"/>
                <w:color w:val="auto"/>
              </w:rPr>
            </w:pPr>
            <w:r>
              <w:rPr>
                <w:rFonts w:ascii="Arial" w:cs="Arial" w:eastAsia="Arial" w:hAnsi="Arial"/>
                <w:sz w:val="18"/>
                <w:szCs w:val="18"/>
                <w:color w:val="auto"/>
              </w:rPr>
              <w:t>(37)</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(4.1)</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Business services</w:t>
            </w:r>
          </w:p>
        </w:tc>
        <w:tc>
          <w:tcPr>
            <w:tcW w:w="34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1,531</w:t>
            </w:r>
          </w:p>
        </w:tc>
        <w:tc>
          <w:tcPr>
            <w:tcW w:w="66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1,360</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171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12.6</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574</w:t>
            </w:r>
          </w:p>
        </w:tc>
        <w:tc>
          <w:tcPr>
            <w:tcW w:w="66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586</w:t>
            </w:r>
          </w:p>
        </w:tc>
        <w:tc>
          <w:tcPr>
            <w:tcW w:w="500" w:type="dxa"/>
            <w:vAlign w:val="bottom"/>
          </w:tcPr>
          <w:p>
            <w:pPr>
              <w:spacing w:after="0"/>
              <w:rPr>
                <w:sz w:val="23"/>
                <w:szCs w:val="23"/>
                <w:color w:val="auto"/>
              </w:rPr>
            </w:pPr>
          </w:p>
        </w:tc>
        <w:tc>
          <w:tcPr>
            <w:tcW w:w="1700" w:type="dxa"/>
            <w:vAlign w:val="bottom"/>
          </w:tcPr>
          <w:p>
            <w:pPr>
              <w:jc w:val="right"/>
              <w:ind w:right="613"/>
              <w:spacing w:after="0"/>
              <w:rPr>
                <w:sz w:val="20"/>
                <w:szCs w:val="20"/>
                <w:color w:val="auto"/>
              </w:rPr>
            </w:pPr>
            <w:r>
              <w:rPr>
                <w:rFonts w:ascii="Arial" w:cs="Arial" w:eastAsia="Arial" w:hAnsi="Arial"/>
                <w:sz w:val="18"/>
                <w:szCs w:val="18"/>
                <w:color w:val="auto"/>
              </w:rPr>
              <w:t>(12)</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(2.1)</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685</w:t>
            </w:r>
          </w:p>
        </w:tc>
        <w:tc>
          <w:tcPr>
            <w:tcW w:w="66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655</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30</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5.0</w:t>
            </w:r>
          </w:p>
        </w:tc>
      </w:tr>
      <w:tr>
        <w:trPr>
          <w:trHeight w:val="27"/>
        </w:trPr>
        <w:tc>
          <w:tcPr>
            <w:tcW w:w="5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b w:val="1"/>
                <w:bCs w:val="1"/>
                <w:color w:val="auto"/>
              </w:rPr>
              <w:t>13,122</w:t>
            </w:r>
          </w:p>
        </w:tc>
        <w:tc>
          <w:tcPr>
            <w:tcW w:w="66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b w:val="1"/>
                <w:bCs w:val="1"/>
                <w:color w:val="auto"/>
              </w:rPr>
              <w:t>12,444</w:t>
            </w:r>
          </w:p>
        </w:tc>
        <w:tc>
          <w:tcPr>
            <w:tcW w:w="500" w:type="dxa"/>
            <w:vAlign w:val="bottom"/>
          </w:tcPr>
          <w:p>
            <w:pPr>
              <w:spacing w:after="0"/>
              <w:rPr>
                <w:sz w:val="20"/>
                <w:szCs w:val="20"/>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b w:val="1"/>
                <w:bCs w:val="1"/>
                <w:color w:val="auto"/>
              </w:rPr>
              <w:t>678</w:t>
            </w:r>
          </w:p>
        </w:tc>
        <w:tc>
          <w:tcPr>
            <w:tcW w:w="1060" w:type="dxa"/>
            <w:vAlign w:val="bottom"/>
          </w:tcPr>
          <w:p>
            <w:pPr>
              <w:jc w:val="right"/>
              <w:ind w:right="191"/>
              <w:spacing w:after="0"/>
              <w:rPr>
                <w:sz w:val="20"/>
                <w:szCs w:val="20"/>
                <w:color w:val="auto"/>
              </w:rPr>
            </w:pPr>
            <w:r>
              <w:rPr>
                <w:rFonts w:ascii="Arial" w:cs="Arial" w:eastAsia="Arial" w:hAnsi="Arial"/>
                <w:sz w:val="18"/>
                <w:szCs w:val="18"/>
                <w:b w:val="1"/>
                <w:bCs w:val="1"/>
                <w:color w:val="auto"/>
              </w:rPr>
              <w:t>5.5</w:t>
            </w:r>
          </w:p>
        </w:tc>
      </w:tr>
      <w:tr>
        <w:trPr>
          <w:trHeight w:val="270"/>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Programming</w:t>
            </w:r>
          </w:p>
        </w:tc>
        <w:tc>
          <w:tcPr>
            <w:tcW w:w="34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3,206</w:t>
            </w:r>
          </w:p>
        </w:tc>
        <w:tc>
          <w:tcPr>
            <w:tcW w:w="66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2,863</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343</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12.0</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Technical and product support</w:t>
            </w:r>
          </w:p>
        </w:tc>
        <w:tc>
          <w:tcPr>
            <w:tcW w:w="34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1,585</w:t>
            </w:r>
          </w:p>
        </w:tc>
        <w:tc>
          <w:tcPr>
            <w:tcW w:w="66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1,556</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29</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1.8</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Customer service</w:t>
            </w:r>
          </w:p>
        </w:tc>
        <w:tc>
          <w:tcPr>
            <w:tcW w:w="34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607</w:t>
            </w:r>
          </w:p>
        </w:tc>
        <w:tc>
          <w:tcPr>
            <w:tcW w:w="66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614</w:t>
            </w:r>
          </w:p>
        </w:tc>
        <w:tc>
          <w:tcPr>
            <w:tcW w:w="500" w:type="dxa"/>
            <w:vAlign w:val="bottom"/>
          </w:tcPr>
          <w:p>
            <w:pPr>
              <w:spacing w:after="0"/>
              <w:rPr>
                <w:sz w:val="23"/>
                <w:szCs w:val="23"/>
                <w:color w:val="auto"/>
              </w:rPr>
            </w:pPr>
          </w:p>
        </w:tc>
        <w:tc>
          <w:tcPr>
            <w:tcW w:w="1700" w:type="dxa"/>
            <w:vAlign w:val="bottom"/>
          </w:tcPr>
          <w:p>
            <w:pPr>
              <w:jc w:val="right"/>
              <w:ind w:right="613"/>
              <w:spacing w:after="0"/>
              <w:rPr>
                <w:sz w:val="20"/>
                <w:szCs w:val="20"/>
                <w:color w:val="auto"/>
              </w:rPr>
            </w:pPr>
            <w:r>
              <w:rPr>
                <w:rFonts w:ascii="Arial" w:cs="Arial" w:eastAsia="Arial" w:hAnsi="Arial"/>
                <w:sz w:val="18"/>
                <w:szCs w:val="18"/>
                <w:color w:val="auto"/>
              </w:rPr>
              <w:t>(7)</w:t>
            </w:r>
          </w:p>
        </w:tc>
        <w:tc>
          <w:tcPr>
            <w:tcW w:w="1060" w:type="dxa"/>
            <w:vAlign w:val="bottom"/>
          </w:tcPr>
          <w:p>
            <w:pPr>
              <w:jc w:val="right"/>
              <w:ind w:right="131"/>
              <w:spacing w:after="0"/>
              <w:rPr>
                <w:sz w:val="20"/>
                <w:szCs w:val="20"/>
                <w:color w:val="auto"/>
              </w:rPr>
            </w:pPr>
            <w:r>
              <w:rPr>
                <w:rFonts w:ascii="Arial" w:cs="Arial" w:eastAsia="Arial" w:hAnsi="Arial"/>
                <w:sz w:val="18"/>
                <w:szCs w:val="18"/>
                <w:color w:val="auto"/>
              </w:rPr>
              <w:t>(1.1)</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895</w:t>
            </w:r>
          </w:p>
        </w:tc>
        <w:tc>
          <w:tcPr>
            <w:tcW w:w="66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876</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19</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2.1</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Franchise and other regulatory fees</w:t>
            </w:r>
          </w:p>
        </w:tc>
        <w:tc>
          <w:tcPr>
            <w:tcW w:w="34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382</w:t>
            </w:r>
          </w:p>
        </w:tc>
        <w:tc>
          <w:tcPr>
            <w:tcW w:w="66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370</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12</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3.3</w:t>
            </w:r>
          </w:p>
        </w:tc>
      </w:tr>
      <w:tr>
        <w:trPr>
          <w:trHeight w:val="270"/>
        </w:trPr>
        <w:tc>
          <w:tcPr>
            <w:tcW w:w="504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1,127</w:t>
            </w:r>
          </w:p>
        </w:tc>
        <w:tc>
          <w:tcPr>
            <w:tcW w:w="660" w:type="dxa"/>
            <w:vAlign w:val="bottom"/>
          </w:tcPr>
          <w:p>
            <w:pPr>
              <w:spacing w:after="0"/>
              <w:rPr>
                <w:sz w:val="23"/>
                <w:szCs w:val="23"/>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1,117</w:t>
            </w:r>
          </w:p>
        </w:tc>
        <w:tc>
          <w:tcPr>
            <w:tcW w:w="500" w:type="dxa"/>
            <w:vAlign w:val="bottom"/>
          </w:tcPr>
          <w:p>
            <w:pPr>
              <w:spacing w:after="0"/>
              <w:rPr>
                <w:sz w:val="23"/>
                <w:szCs w:val="23"/>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1.0</w:t>
            </w:r>
          </w:p>
        </w:tc>
      </w:tr>
      <w:tr>
        <w:trPr>
          <w:trHeight w:val="27"/>
        </w:trPr>
        <w:tc>
          <w:tcPr>
            <w:tcW w:w="5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7,802</w:t>
            </w:r>
          </w:p>
        </w:tc>
        <w:tc>
          <w:tcPr>
            <w:tcW w:w="660" w:type="dxa"/>
            <w:vAlign w:val="bottom"/>
          </w:tcPr>
          <w:p>
            <w:pPr>
              <w:spacing w:after="0"/>
              <w:rPr>
                <w:sz w:val="20"/>
                <w:szCs w:val="20"/>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7,396</w:t>
            </w:r>
          </w:p>
        </w:tc>
        <w:tc>
          <w:tcPr>
            <w:tcW w:w="500" w:type="dxa"/>
            <w:vAlign w:val="bottom"/>
          </w:tcPr>
          <w:p>
            <w:pPr>
              <w:spacing w:after="0"/>
              <w:rPr>
                <w:sz w:val="20"/>
                <w:szCs w:val="20"/>
                <w:color w:val="auto"/>
              </w:rPr>
            </w:pPr>
          </w:p>
        </w:tc>
        <w:tc>
          <w:tcPr>
            <w:tcW w:w="1700" w:type="dxa"/>
            <w:vAlign w:val="bottom"/>
          </w:tcPr>
          <w:p>
            <w:pPr>
              <w:jc w:val="right"/>
              <w:ind w:right="673"/>
              <w:spacing w:after="0"/>
              <w:rPr>
                <w:sz w:val="20"/>
                <w:szCs w:val="20"/>
                <w:color w:val="auto"/>
              </w:rPr>
            </w:pPr>
            <w:r>
              <w:rPr>
                <w:rFonts w:ascii="Arial" w:cs="Arial" w:eastAsia="Arial" w:hAnsi="Arial"/>
                <w:sz w:val="18"/>
                <w:szCs w:val="18"/>
                <w:color w:val="auto"/>
              </w:rPr>
              <w:t>406</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5.5</w:t>
            </w:r>
          </w:p>
        </w:tc>
      </w:tr>
      <w:tr>
        <w:trPr>
          <w:trHeight w:val="27"/>
        </w:trPr>
        <w:tc>
          <w:tcPr>
            <w:tcW w:w="5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53"/>
              <w:spacing w:after="0"/>
              <w:rPr>
                <w:sz w:val="20"/>
                <w:szCs w:val="20"/>
                <w:color w:val="auto"/>
              </w:rPr>
            </w:pPr>
            <w:r>
              <w:rPr>
                <w:rFonts w:ascii="Arial" w:cs="Arial" w:eastAsia="Arial" w:hAnsi="Arial"/>
                <w:sz w:val="18"/>
                <w:szCs w:val="18"/>
                <w:b w:val="1"/>
                <w:bCs w:val="1"/>
                <w:color w:val="auto"/>
              </w:rPr>
              <w:t>5,320</w:t>
            </w:r>
          </w:p>
        </w:tc>
        <w:tc>
          <w:tcPr>
            <w:tcW w:w="6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1"/>
              <w:spacing w:after="0"/>
              <w:rPr>
                <w:sz w:val="20"/>
                <w:szCs w:val="20"/>
                <w:color w:val="auto"/>
              </w:rPr>
            </w:pPr>
            <w:r>
              <w:rPr>
                <w:rFonts w:ascii="Arial" w:cs="Arial" w:eastAsia="Arial" w:hAnsi="Arial"/>
                <w:sz w:val="18"/>
                <w:szCs w:val="18"/>
                <w:b w:val="1"/>
                <w:bCs w:val="1"/>
                <w:color w:val="auto"/>
              </w:rPr>
              <w:t>5,048</w:t>
            </w:r>
          </w:p>
        </w:tc>
        <w:tc>
          <w:tcPr>
            <w:tcW w:w="5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673"/>
              <w:spacing w:after="0"/>
              <w:rPr>
                <w:sz w:val="20"/>
                <w:szCs w:val="20"/>
                <w:color w:val="auto"/>
              </w:rPr>
            </w:pPr>
            <w:r>
              <w:rPr>
                <w:rFonts w:ascii="Arial" w:cs="Arial" w:eastAsia="Arial" w:hAnsi="Arial"/>
                <w:sz w:val="18"/>
                <w:szCs w:val="18"/>
                <w:b w:val="1"/>
                <w:bCs w:val="1"/>
                <w:color w:val="auto"/>
              </w:rPr>
              <w:t>272</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5.4 %</w:t>
            </w:r>
          </w:p>
        </w:tc>
      </w:tr>
      <w:tr>
        <w:trPr>
          <w:trHeight w:val="34"/>
        </w:trPr>
        <w:tc>
          <w:tcPr>
            <w:tcW w:w="5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959"/>
        </w:trPr>
        <w:tc>
          <w:tcPr>
            <w:tcW w:w="5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673"/>
              <w:spacing w:after="0"/>
              <w:rPr>
                <w:sz w:val="20"/>
                <w:szCs w:val="20"/>
                <w:color w:val="auto"/>
              </w:rPr>
            </w:pPr>
            <w:r>
              <w:rPr>
                <w:rFonts w:ascii="Arial" w:cs="Arial" w:eastAsia="Arial" w:hAnsi="Arial"/>
                <w:sz w:val="18"/>
                <w:szCs w:val="18"/>
                <w:color w:val="auto"/>
              </w:rPr>
              <w:t>28</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75"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3"/>
          </w:tcPr>
          <w:p>
            <w:pPr>
              <w:jc w:val="right"/>
              <w:ind w:right="172"/>
              <w:spacing w:after="0"/>
              <w:rPr>
                <w:sz w:val="20"/>
                <w:szCs w:val="20"/>
                <w:color w:val="auto"/>
              </w:rPr>
            </w:pPr>
            <w:r>
              <w:rPr>
                <w:rFonts w:ascii="Arial" w:cs="Arial" w:eastAsia="Arial" w:hAnsi="Arial"/>
                <w:sz w:val="14"/>
                <w:szCs w:val="14"/>
                <w:color w:val="auto"/>
              </w:rPr>
              <w:t>Six Months Ended</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60" w:type="dxa"/>
            <w:vAlign w:val="bottom"/>
            <w:gridSpan w:val="2"/>
          </w:tcPr>
          <w:p>
            <w:pPr>
              <w:jc w:val="right"/>
              <w:ind w:right="574"/>
              <w:spacing w:after="0"/>
              <w:rPr>
                <w:sz w:val="20"/>
                <w:szCs w:val="20"/>
                <w:color w:val="auto"/>
              </w:rPr>
            </w:pPr>
            <w:r>
              <w:rPr>
                <w:rFonts w:ascii="Arial" w:cs="Arial" w:eastAsia="Arial" w:hAnsi="Arial"/>
                <w:sz w:val="14"/>
                <w:szCs w:val="14"/>
                <w:color w:val="auto"/>
              </w:rPr>
              <w:t>Increase/</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8"/>
        </w:trPr>
        <w:tc>
          <w:tcPr>
            <w:tcW w:w="4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492"/>
              <w:spacing w:after="0"/>
              <w:rPr>
                <w:sz w:val="20"/>
                <w:szCs w:val="20"/>
                <w:color w:val="auto"/>
              </w:rPr>
            </w:pPr>
            <w:r>
              <w:rPr>
                <w:rFonts w:ascii="Arial" w:cs="Arial" w:eastAsia="Arial" w:hAnsi="Arial"/>
                <w:sz w:val="14"/>
                <w:szCs w:val="14"/>
                <w:color w:val="auto"/>
                <w:w w:val="96"/>
              </w:rPr>
              <w:t>June 30</w:t>
            </w:r>
          </w:p>
        </w:tc>
        <w:tc>
          <w:tcPr>
            <w:tcW w:w="6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tcPr>
          <w:p>
            <w:pPr>
              <w:jc w:val="right"/>
              <w:ind w:right="514"/>
              <w:spacing w:after="0"/>
              <w:rPr>
                <w:sz w:val="20"/>
                <w:szCs w:val="20"/>
                <w:color w:val="auto"/>
              </w:rPr>
            </w:pPr>
            <w:r>
              <w:rPr>
                <w:rFonts w:ascii="Arial" w:cs="Arial" w:eastAsia="Arial" w:hAnsi="Arial"/>
                <w:sz w:val="14"/>
                <w:szCs w:val="14"/>
                <w:color w:val="auto"/>
              </w:rPr>
              <w:t>(Decrease)</w:t>
            </w:r>
          </w:p>
        </w:tc>
        <w:tc>
          <w:tcPr>
            <w:tcW w:w="6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64"/>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5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color w:val="auto"/>
              </w:rPr>
              <w:t>2017</w:t>
            </w: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right"/>
              <w:ind w:right="412"/>
              <w:spacing w:after="0"/>
              <w:rPr>
                <w:sz w:val="20"/>
                <w:szCs w:val="20"/>
                <w:color w:val="auto"/>
              </w:rPr>
            </w:pPr>
            <w:r>
              <w:rPr>
                <w:rFonts w:ascii="Arial" w:cs="Arial" w:eastAsia="Arial" w:hAnsi="Arial"/>
                <w:sz w:val="14"/>
                <w:szCs w:val="14"/>
                <w:color w:val="auto"/>
              </w:rPr>
              <w:t>2016</w:t>
            </w: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0"/>
        </w:trPr>
        <w:tc>
          <w:tcPr>
            <w:tcW w:w="4540" w:type="dxa"/>
            <w:vAlign w:val="bottom"/>
          </w:tcPr>
          <w:p>
            <w:pPr>
              <w:ind w:left="380"/>
              <w:spacing w:after="0"/>
              <w:rPr>
                <w:sz w:val="20"/>
                <w:szCs w:val="20"/>
                <w:color w:val="auto"/>
              </w:rPr>
            </w:pPr>
            <w:r>
              <w:rPr>
                <w:rFonts w:ascii="Arial" w:cs="Arial" w:eastAsia="Arial" w:hAnsi="Arial"/>
                <w:sz w:val="18"/>
                <w:szCs w:val="18"/>
                <w:color w:val="auto"/>
              </w:rPr>
              <w:t>Residential:</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4540" w:type="dxa"/>
            <w:vAlign w:val="bottom"/>
          </w:tcPr>
          <w:p>
            <w:pPr>
              <w:ind w:left="720"/>
              <w:spacing w:after="0"/>
              <w:rPr>
                <w:sz w:val="20"/>
                <w:szCs w:val="20"/>
                <w:color w:val="auto"/>
              </w:rPr>
            </w:pPr>
            <w:r>
              <w:rPr>
                <w:rFonts w:ascii="Arial" w:cs="Arial" w:eastAsia="Arial" w:hAnsi="Arial"/>
                <w:sz w:val="18"/>
                <w:szCs w:val="18"/>
                <w:color w:val="auto"/>
              </w:rPr>
              <w:t>Video</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color w:val="auto"/>
              </w:rPr>
              <w:t>11,571</w:t>
            </w:r>
          </w:p>
        </w:tc>
        <w:tc>
          <w:tcPr>
            <w:tcW w:w="780" w:type="dxa"/>
            <w:vAlign w:val="bottom"/>
          </w:tcPr>
          <w:p>
            <w:pPr>
              <w:jc w:val="right"/>
              <w:ind w:right="55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11,119</w:t>
            </w:r>
          </w:p>
        </w:tc>
        <w:tc>
          <w:tcPr>
            <w:tcW w:w="660" w:type="dxa"/>
            <w:vAlign w:val="bottom"/>
          </w:tcPr>
          <w:p>
            <w:pPr>
              <w:jc w:val="right"/>
              <w:ind w:right="25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452</w:t>
            </w: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4.1 %</w:t>
            </w:r>
          </w:p>
        </w:tc>
        <w:tc>
          <w:tcPr>
            <w:tcW w:w="60" w:type="dxa"/>
            <w:vAlign w:val="bottom"/>
          </w:tcPr>
          <w:p>
            <w:pPr>
              <w:spacing w:after="0"/>
              <w:rPr>
                <w:sz w:val="23"/>
                <w:szCs w:val="23"/>
                <w:color w:val="auto"/>
              </w:rPr>
            </w:pPr>
          </w:p>
        </w:tc>
      </w:tr>
      <w:tr>
        <w:trPr>
          <w:trHeight w:val="270"/>
        </w:trPr>
        <w:tc>
          <w:tcPr>
            <w:tcW w:w="4540" w:type="dxa"/>
            <w:vAlign w:val="bottom"/>
          </w:tcPr>
          <w:p>
            <w:pPr>
              <w:ind w:left="720"/>
              <w:spacing w:after="0"/>
              <w:rPr>
                <w:sz w:val="20"/>
                <w:szCs w:val="20"/>
                <w:color w:val="auto"/>
              </w:rPr>
            </w:pPr>
            <w:r>
              <w:rPr>
                <w:rFonts w:ascii="Arial" w:cs="Arial" w:eastAsia="Arial" w:hAnsi="Arial"/>
                <w:sz w:val="18"/>
                <w:szCs w:val="18"/>
                <w:color w:val="auto"/>
              </w:rPr>
              <w:t>High-speed Internet</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color w:val="auto"/>
              </w:rPr>
              <w:t>7,285</w:t>
            </w:r>
          </w:p>
        </w:tc>
        <w:tc>
          <w:tcPr>
            <w:tcW w:w="7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6,644</w:t>
            </w:r>
          </w:p>
        </w:tc>
        <w:tc>
          <w:tcPr>
            <w:tcW w:w="66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641</w:t>
            </w:r>
          </w:p>
        </w:tc>
        <w:tc>
          <w:tcPr>
            <w:tcW w:w="1020" w:type="dxa"/>
            <w:vAlign w:val="bottom"/>
          </w:tcPr>
          <w:p>
            <w:pPr>
              <w:spacing w:after="0"/>
              <w:rPr>
                <w:sz w:val="23"/>
                <w:szCs w:val="23"/>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23"/>
                <w:szCs w:val="23"/>
                <w:color w:val="auto"/>
              </w:rPr>
            </w:pPr>
          </w:p>
        </w:tc>
      </w:tr>
      <w:tr>
        <w:trPr>
          <w:trHeight w:val="270"/>
        </w:trPr>
        <w:tc>
          <w:tcPr>
            <w:tcW w:w="4540" w:type="dxa"/>
            <w:vAlign w:val="bottom"/>
          </w:tcPr>
          <w:p>
            <w:pPr>
              <w:ind w:left="720"/>
              <w:spacing w:after="0"/>
              <w:rPr>
                <w:sz w:val="20"/>
                <w:szCs w:val="20"/>
                <w:color w:val="auto"/>
              </w:rPr>
            </w:pPr>
            <w:r>
              <w:rPr>
                <w:rFonts w:ascii="Arial" w:cs="Arial" w:eastAsia="Arial" w:hAnsi="Arial"/>
                <w:sz w:val="18"/>
                <w:szCs w:val="18"/>
                <w:color w:val="auto"/>
              </w:rPr>
              <w:t>Voice</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color w:val="auto"/>
              </w:rPr>
              <w:t>1,719</w:t>
            </w:r>
          </w:p>
        </w:tc>
        <w:tc>
          <w:tcPr>
            <w:tcW w:w="7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1,789</w:t>
            </w:r>
          </w:p>
        </w:tc>
        <w:tc>
          <w:tcPr>
            <w:tcW w:w="6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1020" w:type="dxa"/>
            <w:vAlign w:val="bottom"/>
          </w:tcPr>
          <w:p>
            <w:pPr>
              <w:spacing w:after="0"/>
              <w:rPr>
                <w:sz w:val="23"/>
                <w:szCs w:val="23"/>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23"/>
                <w:szCs w:val="23"/>
                <w:color w:val="auto"/>
              </w:rPr>
            </w:pPr>
          </w:p>
        </w:tc>
      </w:tr>
      <w:tr>
        <w:trPr>
          <w:trHeight w:val="270"/>
        </w:trPr>
        <w:tc>
          <w:tcPr>
            <w:tcW w:w="4540" w:type="dxa"/>
            <w:vAlign w:val="bottom"/>
          </w:tcPr>
          <w:p>
            <w:pPr>
              <w:ind w:left="380"/>
              <w:spacing w:after="0"/>
              <w:rPr>
                <w:sz w:val="20"/>
                <w:szCs w:val="20"/>
                <w:color w:val="auto"/>
              </w:rPr>
            </w:pPr>
            <w:r>
              <w:rPr>
                <w:rFonts w:ascii="Arial" w:cs="Arial" w:eastAsia="Arial" w:hAnsi="Arial"/>
                <w:sz w:val="18"/>
                <w:szCs w:val="18"/>
                <w:color w:val="auto"/>
              </w:rPr>
              <w:t>Business services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color w:val="auto"/>
              </w:rPr>
              <w:t>3,021</w:t>
            </w:r>
          </w:p>
        </w:tc>
        <w:tc>
          <w:tcPr>
            <w:tcW w:w="7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2,671</w:t>
            </w:r>
          </w:p>
        </w:tc>
        <w:tc>
          <w:tcPr>
            <w:tcW w:w="66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350</w:t>
            </w:r>
          </w:p>
        </w:tc>
        <w:tc>
          <w:tcPr>
            <w:tcW w:w="1020" w:type="dxa"/>
            <w:vAlign w:val="bottom"/>
          </w:tcPr>
          <w:p>
            <w:pPr>
              <w:spacing w:after="0"/>
              <w:rPr>
                <w:sz w:val="23"/>
                <w:szCs w:val="23"/>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23"/>
                <w:szCs w:val="23"/>
                <w:color w:val="auto"/>
              </w:rPr>
            </w:pPr>
          </w:p>
        </w:tc>
      </w:tr>
      <w:tr>
        <w:trPr>
          <w:trHeight w:val="270"/>
        </w:trPr>
        <w:tc>
          <w:tcPr>
            <w:tcW w:w="454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color w:val="auto"/>
              </w:rPr>
              <w:t>1,086</w:t>
            </w:r>
          </w:p>
        </w:tc>
        <w:tc>
          <w:tcPr>
            <w:tcW w:w="7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1,132</w:t>
            </w:r>
          </w:p>
        </w:tc>
        <w:tc>
          <w:tcPr>
            <w:tcW w:w="6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1020" w:type="dxa"/>
            <w:vAlign w:val="bottom"/>
          </w:tcPr>
          <w:p>
            <w:pPr>
              <w:spacing w:after="0"/>
              <w:rPr>
                <w:sz w:val="23"/>
                <w:szCs w:val="23"/>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3"/>
                <w:szCs w:val="23"/>
                <w:color w:val="auto"/>
              </w:rPr>
            </w:pPr>
          </w:p>
        </w:tc>
      </w:tr>
      <w:tr>
        <w:trPr>
          <w:trHeight w:val="270"/>
        </w:trPr>
        <w:tc>
          <w:tcPr>
            <w:tcW w:w="4540" w:type="dxa"/>
            <w:vAlign w:val="bottom"/>
          </w:tcPr>
          <w:p>
            <w:pPr>
              <w:ind w:left="38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color w:val="auto"/>
              </w:rPr>
              <w:t>1,352</w:t>
            </w:r>
          </w:p>
        </w:tc>
        <w:tc>
          <w:tcPr>
            <w:tcW w:w="7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1,293</w:t>
            </w:r>
          </w:p>
        </w:tc>
        <w:tc>
          <w:tcPr>
            <w:tcW w:w="66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59</w:t>
            </w:r>
          </w:p>
        </w:tc>
        <w:tc>
          <w:tcPr>
            <w:tcW w:w="1020" w:type="dxa"/>
            <w:vAlign w:val="bottom"/>
          </w:tcPr>
          <w:p>
            <w:pPr>
              <w:spacing w:after="0"/>
              <w:rPr>
                <w:sz w:val="23"/>
                <w:szCs w:val="23"/>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3"/>
                <w:szCs w:val="23"/>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b w:val="1"/>
                <w:bCs w:val="1"/>
                <w:color w:val="auto"/>
              </w:rPr>
              <w:t>26,034</w:t>
            </w:r>
          </w:p>
        </w:tc>
        <w:tc>
          <w:tcPr>
            <w:tcW w:w="7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24,648</w:t>
            </w:r>
          </w:p>
        </w:tc>
        <w:tc>
          <w:tcPr>
            <w:tcW w:w="66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1,386</w:t>
            </w:r>
          </w:p>
        </w:tc>
        <w:tc>
          <w:tcPr>
            <w:tcW w:w="1020" w:type="dxa"/>
            <w:vAlign w:val="bottom"/>
          </w:tcPr>
          <w:p>
            <w:pPr>
              <w:spacing w:after="0"/>
              <w:rPr>
                <w:sz w:val="20"/>
                <w:szCs w:val="20"/>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b w:val="1"/>
                <w:bCs w:val="1"/>
                <w:color w:val="auto"/>
              </w:rPr>
              <w:t>5.6</w:t>
            </w:r>
          </w:p>
        </w:tc>
        <w:tc>
          <w:tcPr>
            <w:tcW w:w="60" w:type="dxa"/>
            <w:vAlign w:val="bottom"/>
          </w:tcPr>
          <w:p>
            <w:pPr>
              <w:spacing w:after="0"/>
              <w:rPr>
                <w:sz w:val="20"/>
                <w:szCs w:val="20"/>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70"/>
        </w:trPr>
        <w:tc>
          <w:tcPr>
            <w:tcW w:w="4540" w:type="dxa"/>
            <w:vAlign w:val="bottom"/>
          </w:tcPr>
          <w:p>
            <w:pPr>
              <w:ind w:left="380"/>
              <w:spacing w:after="0"/>
              <w:rPr>
                <w:sz w:val="20"/>
                <w:szCs w:val="20"/>
                <w:color w:val="auto"/>
              </w:rPr>
            </w:pPr>
            <w:r>
              <w:rPr>
                <w:rFonts w:ascii="Arial" w:cs="Arial" w:eastAsia="Arial" w:hAnsi="Arial"/>
                <w:sz w:val="18"/>
                <w:szCs w:val="18"/>
                <w:color w:val="auto"/>
              </w:rPr>
              <w:t>Programming</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color w:val="auto"/>
              </w:rPr>
              <w:t>6,434</w:t>
            </w:r>
          </w:p>
        </w:tc>
        <w:tc>
          <w:tcPr>
            <w:tcW w:w="7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5,754</w:t>
            </w:r>
          </w:p>
        </w:tc>
        <w:tc>
          <w:tcPr>
            <w:tcW w:w="66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680</w:t>
            </w:r>
          </w:p>
        </w:tc>
        <w:tc>
          <w:tcPr>
            <w:tcW w:w="1020" w:type="dxa"/>
            <w:vAlign w:val="bottom"/>
          </w:tcPr>
          <w:p>
            <w:pPr>
              <w:spacing w:after="0"/>
              <w:rPr>
                <w:sz w:val="23"/>
                <w:szCs w:val="23"/>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23"/>
                <w:szCs w:val="23"/>
                <w:color w:val="auto"/>
              </w:rPr>
            </w:pPr>
          </w:p>
        </w:tc>
      </w:tr>
      <w:tr>
        <w:trPr>
          <w:trHeight w:val="270"/>
        </w:trPr>
        <w:tc>
          <w:tcPr>
            <w:tcW w:w="4540" w:type="dxa"/>
            <w:vAlign w:val="bottom"/>
          </w:tcPr>
          <w:p>
            <w:pPr>
              <w:ind w:left="380"/>
              <w:spacing w:after="0"/>
              <w:rPr>
                <w:sz w:val="20"/>
                <w:szCs w:val="20"/>
                <w:color w:val="auto"/>
              </w:rPr>
            </w:pPr>
            <w:r>
              <w:rPr>
                <w:rFonts w:ascii="Arial" w:cs="Arial" w:eastAsia="Arial" w:hAnsi="Arial"/>
                <w:sz w:val="18"/>
                <w:szCs w:val="18"/>
                <w:color w:val="auto"/>
              </w:rPr>
              <w:t>Technical and product support</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color w:val="auto"/>
              </w:rPr>
              <w:t>3,145</w:t>
            </w:r>
          </w:p>
        </w:tc>
        <w:tc>
          <w:tcPr>
            <w:tcW w:w="7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3,074</w:t>
            </w:r>
          </w:p>
        </w:tc>
        <w:tc>
          <w:tcPr>
            <w:tcW w:w="66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71</w:t>
            </w:r>
          </w:p>
        </w:tc>
        <w:tc>
          <w:tcPr>
            <w:tcW w:w="1020" w:type="dxa"/>
            <w:vAlign w:val="bottom"/>
          </w:tcPr>
          <w:p>
            <w:pPr>
              <w:spacing w:after="0"/>
              <w:rPr>
                <w:sz w:val="23"/>
                <w:szCs w:val="23"/>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3"/>
                <w:szCs w:val="23"/>
                <w:color w:val="auto"/>
              </w:rPr>
            </w:pPr>
          </w:p>
        </w:tc>
      </w:tr>
      <w:tr>
        <w:trPr>
          <w:trHeight w:val="270"/>
        </w:trPr>
        <w:tc>
          <w:tcPr>
            <w:tcW w:w="4540" w:type="dxa"/>
            <w:vAlign w:val="bottom"/>
          </w:tcPr>
          <w:p>
            <w:pPr>
              <w:ind w:left="380"/>
              <w:spacing w:after="0"/>
              <w:rPr>
                <w:sz w:val="20"/>
                <w:szCs w:val="20"/>
                <w:color w:val="auto"/>
              </w:rPr>
            </w:pPr>
            <w:r>
              <w:rPr>
                <w:rFonts w:ascii="Arial" w:cs="Arial" w:eastAsia="Arial" w:hAnsi="Arial"/>
                <w:sz w:val="18"/>
                <w:szCs w:val="18"/>
                <w:color w:val="auto"/>
              </w:rPr>
              <w:t>Customer service</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color w:val="auto"/>
              </w:rPr>
              <w:t>1,228</w:t>
            </w:r>
          </w:p>
        </w:tc>
        <w:tc>
          <w:tcPr>
            <w:tcW w:w="7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1,242</w:t>
            </w:r>
          </w:p>
        </w:tc>
        <w:tc>
          <w:tcPr>
            <w:tcW w:w="6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020" w:type="dxa"/>
            <w:vAlign w:val="bottom"/>
          </w:tcPr>
          <w:p>
            <w:pPr>
              <w:spacing w:after="0"/>
              <w:rPr>
                <w:sz w:val="23"/>
                <w:szCs w:val="23"/>
                <w:color w:val="auto"/>
              </w:rPr>
            </w:pPr>
          </w:p>
        </w:tc>
        <w:tc>
          <w:tcPr>
            <w:tcW w:w="660" w:type="dxa"/>
            <w:vAlign w:val="bottom"/>
          </w:tcPr>
          <w:p>
            <w:pPr>
              <w:jc w:val="right"/>
              <w:ind w:right="111"/>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3"/>
                <w:szCs w:val="23"/>
                <w:color w:val="auto"/>
              </w:rPr>
            </w:pPr>
          </w:p>
        </w:tc>
      </w:tr>
      <w:tr>
        <w:trPr>
          <w:trHeight w:val="270"/>
        </w:trPr>
        <w:tc>
          <w:tcPr>
            <w:tcW w:w="454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color w:val="auto"/>
              </w:rPr>
              <w:t>1,754</w:t>
            </w:r>
          </w:p>
        </w:tc>
        <w:tc>
          <w:tcPr>
            <w:tcW w:w="7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1,712</w:t>
            </w:r>
          </w:p>
        </w:tc>
        <w:tc>
          <w:tcPr>
            <w:tcW w:w="66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42</w:t>
            </w:r>
          </w:p>
        </w:tc>
        <w:tc>
          <w:tcPr>
            <w:tcW w:w="1020" w:type="dxa"/>
            <w:vAlign w:val="bottom"/>
          </w:tcPr>
          <w:p>
            <w:pPr>
              <w:spacing w:after="0"/>
              <w:rPr>
                <w:sz w:val="23"/>
                <w:szCs w:val="23"/>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3"/>
                <w:szCs w:val="23"/>
                <w:color w:val="auto"/>
              </w:rPr>
            </w:pPr>
          </w:p>
        </w:tc>
      </w:tr>
      <w:tr>
        <w:trPr>
          <w:trHeight w:val="270"/>
        </w:trPr>
        <w:tc>
          <w:tcPr>
            <w:tcW w:w="4540" w:type="dxa"/>
            <w:vAlign w:val="bottom"/>
          </w:tcPr>
          <w:p>
            <w:pPr>
              <w:ind w:left="380"/>
              <w:spacing w:after="0"/>
              <w:rPr>
                <w:sz w:val="20"/>
                <w:szCs w:val="20"/>
                <w:color w:val="auto"/>
              </w:rPr>
            </w:pPr>
            <w:r>
              <w:rPr>
                <w:rFonts w:ascii="Arial" w:cs="Arial" w:eastAsia="Arial" w:hAnsi="Arial"/>
                <w:sz w:val="18"/>
                <w:szCs w:val="18"/>
                <w:color w:val="auto"/>
              </w:rPr>
              <w:t>Franchise and other regulatory fees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color w:val="auto"/>
              </w:rPr>
              <w:t>763</w:t>
            </w:r>
          </w:p>
        </w:tc>
        <w:tc>
          <w:tcPr>
            <w:tcW w:w="7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735</w:t>
            </w:r>
          </w:p>
        </w:tc>
        <w:tc>
          <w:tcPr>
            <w:tcW w:w="66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28</w:t>
            </w:r>
          </w:p>
        </w:tc>
        <w:tc>
          <w:tcPr>
            <w:tcW w:w="1020" w:type="dxa"/>
            <w:vAlign w:val="bottom"/>
          </w:tcPr>
          <w:p>
            <w:pPr>
              <w:spacing w:after="0"/>
              <w:rPr>
                <w:sz w:val="23"/>
                <w:szCs w:val="23"/>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3"/>
                <w:szCs w:val="23"/>
                <w:color w:val="auto"/>
              </w:rPr>
            </w:pPr>
          </w:p>
        </w:tc>
      </w:tr>
      <w:tr>
        <w:trPr>
          <w:trHeight w:val="270"/>
        </w:trPr>
        <w:tc>
          <w:tcPr>
            <w:tcW w:w="4540" w:type="dxa"/>
            <w:vAlign w:val="bottom"/>
          </w:tcPr>
          <w:p>
            <w:pPr>
              <w:ind w:left="38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color w:val="auto"/>
              </w:rPr>
              <w:t>2,192</w:t>
            </w:r>
          </w:p>
        </w:tc>
        <w:tc>
          <w:tcPr>
            <w:tcW w:w="7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2,194</w:t>
            </w:r>
          </w:p>
        </w:tc>
        <w:tc>
          <w:tcPr>
            <w:tcW w:w="6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23"/>
                <w:szCs w:val="23"/>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color w:val="auto"/>
              </w:rPr>
              <w:t>15,516</w:t>
            </w:r>
          </w:p>
        </w:tc>
        <w:tc>
          <w:tcPr>
            <w:tcW w:w="7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14,711</w:t>
            </w:r>
          </w:p>
        </w:tc>
        <w:tc>
          <w:tcPr>
            <w:tcW w:w="66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805</w:t>
            </w:r>
          </w:p>
        </w:tc>
        <w:tc>
          <w:tcPr>
            <w:tcW w:w="1020" w:type="dxa"/>
            <w:vAlign w:val="bottom"/>
          </w:tcPr>
          <w:p>
            <w:pPr>
              <w:spacing w:after="0"/>
              <w:rPr>
                <w:sz w:val="20"/>
                <w:szCs w:val="20"/>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20"/>
                <w:szCs w:val="20"/>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8"/>
                <w:szCs w:val="18"/>
                <w:b w:val="1"/>
                <w:bCs w:val="1"/>
                <w:color w:val="auto"/>
              </w:rPr>
              <w:t>10,518</w:t>
            </w:r>
          </w:p>
        </w:tc>
        <w:tc>
          <w:tcPr>
            <w:tcW w:w="780" w:type="dxa"/>
            <w:vAlign w:val="bottom"/>
          </w:tcPr>
          <w:p>
            <w:pPr>
              <w:jc w:val="right"/>
              <w:ind w:right="552"/>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9,937</w:t>
            </w:r>
          </w:p>
        </w:tc>
        <w:tc>
          <w:tcPr>
            <w:tcW w:w="660" w:type="dxa"/>
            <w:vAlign w:val="bottom"/>
          </w:tcPr>
          <w:p>
            <w:pPr>
              <w:jc w:val="right"/>
              <w:ind w:right="251"/>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581</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5.8 %</w:t>
            </w:r>
          </w:p>
        </w:tc>
        <w:tc>
          <w:tcPr>
            <w:tcW w:w="60" w:type="dxa"/>
            <w:vAlign w:val="bottom"/>
          </w:tcPr>
          <w:p>
            <w:pPr>
              <w:spacing w:after="0"/>
              <w:rPr>
                <w:sz w:val="20"/>
                <w:szCs w:val="20"/>
                <w:color w:val="auto"/>
              </w:rPr>
            </w:pPr>
          </w:p>
        </w:tc>
      </w:tr>
      <w:tr>
        <w:trPr>
          <w:trHeight w:val="34"/>
        </w:trPr>
        <w:tc>
          <w:tcPr>
            <w:tcW w:w="4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324"/>
        </w:trPr>
        <w:tc>
          <w:tcPr>
            <w:tcW w:w="4540" w:type="dxa"/>
            <w:vAlign w:val="bottom"/>
          </w:tcPr>
          <w:p>
            <w:pPr>
              <w:spacing w:after="0"/>
              <w:rPr>
                <w:sz w:val="24"/>
                <w:szCs w:val="24"/>
                <w:color w:val="auto"/>
              </w:rPr>
            </w:pPr>
          </w:p>
        </w:tc>
        <w:tc>
          <w:tcPr>
            <w:tcW w:w="2040" w:type="dxa"/>
            <w:vAlign w:val="bottom"/>
            <w:gridSpan w:val="5"/>
          </w:tcPr>
          <w:p>
            <w:pPr>
              <w:jc w:val="right"/>
              <w:ind w:right="19"/>
              <w:spacing w:after="0"/>
              <w:rPr>
                <w:sz w:val="20"/>
                <w:szCs w:val="20"/>
                <w:color w:val="auto"/>
              </w:rPr>
            </w:pPr>
            <w:r>
              <w:rPr>
                <w:rFonts w:ascii="Arial" w:cs="Arial" w:eastAsia="Arial" w:hAnsi="Arial"/>
                <w:sz w:val="18"/>
                <w:szCs w:val="18"/>
                <w:b w:val="1"/>
                <w:bCs w:val="1"/>
                <w:color w:val="auto"/>
              </w:rPr>
              <w:t>Customer Metrics</w:t>
            </w: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2"/>
        </w:trPr>
        <w:tc>
          <w:tcPr>
            <w:tcW w:w="4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472"/>
              <w:spacing w:after="0"/>
              <w:rPr>
                <w:sz w:val="20"/>
                <w:szCs w:val="20"/>
                <w:color w:val="auto"/>
              </w:rPr>
            </w:pPr>
            <w:r>
              <w:rPr>
                <w:rFonts w:ascii="Arial" w:cs="Arial" w:eastAsia="Arial" w:hAnsi="Arial"/>
                <w:sz w:val="14"/>
                <w:szCs w:val="14"/>
                <w:color w:val="auto"/>
              </w:rPr>
              <w:t>Total Customers</w:t>
            </w:r>
          </w:p>
        </w:tc>
        <w:tc>
          <w:tcPr>
            <w:tcW w:w="6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right"/>
              <w:ind w:right="454"/>
              <w:spacing w:after="0"/>
              <w:rPr>
                <w:sz w:val="20"/>
                <w:szCs w:val="20"/>
                <w:color w:val="auto"/>
              </w:rPr>
            </w:pPr>
            <w:r>
              <w:rPr>
                <w:rFonts w:ascii="Arial" w:cs="Arial" w:eastAsia="Arial" w:hAnsi="Arial"/>
                <w:sz w:val="14"/>
                <w:szCs w:val="14"/>
                <w:color w:val="auto"/>
                <w:w w:val="94"/>
              </w:rPr>
              <w:t>Net Additional Customers</w:t>
            </w: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56"/>
        </w:trPr>
        <w:tc>
          <w:tcPr>
            <w:tcW w:w="4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320" w:type="dxa"/>
            <w:vAlign w:val="bottom"/>
            <w:gridSpan w:val="3"/>
          </w:tcPr>
          <w:p>
            <w:pPr>
              <w:jc w:val="right"/>
              <w:ind w:right="592"/>
              <w:spacing w:after="0" w:line="157" w:lineRule="exact"/>
              <w:rPr>
                <w:sz w:val="20"/>
                <w:szCs w:val="20"/>
                <w:color w:val="auto"/>
              </w:rPr>
            </w:pPr>
            <w:r>
              <w:rPr>
                <w:rFonts w:ascii="Arial" w:cs="Arial" w:eastAsia="Arial" w:hAnsi="Arial"/>
                <w:sz w:val="14"/>
                <w:szCs w:val="14"/>
                <w:color w:val="auto"/>
              </w:rPr>
              <w:t>Three Months Ended</w:t>
            </w:r>
          </w:p>
        </w:tc>
        <w:tc>
          <w:tcPr>
            <w:tcW w:w="1680" w:type="dxa"/>
            <w:vAlign w:val="bottom"/>
            <w:gridSpan w:val="2"/>
          </w:tcPr>
          <w:p>
            <w:pPr>
              <w:jc w:val="right"/>
              <w:ind w:right="311"/>
              <w:spacing w:after="0" w:line="157" w:lineRule="exact"/>
              <w:rPr>
                <w:sz w:val="20"/>
                <w:szCs w:val="20"/>
                <w:color w:val="auto"/>
              </w:rPr>
            </w:pPr>
            <w:r>
              <w:rPr>
                <w:rFonts w:ascii="Arial" w:cs="Arial" w:eastAsia="Arial" w:hAnsi="Arial"/>
                <w:sz w:val="14"/>
                <w:szCs w:val="14"/>
                <w:color w:val="auto"/>
              </w:rPr>
              <w:t>Six Months Ended</w:t>
            </w:r>
          </w:p>
        </w:tc>
        <w:tc>
          <w:tcPr>
            <w:tcW w:w="60" w:type="dxa"/>
            <w:vAlign w:val="bottom"/>
          </w:tcPr>
          <w:p>
            <w:pPr>
              <w:spacing w:after="0"/>
              <w:rPr>
                <w:sz w:val="13"/>
                <w:szCs w:val="13"/>
                <w:color w:val="auto"/>
              </w:rPr>
            </w:pPr>
          </w:p>
        </w:tc>
      </w:tr>
      <w:tr>
        <w:trPr>
          <w:trHeight w:val="188"/>
        </w:trPr>
        <w:tc>
          <w:tcPr>
            <w:tcW w:w="4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June 30</w:t>
            </w:r>
          </w:p>
        </w:tc>
        <w:tc>
          <w:tcPr>
            <w:tcW w:w="7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6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196"/>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customer amounts)</w:t>
            </w:r>
          </w:p>
        </w:tc>
        <w:tc>
          <w:tcPr>
            <w:tcW w:w="5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2017</w:t>
            </w: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2016</w:t>
            </w:r>
          </w:p>
        </w:tc>
        <w:tc>
          <w:tcPr>
            <w:tcW w:w="1280" w:type="dxa"/>
            <w:vAlign w:val="bottom"/>
            <w:tcBorders>
              <w:bottom w:val="single" w:sz="8" w:color="auto"/>
            </w:tcBorders>
            <w:gridSpan w:val="2"/>
          </w:tcPr>
          <w:p>
            <w:pPr>
              <w:jc w:val="right"/>
              <w:ind w:right="531"/>
              <w:spacing w:after="0"/>
              <w:rPr>
                <w:sz w:val="20"/>
                <w:szCs w:val="20"/>
                <w:color w:val="auto"/>
              </w:rPr>
            </w:pPr>
            <w:r>
              <w:rPr>
                <w:rFonts w:ascii="Arial" w:cs="Arial" w:eastAsia="Arial" w:hAnsi="Arial"/>
                <w:sz w:val="14"/>
                <w:szCs w:val="14"/>
                <w:color w:val="auto"/>
              </w:rPr>
              <w:t>2017</w:t>
            </w:r>
          </w:p>
        </w:tc>
        <w:tc>
          <w:tcPr>
            <w:tcW w:w="10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2016</w:t>
            </w:r>
          </w:p>
        </w:tc>
        <w:tc>
          <w:tcPr>
            <w:tcW w:w="10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2017</w:t>
            </w:r>
          </w:p>
        </w:tc>
        <w:tc>
          <w:tcPr>
            <w:tcW w:w="6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color w:val="auto"/>
              </w:rPr>
              <w:t>2016</w:t>
            </w:r>
          </w:p>
        </w:tc>
        <w:tc>
          <w:tcPr>
            <w:tcW w:w="60" w:type="dxa"/>
            <w:vAlign w:val="bottom"/>
            <w:tcBorders>
              <w:bottom w:val="single" w:sz="8" w:color="auto"/>
            </w:tcBorders>
          </w:tcPr>
          <w:p>
            <w:pPr>
              <w:spacing w:after="0"/>
              <w:rPr>
                <w:sz w:val="17"/>
                <w:szCs w:val="17"/>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Video</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0"/>
        </w:trPr>
        <w:tc>
          <w:tcPr>
            <w:tcW w:w="4540" w:type="dxa"/>
            <w:vAlign w:val="bottom"/>
          </w:tcPr>
          <w:p>
            <w:pPr>
              <w:ind w:left="200"/>
              <w:spacing w:after="0"/>
              <w:rPr>
                <w:sz w:val="20"/>
                <w:szCs w:val="20"/>
                <w:color w:val="auto"/>
              </w:rPr>
            </w:pPr>
            <w:r>
              <w:rPr>
                <w:rFonts w:ascii="Arial" w:cs="Arial" w:eastAsia="Arial" w:hAnsi="Arial"/>
                <w:sz w:val="18"/>
                <w:szCs w:val="18"/>
                <w:color w:val="auto"/>
              </w:rPr>
              <w:t>Video residential customers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21,475</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21,401</w:t>
            </w:r>
          </w:p>
        </w:tc>
        <w:tc>
          <w:tcPr>
            <w:tcW w:w="620" w:type="dxa"/>
            <w:vAlign w:val="bottom"/>
          </w:tcPr>
          <w:p>
            <w:pPr>
              <w:spacing w:after="0"/>
              <w:rPr>
                <w:sz w:val="23"/>
                <w:szCs w:val="23"/>
                <w:color w:val="auto"/>
              </w:rPr>
            </w:pPr>
          </w:p>
        </w:tc>
        <w:tc>
          <w:tcPr>
            <w:tcW w:w="660" w:type="dxa"/>
            <w:vAlign w:val="bottom"/>
          </w:tcPr>
          <w:p>
            <w:pPr>
              <w:jc w:val="right"/>
              <w:ind w:right="211"/>
              <w:spacing w:after="0"/>
              <w:rPr>
                <w:sz w:val="20"/>
                <w:szCs w:val="20"/>
                <w:color w:val="auto"/>
              </w:rPr>
            </w:pPr>
            <w:r>
              <w:rPr>
                <w:rFonts w:ascii="Arial" w:cs="Arial" w:eastAsia="Arial" w:hAnsi="Arial"/>
                <w:sz w:val="18"/>
                <w:szCs w:val="18"/>
                <w:color w:val="auto"/>
              </w:rPr>
              <w:t>(45)</w:t>
            </w: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(21)</w:t>
            </w:r>
          </w:p>
        </w:tc>
        <w:tc>
          <w:tcPr>
            <w:tcW w:w="1020" w:type="dxa"/>
            <w:vAlign w:val="bottom"/>
          </w:tcPr>
          <w:p>
            <w:pPr>
              <w:jc w:val="right"/>
              <w:ind w:right="254"/>
              <w:spacing w:after="0"/>
              <w:rPr>
                <w:sz w:val="20"/>
                <w:szCs w:val="20"/>
                <w:color w:val="auto"/>
              </w:rPr>
            </w:pPr>
            <w:r>
              <w:rPr>
                <w:rFonts w:ascii="Arial" w:cs="Arial" w:eastAsia="Arial" w:hAnsi="Arial"/>
                <w:sz w:val="18"/>
                <w:szCs w:val="18"/>
                <w:color w:val="auto"/>
              </w:rPr>
              <w:t>(13)</w:t>
            </w: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3"/>
                <w:szCs w:val="23"/>
                <w:color w:val="auto"/>
              </w:rPr>
            </w:pPr>
          </w:p>
        </w:tc>
      </w:tr>
      <w:tr>
        <w:trPr>
          <w:trHeight w:val="270"/>
        </w:trPr>
        <w:tc>
          <w:tcPr>
            <w:tcW w:w="4540" w:type="dxa"/>
            <w:vAlign w:val="bottom"/>
          </w:tcPr>
          <w:p>
            <w:pPr>
              <w:ind w:left="200"/>
              <w:spacing w:after="0"/>
              <w:rPr>
                <w:sz w:val="20"/>
                <w:szCs w:val="20"/>
                <w:color w:val="auto"/>
              </w:rPr>
            </w:pPr>
            <w:r>
              <w:rPr>
                <w:rFonts w:ascii="Arial" w:cs="Arial" w:eastAsia="Arial" w:hAnsi="Arial"/>
                <w:sz w:val="18"/>
                <w:szCs w:val="18"/>
                <w:color w:val="auto"/>
              </w:rPr>
              <w:t>Video business services customers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1,040</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994</w:t>
            </w:r>
          </w:p>
        </w:tc>
        <w:tc>
          <w:tcPr>
            <w:tcW w:w="620" w:type="dxa"/>
            <w:vAlign w:val="bottom"/>
          </w:tcPr>
          <w:p>
            <w:pPr>
              <w:spacing w:after="0"/>
              <w:rPr>
                <w:sz w:val="23"/>
                <w:szCs w:val="23"/>
                <w:color w:val="auto"/>
              </w:rPr>
            </w:pPr>
          </w:p>
        </w:tc>
        <w:tc>
          <w:tcPr>
            <w:tcW w:w="660" w:type="dxa"/>
            <w:vAlign w:val="bottom"/>
          </w:tcPr>
          <w:p>
            <w:pPr>
              <w:jc w:val="right"/>
              <w:ind w:right="271"/>
              <w:spacing w:after="0"/>
              <w:rPr>
                <w:sz w:val="20"/>
                <w:szCs w:val="20"/>
                <w:color w:val="auto"/>
              </w:rPr>
            </w:pPr>
            <w:r>
              <w:rPr>
                <w:rFonts w:ascii="Arial" w:cs="Arial" w:eastAsia="Arial" w:hAnsi="Arial"/>
                <w:sz w:val="18"/>
                <w:szCs w:val="18"/>
                <w:color w:val="auto"/>
              </w:rPr>
              <w:t>11</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17</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21</w:t>
            </w: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3"/>
                <w:szCs w:val="23"/>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Total video customers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22,516</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22,396</w:t>
            </w:r>
          </w:p>
        </w:tc>
        <w:tc>
          <w:tcPr>
            <w:tcW w:w="620" w:type="dxa"/>
            <w:vAlign w:val="bottom"/>
          </w:tcPr>
          <w:p>
            <w:pPr>
              <w:spacing w:after="0"/>
              <w:rPr>
                <w:sz w:val="23"/>
                <w:szCs w:val="23"/>
                <w:color w:val="auto"/>
              </w:rPr>
            </w:pPr>
          </w:p>
        </w:tc>
        <w:tc>
          <w:tcPr>
            <w:tcW w:w="660" w:type="dxa"/>
            <w:vAlign w:val="bottom"/>
          </w:tcPr>
          <w:p>
            <w:pPr>
              <w:jc w:val="right"/>
              <w:ind w:right="211"/>
              <w:spacing w:after="0"/>
              <w:rPr>
                <w:sz w:val="20"/>
                <w:szCs w:val="20"/>
                <w:color w:val="auto"/>
              </w:rPr>
            </w:pPr>
            <w:r>
              <w:rPr>
                <w:rFonts w:ascii="Arial" w:cs="Arial" w:eastAsia="Arial" w:hAnsi="Arial"/>
                <w:sz w:val="18"/>
                <w:szCs w:val="18"/>
                <w:color w:val="auto"/>
              </w:rPr>
              <w:t>(34)</w:t>
            </w: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(4)</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8</w:t>
            </w: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3"/>
                <w:szCs w:val="23"/>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High-Speed Internet</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0"/>
        </w:trPr>
        <w:tc>
          <w:tcPr>
            <w:tcW w:w="4540" w:type="dxa"/>
            <w:vAlign w:val="bottom"/>
          </w:tcPr>
          <w:p>
            <w:pPr>
              <w:ind w:left="200"/>
              <w:spacing w:after="0"/>
              <w:rPr>
                <w:sz w:val="20"/>
                <w:szCs w:val="20"/>
                <w:color w:val="auto"/>
              </w:rPr>
            </w:pPr>
            <w:r>
              <w:rPr>
                <w:rFonts w:ascii="Arial" w:cs="Arial" w:eastAsia="Arial" w:hAnsi="Arial"/>
                <w:sz w:val="18"/>
                <w:szCs w:val="18"/>
                <w:color w:val="auto"/>
              </w:rPr>
              <w:t>High-speed Internet residential customers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23,364</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22,189</w:t>
            </w:r>
          </w:p>
        </w:tc>
        <w:tc>
          <w:tcPr>
            <w:tcW w:w="620" w:type="dxa"/>
            <w:vAlign w:val="bottom"/>
          </w:tcPr>
          <w:p>
            <w:pPr>
              <w:spacing w:after="0"/>
              <w:rPr>
                <w:sz w:val="23"/>
                <w:szCs w:val="23"/>
                <w:color w:val="auto"/>
              </w:rPr>
            </w:pPr>
          </w:p>
        </w:tc>
        <w:tc>
          <w:tcPr>
            <w:tcW w:w="660" w:type="dxa"/>
            <w:vAlign w:val="bottom"/>
          </w:tcPr>
          <w:p>
            <w:pPr>
              <w:jc w:val="right"/>
              <w:ind w:right="271"/>
              <w:spacing w:after="0"/>
              <w:rPr>
                <w:sz w:val="20"/>
                <w:szCs w:val="20"/>
                <w:color w:val="auto"/>
              </w:rPr>
            </w:pPr>
            <w:r>
              <w:rPr>
                <w:rFonts w:ascii="Arial" w:cs="Arial" w:eastAsia="Arial" w:hAnsi="Arial"/>
                <w:sz w:val="18"/>
                <w:szCs w:val="18"/>
                <w:color w:val="auto"/>
                <w:w w:val="93"/>
              </w:rPr>
              <w:t>140</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176</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537</w:t>
            </w:r>
          </w:p>
        </w:tc>
        <w:tc>
          <w:tcPr>
            <w:tcW w:w="660" w:type="dxa"/>
            <w:vAlign w:val="bottom"/>
          </w:tcPr>
          <w:p>
            <w:pPr>
              <w:jc w:val="right"/>
              <w:spacing w:after="0"/>
              <w:rPr>
                <w:sz w:val="20"/>
                <w:szCs w:val="20"/>
                <w:color w:val="auto"/>
              </w:rPr>
            </w:pPr>
            <w:r>
              <w:rPr>
                <w:rFonts w:ascii="Arial" w:cs="Arial" w:eastAsia="Arial" w:hAnsi="Arial"/>
                <w:sz w:val="18"/>
                <w:szCs w:val="18"/>
                <w:color w:val="auto"/>
              </w:rPr>
              <w:t>579</w:t>
            </w:r>
          </w:p>
        </w:tc>
        <w:tc>
          <w:tcPr>
            <w:tcW w:w="60" w:type="dxa"/>
            <w:vAlign w:val="bottom"/>
          </w:tcPr>
          <w:p>
            <w:pPr>
              <w:spacing w:after="0"/>
              <w:rPr>
                <w:sz w:val="23"/>
                <w:szCs w:val="23"/>
                <w:color w:val="auto"/>
              </w:rPr>
            </w:pPr>
          </w:p>
        </w:tc>
      </w:tr>
      <w:tr>
        <w:trPr>
          <w:trHeight w:val="270"/>
        </w:trPr>
        <w:tc>
          <w:tcPr>
            <w:tcW w:w="4540" w:type="dxa"/>
            <w:vAlign w:val="bottom"/>
          </w:tcPr>
          <w:p>
            <w:pPr>
              <w:ind w:left="200"/>
              <w:spacing w:after="0"/>
              <w:rPr>
                <w:sz w:val="20"/>
                <w:szCs w:val="20"/>
                <w:color w:val="auto"/>
              </w:rPr>
            </w:pPr>
            <w:r>
              <w:rPr>
                <w:rFonts w:ascii="Arial" w:cs="Arial" w:eastAsia="Arial" w:hAnsi="Arial"/>
                <w:sz w:val="18"/>
                <w:szCs w:val="18"/>
                <w:color w:val="auto"/>
              </w:rPr>
              <w:t>High-speed Internet business services customers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1,942</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1,797</w:t>
            </w:r>
          </w:p>
        </w:tc>
        <w:tc>
          <w:tcPr>
            <w:tcW w:w="620" w:type="dxa"/>
            <w:vAlign w:val="bottom"/>
          </w:tcPr>
          <w:p>
            <w:pPr>
              <w:spacing w:after="0"/>
              <w:rPr>
                <w:sz w:val="23"/>
                <w:szCs w:val="23"/>
                <w:color w:val="auto"/>
              </w:rPr>
            </w:pPr>
          </w:p>
        </w:tc>
        <w:tc>
          <w:tcPr>
            <w:tcW w:w="660" w:type="dxa"/>
            <w:vAlign w:val="bottom"/>
          </w:tcPr>
          <w:p>
            <w:pPr>
              <w:jc w:val="right"/>
              <w:ind w:right="271"/>
              <w:spacing w:after="0"/>
              <w:rPr>
                <w:sz w:val="20"/>
                <w:szCs w:val="20"/>
                <w:color w:val="auto"/>
              </w:rPr>
            </w:pPr>
            <w:r>
              <w:rPr>
                <w:rFonts w:ascii="Arial" w:cs="Arial" w:eastAsia="Arial" w:hAnsi="Arial"/>
                <w:sz w:val="18"/>
                <w:szCs w:val="18"/>
                <w:color w:val="auto"/>
              </w:rPr>
              <w:t>35</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43</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67</w:t>
            </w:r>
          </w:p>
        </w:tc>
        <w:tc>
          <w:tcPr>
            <w:tcW w:w="66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23"/>
                <w:szCs w:val="23"/>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Total high-speed Internet customers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25,306</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23,987</w:t>
            </w:r>
          </w:p>
        </w:tc>
        <w:tc>
          <w:tcPr>
            <w:tcW w:w="620" w:type="dxa"/>
            <w:vAlign w:val="bottom"/>
          </w:tcPr>
          <w:p>
            <w:pPr>
              <w:spacing w:after="0"/>
              <w:rPr>
                <w:sz w:val="23"/>
                <w:szCs w:val="23"/>
                <w:color w:val="auto"/>
              </w:rPr>
            </w:pPr>
          </w:p>
        </w:tc>
        <w:tc>
          <w:tcPr>
            <w:tcW w:w="660" w:type="dxa"/>
            <w:vAlign w:val="bottom"/>
          </w:tcPr>
          <w:p>
            <w:pPr>
              <w:jc w:val="right"/>
              <w:ind w:right="271"/>
              <w:spacing w:after="0"/>
              <w:rPr>
                <w:sz w:val="20"/>
                <w:szCs w:val="20"/>
                <w:color w:val="auto"/>
              </w:rPr>
            </w:pPr>
            <w:r>
              <w:rPr>
                <w:rFonts w:ascii="Arial" w:cs="Arial" w:eastAsia="Arial" w:hAnsi="Arial"/>
                <w:sz w:val="18"/>
                <w:szCs w:val="18"/>
                <w:color w:val="auto"/>
                <w:w w:val="93"/>
              </w:rPr>
              <w:t>175</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220</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604</w:t>
            </w:r>
          </w:p>
        </w:tc>
        <w:tc>
          <w:tcPr>
            <w:tcW w:w="660" w:type="dxa"/>
            <w:vAlign w:val="bottom"/>
          </w:tcPr>
          <w:p>
            <w:pPr>
              <w:jc w:val="right"/>
              <w:spacing w:after="0"/>
              <w:rPr>
                <w:sz w:val="20"/>
                <w:szCs w:val="20"/>
                <w:color w:val="auto"/>
              </w:rPr>
            </w:pPr>
            <w:r>
              <w:rPr>
                <w:rFonts w:ascii="Arial" w:cs="Arial" w:eastAsia="Arial" w:hAnsi="Arial"/>
                <w:sz w:val="18"/>
                <w:szCs w:val="18"/>
                <w:color w:val="auto"/>
              </w:rPr>
              <w:t>658</w:t>
            </w:r>
          </w:p>
        </w:tc>
        <w:tc>
          <w:tcPr>
            <w:tcW w:w="60" w:type="dxa"/>
            <w:vAlign w:val="bottom"/>
          </w:tcPr>
          <w:p>
            <w:pPr>
              <w:spacing w:after="0"/>
              <w:rPr>
                <w:sz w:val="23"/>
                <w:szCs w:val="23"/>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Voice</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0"/>
        </w:trPr>
        <w:tc>
          <w:tcPr>
            <w:tcW w:w="4540" w:type="dxa"/>
            <w:vAlign w:val="bottom"/>
          </w:tcPr>
          <w:p>
            <w:pPr>
              <w:ind w:left="200"/>
              <w:spacing w:after="0"/>
              <w:rPr>
                <w:sz w:val="20"/>
                <w:szCs w:val="20"/>
                <w:color w:val="auto"/>
              </w:rPr>
            </w:pPr>
            <w:r>
              <w:rPr>
                <w:rFonts w:ascii="Arial" w:cs="Arial" w:eastAsia="Arial" w:hAnsi="Arial"/>
                <w:sz w:val="18"/>
                <w:szCs w:val="18"/>
                <w:color w:val="auto"/>
              </w:rPr>
              <w:t>Voice residential customers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10,470</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10,551</w:t>
            </w:r>
          </w:p>
        </w:tc>
        <w:tc>
          <w:tcPr>
            <w:tcW w:w="620" w:type="dxa"/>
            <w:vAlign w:val="bottom"/>
          </w:tcPr>
          <w:p>
            <w:pPr>
              <w:spacing w:after="0"/>
              <w:rPr>
                <w:sz w:val="23"/>
                <w:szCs w:val="23"/>
                <w:color w:val="auto"/>
              </w:rPr>
            </w:pPr>
          </w:p>
        </w:tc>
        <w:tc>
          <w:tcPr>
            <w:tcW w:w="660" w:type="dxa"/>
            <w:vAlign w:val="bottom"/>
          </w:tcPr>
          <w:p>
            <w:pPr>
              <w:jc w:val="right"/>
              <w:ind w:right="211"/>
              <w:spacing w:after="0"/>
              <w:rPr>
                <w:sz w:val="20"/>
                <w:szCs w:val="20"/>
                <w:color w:val="auto"/>
              </w:rPr>
            </w:pPr>
            <w:r>
              <w:rPr>
                <w:rFonts w:ascii="Arial" w:cs="Arial" w:eastAsia="Arial" w:hAnsi="Arial"/>
                <w:sz w:val="18"/>
                <w:szCs w:val="18"/>
                <w:color w:val="auto"/>
              </w:rPr>
              <w:t>(50)</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35</w:t>
            </w:r>
          </w:p>
        </w:tc>
        <w:tc>
          <w:tcPr>
            <w:tcW w:w="1020" w:type="dxa"/>
            <w:vAlign w:val="bottom"/>
          </w:tcPr>
          <w:p>
            <w:pPr>
              <w:jc w:val="right"/>
              <w:ind w:right="254"/>
              <w:spacing w:after="0"/>
              <w:rPr>
                <w:sz w:val="20"/>
                <w:szCs w:val="20"/>
                <w:color w:val="auto"/>
              </w:rPr>
            </w:pPr>
            <w:r>
              <w:rPr>
                <w:rFonts w:ascii="Arial" w:cs="Arial" w:eastAsia="Arial" w:hAnsi="Arial"/>
                <w:sz w:val="18"/>
                <w:szCs w:val="18"/>
                <w:color w:val="auto"/>
              </w:rPr>
              <w:t>(76)</w:t>
            </w:r>
          </w:p>
        </w:tc>
        <w:tc>
          <w:tcPr>
            <w:tcW w:w="660" w:type="dxa"/>
            <w:vAlign w:val="bottom"/>
          </w:tcPr>
          <w:p>
            <w:pPr>
              <w:jc w:val="right"/>
              <w:spacing w:after="0"/>
              <w:rPr>
                <w:sz w:val="20"/>
                <w:szCs w:val="20"/>
                <w:color w:val="auto"/>
              </w:rPr>
            </w:pPr>
            <w:r>
              <w:rPr>
                <w:rFonts w:ascii="Arial" w:cs="Arial" w:eastAsia="Arial" w:hAnsi="Arial"/>
                <w:sz w:val="18"/>
                <w:szCs w:val="18"/>
                <w:color w:val="auto"/>
              </w:rPr>
              <w:t>114</w:t>
            </w:r>
          </w:p>
        </w:tc>
        <w:tc>
          <w:tcPr>
            <w:tcW w:w="60" w:type="dxa"/>
            <w:vAlign w:val="bottom"/>
          </w:tcPr>
          <w:p>
            <w:pPr>
              <w:spacing w:after="0"/>
              <w:rPr>
                <w:sz w:val="23"/>
                <w:szCs w:val="23"/>
                <w:color w:val="auto"/>
              </w:rPr>
            </w:pPr>
          </w:p>
        </w:tc>
      </w:tr>
      <w:tr>
        <w:trPr>
          <w:trHeight w:val="270"/>
        </w:trPr>
        <w:tc>
          <w:tcPr>
            <w:tcW w:w="4540" w:type="dxa"/>
            <w:vAlign w:val="bottom"/>
          </w:tcPr>
          <w:p>
            <w:pPr>
              <w:ind w:left="200"/>
              <w:spacing w:after="0"/>
              <w:rPr>
                <w:sz w:val="20"/>
                <w:szCs w:val="20"/>
                <w:color w:val="auto"/>
              </w:rPr>
            </w:pPr>
            <w:r>
              <w:rPr>
                <w:rFonts w:ascii="Arial" w:cs="Arial" w:eastAsia="Arial" w:hAnsi="Arial"/>
                <w:sz w:val="18"/>
                <w:szCs w:val="18"/>
                <w:color w:val="auto"/>
              </w:rPr>
              <w:t>Voice business services customers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1,189</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1,090</w:t>
            </w:r>
          </w:p>
        </w:tc>
        <w:tc>
          <w:tcPr>
            <w:tcW w:w="620" w:type="dxa"/>
            <w:vAlign w:val="bottom"/>
          </w:tcPr>
          <w:p>
            <w:pPr>
              <w:spacing w:after="0"/>
              <w:rPr>
                <w:sz w:val="23"/>
                <w:szCs w:val="23"/>
                <w:color w:val="auto"/>
              </w:rPr>
            </w:pPr>
          </w:p>
        </w:tc>
        <w:tc>
          <w:tcPr>
            <w:tcW w:w="660" w:type="dxa"/>
            <w:vAlign w:val="bottom"/>
          </w:tcPr>
          <w:p>
            <w:pPr>
              <w:jc w:val="right"/>
              <w:ind w:right="271"/>
              <w:spacing w:after="0"/>
              <w:rPr>
                <w:sz w:val="20"/>
                <w:szCs w:val="20"/>
                <w:color w:val="auto"/>
              </w:rPr>
            </w:pPr>
            <w:r>
              <w:rPr>
                <w:rFonts w:ascii="Arial" w:cs="Arial" w:eastAsia="Arial" w:hAnsi="Arial"/>
                <w:sz w:val="18"/>
                <w:szCs w:val="18"/>
                <w:color w:val="auto"/>
              </w:rPr>
              <w:t>27</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29</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49</w:t>
            </w: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23"/>
                <w:szCs w:val="23"/>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Total voice customers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11,659</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11,641</w:t>
            </w:r>
          </w:p>
        </w:tc>
        <w:tc>
          <w:tcPr>
            <w:tcW w:w="620" w:type="dxa"/>
            <w:vAlign w:val="bottom"/>
          </w:tcPr>
          <w:p>
            <w:pPr>
              <w:spacing w:after="0"/>
              <w:rPr>
                <w:sz w:val="23"/>
                <w:szCs w:val="23"/>
                <w:color w:val="auto"/>
              </w:rPr>
            </w:pPr>
          </w:p>
        </w:tc>
        <w:tc>
          <w:tcPr>
            <w:tcW w:w="660" w:type="dxa"/>
            <w:vAlign w:val="bottom"/>
          </w:tcPr>
          <w:p>
            <w:pPr>
              <w:jc w:val="right"/>
              <w:ind w:right="211"/>
              <w:spacing w:after="0"/>
              <w:rPr>
                <w:sz w:val="20"/>
                <w:szCs w:val="20"/>
                <w:color w:val="auto"/>
              </w:rPr>
            </w:pPr>
            <w:r>
              <w:rPr>
                <w:rFonts w:ascii="Arial" w:cs="Arial" w:eastAsia="Arial" w:hAnsi="Arial"/>
                <w:sz w:val="18"/>
                <w:szCs w:val="18"/>
                <w:color w:val="auto"/>
              </w:rPr>
              <w:t>(22)</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64</w:t>
            </w:r>
          </w:p>
        </w:tc>
        <w:tc>
          <w:tcPr>
            <w:tcW w:w="1020" w:type="dxa"/>
            <w:vAlign w:val="bottom"/>
          </w:tcPr>
          <w:p>
            <w:pPr>
              <w:jc w:val="right"/>
              <w:ind w:right="254"/>
              <w:spacing w:after="0"/>
              <w:rPr>
                <w:sz w:val="20"/>
                <w:szCs w:val="20"/>
                <w:color w:val="auto"/>
              </w:rPr>
            </w:pPr>
            <w:r>
              <w:rPr>
                <w:rFonts w:ascii="Arial" w:cs="Arial" w:eastAsia="Arial" w:hAnsi="Arial"/>
                <w:sz w:val="18"/>
                <w:szCs w:val="18"/>
                <w:color w:val="auto"/>
              </w:rPr>
              <w:t>(28)</w:t>
            </w:r>
          </w:p>
        </w:tc>
        <w:tc>
          <w:tcPr>
            <w:tcW w:w="660" w:type="dxa"/>
            <w:vAlign w:val="bottom"/>
          </w:tcPr>
          <w:p>
            <w:pPr>
              <w:jc w:val="right"/>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23"/>
                <w:szCs w:val="23"/>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Security and Automation</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Security and automation customers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1,028</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737</w:t>
            </w:r>
          </w:p>
        </w:tc>
        <w:tc>
          <w:tcPr>
            <w:tcW w:w="620" w:type="dxa"/>
            <w:vAlign w:val="bottom"/>
          </w:tcPr>
          <w:p>
            <w:pPr>
              <w:spacing w:after="0"/>
              <w:rPr>
                <w:sz w:val="23"/>
                <w:szCs w:val="23"/>
                <w:color w:val="auto"/>
              </w:rPr>
            </w:pPr>
          </w:p>
        </w:tc>
        <w:tc>
          <w:tcPr>
            <w:tcW w:w="660" w:type="dxa"/>
            <w:vAlign w:val="bottom"/>
          </w:tcPr>
          <w:p>
            <w:pPr>
              <w:jc w:val="right"/>
              <w:ind w:right="271"/>
              <w:spacing w:after="0"/>
              <w:rPr>
                <w:sz w:val="20"/>
                <w:szCs w:val="20"/>
                <w:color w:val="auto"/>
              </w:rPr>
            </w:pPr>
            <w:r>
              <w:rPr>
                <w:rFonts w:ascii="Arial" w:cs="Arial" w:eastAsia="Arial" w:hAnsi="Arial"/>
                <w:sz w:val="18"/>
                <w:szCs w:val="18"/>
                <w:color w:val="auto"/>
              </w:rPr>
              <w:t>71</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70</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137</w:t>
            </w:r>
          </w:p>
        </w:tc>
        <w:tc>
          <w:tcPr>
            <w:tcW w:w="660" w:type="dxa"/>
            <w:vAlign w:val="bottom"/>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23"/>
                <w:szCs w:val="23"/>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453"/>
        </w:trPr>
        <w:tc>
          <w:tcPr>
            <w:tcW w:w="4540" w:type="dxa"/>
            <w:vAlign w:val="bottom"/>
          </w:tcPr>
          <w:p>
            <w:pPr>
              <w:ind w:left="40"/>
              <w:spacing w:after="0"/>
              <w:rPr>
                <w:sz w:val="20"/>
                <w:szCs w:val="20"/>
                <w:color w:val="auto"/>
              </w:rPr>
            </w:pPr>
            <w:r>
              <w:rPr>
                <w:rFonts w:ascii="Arial" w:cs="Arial" w:eastAsia="Arial" w:hAnsi="Arial"/>
                <w:sz w:val="18"/>
                <w:szCs w:val="18"/>
                <w:b w:val="1"/>
                <w:bCs w:val="1"/>
                <w:color w:val="auto"/>
              </w:rPr>
              <w:t>Customer Relationships</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0"/>
        </w:trPr>
        <w:tc>
          <w:tcPr>
            <w:tcW w:w="4540" w:type="dxa"/>
            <w:vAlign w:val="bottom"/>
          </w:tcPr>
          <w:p>
            <w:pPr>
              <w:ind w:left="200"/>
              <w:spacing w:after="0"/>
              <w:rPr>
                <w:sz w:val="20"/>
                <w:szCs w:val="20"/>
                <w:color w:val="auto"/>
              </w:rPr>
            </w:pPr>
            <w:r>
              <w:rPr>
                <w:rFonts w:ascii="Arial" w:cs="Arial" w:eastAsia="Arial" w:hAnsi="Arial"/>
                <w:sz w:val="18"/>
                <w:szCs w:val="18"/>
                <w:color w:val="auto"/>
              </w:rPr>
              <w:t>Residential customer relationships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26,874</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26,138</w:t>
            </w:r>
          </w:p>
        </w:tc>
        <w:tc>
          <w:tcPr>
            <w:tcW w:w="620" w:type="dxa"/>
            <w:vAlign w:val="bottom"/>
          </w:tcPr>
          <w:p>
            <w:pPr>
              <w:spacing w:after="0"/>
              <w:rPr>
                <w:sz w:val="23"/>
                <w:szCs w:val="23"/>
                <w:color w:val="auto"/>
              </w:rPr>
            </w:pPr>
          </w:p>
        </w:tc>
        <w:tc>
          <w:tcPr>
            <w:tcW w:w="660" w:type="dxa"/>
            <w:vAlign w:val="bottom"/>
          </w:tcPr>
          <w:p>
            <w:pPr>
              <w:jc w:val="right"/>
              <w:ind w:right="271"/>
              <w:spacing w:after="0"/>
              <w:rPr>
                <w:sz w:val="20"/>
                <w:szCs w:val="20"/>
                <w:color w:val="auto"/>
              </w:rPr>
            </w:pPr>
            <w:r>
              <w:rPr>
                <w:rFonts w:ascii="Arial" w:cs="Arial" w:eastAsia="Arial" w:hAnsi="Arial"/>
                <w:sz w:val="18"/>
                <w:szCs w:val="18"/>
                <w:color w:val="auto"/>
              </w:rPr>
              <w:t>77</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73</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341</w:t>
            </w:r>
          </w:p>
        </w:tc>
        <w:tc>
          <w:tcPr>
            <w:tcW w:w="660" w:type="dxa"/>
            <w:vAlign w:val="bottom"/>
          </w:tcPr>
          <w:p>
            <w:pPr>
              <w:jc w:val="right"/>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23"/>
                <w:szCs w:val="23"/>
                <w:color w:val="auto"/>
              </w:rPr>
            </w:pPr>
          </w:p>
        </w:tc>
      </w:tr>
      <w:tr>
        <w:trPr>
          <w:trHeight w:val="270"/>
        </w:trPr>
        <w:tc>
          <w:tcPr>
            <w:tcW w:w="4540" w:type="dxa"/>
            <w:vAlign w:val="bottom"/>
          </w:tcPr>
          <w:p>
            <w:pPr>
              <w:ind w:left="200"/>
              <w:spacing w:after="0"/>
              <w:rPr>
                <w:sz w:val="20"/>
                <w:szCs w:val="20"/>
                <w:color w:val="auto"/>
              </w:rPr>
            </w:pPr>
            <w:r>
              <w:rPr>
                <w:rFonts w:ascii="Arial" w:cs="Arial" w:eastAsia="Arial" w:hAnsi="Arial"/>
                <w:sz w:val="18"/>
                <w:szCs w:val="18"/>
                <w:color w:val="auto"/>
              </w:rPr>
              <w:t>Business services customer relationships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2,115</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1,964</w:t>
            </w:r>
          </w:p>
        </w:tc>
        <w:tc>
          <w:tcPr>
            <w:tcW w:w="620" w:type="dxa"/>
            <w:vAlign w:val="bottom"/>
          </w:tcPr>
          <w:p>
            <w:pPr>
              <w:spacing w:after="0"/>
              <w:rPr>
                <w:sz w:val="23"/>
                <w:szCs w:val="23"/>
                <w:color w:val="auto"/>
              </w:rPr>
            </w:pPr>
          </w:p>
        </w:tc>
        <w:tc>
          <w:tcPr>
            <w:tcW w:w="660" w:type="dxa"/>
            <w:vAlign w:val="bottom"/>
          </w:tcPr>
          <w:p>
            <w:pPr>
              <w:jc w:val="right"/>
              <w:ind w:right="271"/>
              <w:spacing w:after="0"/>
              <w:rPr>
                <w:sz w:val="20"/>
                <w:szCs w:val="20"/>
                <w:color w:val="auto"/>
              </w:rPr>
            </w:pPr>
            <w:r>
              <w:rPr>
                <w:rFonts w:ascii="Arial" w:cs="Arial" w:eastAsia="Arial" w:hAnsi="Arial"/>
                <w:sz w:val="18"/>
                <w:szCs w:val="18"/>
                <w:color w:val="auto"/>
              </w:rPr>
              <w:t>37</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43</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71</w:t>
            </w: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23"/>
                <w:szCs w:val="23"/>
                <w:color w:val="auto"/>
              </w:rPr>
            </w:pPr>
          </w:p>
        </w:tc>
      </w:tr>
      <w:tr>
        <w:trPr>
          <w:trHeight w:val="270"/>
        </w:trPr>
        <w:tc>
          <w:tcPr>
            <w:tcW w:w="4540" w:type="dxa"/>
            <w:vAlign w:val="bottom"/>
          </w:tcPr>
          <w:p>
            <w:pPr>
              <w:ind w:left="40"/>
              <w:spacing w:after="0"/>
              <w:rPr>
                <w:sz w:val="20"/>
                <w:szCs w:val="20"/>
                <w:color w:val="auto"/>
              </w:rPr>
            </w:pPr>
            <w:r>
              <w:rPr>
                <w:rFonts w:ascii="Arial" w:cs="Arial" w:eastAsia="Arial" w:hAnsi="Arial"/>
                <w:sz w:val="18"/>
                <w:szCs w:val="18"/>
                <w:color w:val="auto"/>
              </w:rPr>
              <w:t>Total customer relationships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28,989</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28,101</w:t>
            </w:r>
          </w:p>
        </w:tc>
        <w:tc>
          <w:tcPr>
            <w:tcW w:w="620" w:type="dxa"/>
            <w:vAlign w:val="bottom"/>
          </w:tcPr>
          <w:p>
            <w:pPr>
              <w:spacing w:after="0"/>
              <w:rPr>
                <w:sz w:val="23"/>
                <w:szCs w:val="23"/>
                <w:color w:val="auto"/>
              </w:rPr>
            </w:pPr>
          </w:p>
        </w:tc>
        <w:tc>
          <w:tcPr>
            <w:tcW w:w="660" w:type="dxa"/>
            <w:vAlign w:val="bottom"/>
          </w:tcPr>
          <w:p>
            <w:pPr>
              <w:jc w:val="right"/>
              <w:ind w:right="271"/>
              <w:spacing w:after="0"/>
              <w:rPr>
                <w:sz w:val="20"/>
                <w:szCs w:val="20"/>
                <w:color w:val="auto"/>
              </w:rPr>
            </w:pPr>
            <w:r>
              <w:rPr>
                <w:rFonts w:ascii="Arial" w:cs="Arial" w:eastAsia="Arial" w:hAnsi="Arial"/>
                <w:sz w:val="18"/>
                <w:szCs w:val="18"/>
                <w:color w:val="auto"/>
                <w:w w:val="93"/>
              </w:rPr>
              <w:t>114</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116</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412</w:t>
            </w:r>
          </w:p>
        </w:tc>
        <w:tc>
          <w:tcPr>
            <w:tcW w:w="660" w:type="dxa"/>
            <w:vAlign w:val="bottom"/>
          </w:tcPr>
          <w:p>
            <w:pPr>
              <w:jc w:val="right"/>
              <w:spacing w:after="0"/>
              <w:rPr>
                <w:sz w:val="20"/>
                <w:szCs w:val="20"/>
                <w:color w:val="auto"/>
              </w:rPr>
            </w:pPr>
            <w:r>
              <w:rPr>
                <w:rFonts w:ascii="Arial" w:cs="Arial" w:eastAsia="Arial" w:hAnsi="Arial"/>
                <w:sz w:val="18"/>
                <w:szCs w:val="18"/>
                <w:color w:val="auto"/>
              </w:rPr>
              <w:t>386</w:t>
            </w:r>
          </w:p>
        </w:tc>
        <w:tc>
          <w:tcPr>
            <w:tcW w:w="60" w:type="dxa"/>
            <w:vAlign w:val="bottom"/>
          </w:tcPr>
          <w:p>
            <w:pPr>
              <w:spacing w:after="0"/>
              <w:rPr>
                <w:sz w:val="23"/>
                <w:szCs w:val="23"/>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rPr>
              <w:t>Residential customer relationships mix</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0"/>
        </w:trPr>
        <w:tc>
          <w:tcPr>
            <w:tcW w:w="4540" w:type="dxa"/>
            <w:vAlign w:val="bottom"/>
          </w:tcPr>
          <w:p>
            <w:pPr>
              <w:ind w:left="200"/>
              <w:spacing w:after="0"/>
              <w:rPr>
                <w:sz w:val="20"/>
                <w:szCs w:val="20"/>
                <w:color w:val="auto"/>
              </w:rPr>
            </w:pPr>
            <w:r>
              <w:rPr>
                <w:rFonts w:ascii="Arial" w:cs="Arial" w:eastAsia="Arial" w:hAnsi="Arial"/>
                <w:sz w:val="18"/>
                <w:szCs w:val="18"/>
                <w:color w:val="auto"/>
              </w:rPr>
              <w:t>Single product customers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7,931</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7,671</w:t>
            </w:r>
          </w:p>
        </w:tc>
        <w:tc>
          <w:tcPr>
            <w:tcW w:w="620" w:type="dxa"/>
            <w:vAlign w:val="bottom"/>
          </w:tcPr>
          <w:p>
            <w:pPr>
              <w:spacing w:after="0"/>
              <w:rPr>
                <w:sz w:val="23"/>
                <w:szCs w:val="23"/>
                <w:color w:val="auto"/>
              </w:rPr>
            </w:pPr>
          </w:p>
        </w:tc>
        <w:tc>
          <w:tcPr>
            <w:tcW w:w="660" w:type="dxa"/>
            <w:vAlign w:val="bottom"/>
          </w:tcPr>
          <w:p>
            <w:pPr>
              <w:jc w:val="right"/>
              <w:ind w:right="271"/>
              <w:spacing w:after="0"/>
              <w:rPr>
                <w:sz w:val="20"/>
                <w:szCs w:val="20"/>
                <w:color w:val="auto"/>
              </w:rPr>
            </w:pPr>
            <w:r>
              <w:rPr>
                <w:rFonts w:ascii="Arial" w:cs="Arial" w:eastAsia="Arial" w:hAnsi="Arial"/>
                <w:sz w:val="18"/>
                <w:szCs w:val="18"/>
                <w:color w:val="auto"/>
              </w:rPr>
              <w:t>70</w:t>
            </w:r>
          </w:p>
        </w:tc>
        <w:tc>
          <w:tcPr>
            <w:tcW w:w="1040" w:type="dxa"/>
            <w:vAlign w:val="bottom"/>
          </w:tcPr>
          <w:p>
            <w:pPr>
              <w:jc w:val="right"/>
              <w:ind w:right="252"/>
              <w:spacing w:after="0"/>
              <w:rPr>
                <w:sz w:val="20"/>
                <w:szCs w:val="20"/>
                <w:color w:val="auto"/>
              </w:rPr>
            </w:pPr>
            <w:r>
              <w:rPr>
                <w:rFonts w:ascii="Arial" w:cs="Arial" w:eastAsia="Arial" w:hAnsi="Arial"/>
                <w:sz w:val="18"/>
                <w:szCs w:val="18"/>
                <w:color w:val="auto"/>
              </w:rPr>
              <w:t>(10)</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174</w:t>
            </w: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3"/>
                <w:szCs w:val="23"/>
                <w:color w:val="auto"/>
              </w:rPr>
            </w:pPr>
          </w:p>
        </w:tc>
      </w:tr>
      <w:tr>
        <w:trPr>
          <w:trHeight w:val="270"/>
        </w:trPr>
        <w:tc>
          <w:tcPr>
            <w:tcW w:w="4540" w:type="dxa"/>
            <w:vAlign w:val="bottom"/>
          </w:tcPr>
          <w:p>
            <w:pPr>
              <w:ind w:left="200"/>
              <w:spacing w:after="0"/>
              <w:rPr>
                <w:sz w:val="20"/>
                <w:szCs w:val="20"/>
                <w:color w:val="auto"/>
              </w:rPr>
            </w:pPr>
            <w:r>
              <w:rPr>
                <w:rFonts w:ascii="Arial" w:cs="Arial" w:eastAsia="Arial" w:hAnsi="Arial"/>
                <w:sz w:val="18"/>
                <w:szCs w:val="18"/>
                <w:color w:val="auto"/>
              </w:rPr>
              <w:t>Double product customers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8,945</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8,585</w:t>
            </w:r>
          </w:p>
        </w:tc>
        <w:tc>
          <w:tcPr>
            <w:tcW w:w="620" w:type="dxa"/>
            <w:vAlign w:val="bottom"/>
          </w:tcPr>
          <w:p>
            <w:pPr>
              <w:spacing w:after="0"/>
              <w:rPr>
                <w:sz w:val="23"/>
                <w:szCs w:val="23"/>
                <w:color w:val="auto"/>
              </w:rPr>
            </w:pPr>
          </w:p>
        </w:tc>
        <w:tc>
          <w:tcPr>
            <w:tcW w:w="660" w:type="dxa"/>
            <w:vAlign w:val="bottom"/>
          </w:tcPr>
          <w:p>
            <w:pPr>
              <w:jc w:val="right"/>
              <w:ind w:right="271"/>
              <w:spacing w:after="0"/>
              <w:rPr>
                <w:sz w:val="20"/>
                <w:szCs w:val="20"/>
                <w:color w:val="auto"/>
              </w:rPr>
            </w:pPr>
            <w:r>
              <w:rPr>
                <w:rFonts w:ascii="Arial" w:cs="Arial" w:eastAsia="Arial" w:hAnsi="Arial"/>
                <w:sz w:val="18"/>
                <w:szCs w:val="18"/>
                <w:color w:val="auto"/>
              </w:rPr>
              <w:t>8</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13</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148</w:t>
            </w:r>
          </w:p>
        </w:tc>
        <w:tc>
          <w:tcPr>
            <w:tcW w:w="66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3"/>
                <w:szCs w:val="23"/>
                <w:color w:val="auto"/>
              </w:rPr>
            </w:pPr>
          </w:p>
        </w:tc>
      </w:tr>
      <w:tr>
        <w:trPr>
          <w:trHeight w:val="270"/>
        </w:trPr>
        <w:tc>
          <w:tcPr>
            <w:tcW w:w="4540" w:type="dxa"/>
            <w:vAlign w:val="bottom"/>
          </w:tcPr>
          <w:p>
            <w:pPr>
              <w:ind w:left="200"/>
              <w:spacing w:after="0"/>
              <w:rPr>
                <w:sz w:val="20"/>
                <w:szCs w:val="20"/>
                <w:color w:val="auto"/>
              </w:rPr>
            </w:pPr>
            <w:r>
              <w:rPr>
                <w:rFonts w:ascii="Arial" w:cs="Arial" w:eastAsia="Arial" w:hAnsi="Arial"/>
                <w:sz w:val="18"/>
                <w:szCs w:val="18"/>
                <w:color w:val="auto"/>
              </w:rPr>
              <w:t>Triple and quad product customers</w:t>
            </w: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9,998</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9,882</w:t>
            </w:r>
          </w:p>
        </w:tc>
        <w:tc>
          <w:tcPr>
            <w:tcW w:w="620" w:type="dxa"/>
            <w:vAlign w:val="bottom"/>
          </w:tcPr>
          <w:p>
            <w:pPr>
              <w:spacing w:after="0"/>
              <w:rPr>
                <w:sz w:val="23"/>
                <w:szCs w:val="23"/>
                <w:color w:val="auto"/>
              </w:rPr>
            </w:pPr>
          </w:p>
        </w:tc>
        <w:tc>
          <w:tcPr>
            <w:tcW w:w="66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2"/>
              <w:spacing w:after="0"/>
              <w:rPr>
                <w:sz w:val="20"/>
                <w:szCs w:val="20"/>
                <w:color w:val="auto"/>
              </w:rPr>
            </w:pPr>
            <w:r>
              <w:rPr>
                <w:rFonts w:ascii="Arial" w:cs="Arial" w:eastAsia="Arial" w:hAnsi="Arial"/>
                <w:sz w:val="18"/>
                <w:szCs w:val="18"/>
                <w:color w:val="auto"/>
              </w:rPr>
              <w:t>70</w:t>
            </w:r>
          </w:p>
        </w:tc>
        <w:tc>
          <w:tcPr>
            <w:tcW w:w="1020" w:type="dxa"/>
            <w:vAlign w:val="bottom"/>
          </w:tcPr>
          <w:p>
            <w:pPr>
              <w:jc w:val="right"/>
              <w:ind w:right="314"/>
              <w:spacing w:after="0"/>
              <w:rPr>
                <w:sz w:val="20"/>
                <w:szCs w:val="20"/>
                <w:color w:val="auto"/>
              </w:rPr>
            </w:pPr>
            <w:r>
              <w:rPr>
                <w:rFonts w:ascii="Arial" w:cs="Arial" w:eastAsia="Arial" w:hAnsi="Arial"/>
                <w:sz w:val="18"/>
                <w:szCs w:val="18"/>
                <w:color w:val="auto"/>
              </w:rPr>
              <w:t>18</w:t>
            </w:r>
          </w:p>
        </w:tc>
        <w:tc>
          <w:tcPr>
            <w:tcW w:w="660" w:type="dxa"/>
            <w:vAlign w:val="bottom"/>
          </w:tcPr>
          <w:p>
            <w:pPr>
              <w:jc w:val="right"/>
              <w:spacing w:after="0"/>
              <w:rPr>
                <w:sz w:val="20"/>
                <w:szCs w:val="20"/>
                <w:color w:val="auto"/>
              </w:rPr>
            </w:pPr>
            <w:r>
              <w:rPr>
                <w:rFonts w:ascii="Arial" w:cs="Arial" w:eastAsia="Arial" w:hAnsi="Arial"/>
                <w:sz w:val="18"/>
                <w:szCs w:val="18"/>
                <w:color w:val="auto"/>
              </w:rPr>
              <w:t>179</w:t>
            </w:r>
          </w:p>
        </w:tc>
        <w:tc>
          <w:tcPr>
            <w:tcW w:w="60" w:type="dxa"/>
            <w:vAlign w:val="bottom"/>
          </w:tcPr>
          <w:p>
            <w:pPr>
              <w:spacing w:after="0"/>
              <w:rPr>
                <w:sz w:val="23"/>
                <w:szCs w:val="23"/>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ind w:left="40"/>
              <w:spacing w:after="0"/>
              <w:rPr>
                <w:sz w:val="20"/>
                <w:szCs w:val="20"/>
                <w:color w:val="auto"/>
              </w:rPr>
            </w:pPr>
            <w:r>
              <w:rPr>
                <w:rFonts w:ascii="Arial" w:cs="Arial" w:eastAsia="Arial" w:hAnsi="Arial"/>
                <w:sz w:val="18"/>
                <w:szCs w:val="18"/>
                <w:color w:val="auto"/>
                <w:w w:val="99"/>
              </w:rPr>
              <w:t>Average monthly total revenue per customer relationship</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151.19</w:t>
            </w:r>
          </w:p>
        </w:tc>
        <w:tc>
          <w:tcPr>
            <w:tcW w:w="30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147.90</w:t>
            </w: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bl>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Customer metrics are presented based on actual amounts. Minor differences may exist due to rounding. Beginning in 2017, we include prepaid customers, which are customers who prepay for at least 30 days of service, in our customer metrics. Residential video and high-speed Internet customers as of June 30, 2017 included prepaid customers totaling approximately 2,000 and 30,000, respectively. Customer relationships represent the number of residential and business customers that subscribe to at least one of our cable services. Single product, double product, and triple and quad product customers represent residential customers that subscribe to one, two, or three and four of our cable services, respectively. Beginning in 2017, we include customers subscribing to our security and automation services in customer relationship information. All periods presented have been adjusted for the inclusion of security and automation customers.</w:t>
      </w:r>
    </w:p>
    <w:p>
      <w:pPr>
        <w:sectPr>
          <w:pgSz w:w="11900" w:h="16838" w:orient="portrait"/>
          <w:cols w:equalWidth="0" w:num="1">
            <w:col w:w="11420"/>
          </w:cols>
          <w:pgMar w:left="240" w:top="175" w:right="239" w:bottom="474" w:gutter="0" w:footer="0" w:header="0"/>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75" w:right="239" w:bottom="474"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Video revenue increased 3.9% and 4.1% for the three and six months ended June 30, 2017, respectively, compared to the same periods in 2016. The primary contributors to revenue growth were rate adjustments and increases in the number of residential customers subscribing to additional services such as premium channels and advanced services. These contributors accounted for increases in revenue of 3.5% and 3.6% for the three and six months ended June 30, 2017, respectively. We have in the past, and may in the future, experience declines in the number of residential video customers due to competitive pressures and the impact of rate adjustments. Competition is intense, both from traditional multichannel video providers and from new technologies and distribution platforms for viewing content. We have responded to this competition, and have attempted to mitigate industry-wide declines in residential video customers at traditional multichannel video providers, through our X1 platform and sales and marketing programs, such as promotions, bundled service offerings and service offerings targeted at market segments.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High-speed Internet revenue increased 9.2% and 9.6% for the three and six months ended June 30, 2017, respectively, compared to the same periods in 2016. Increases in the number of residential customers receiving our high-speed Internet services accounted for increases in revenue of 5.4% and 5.5% for the three and six months ended June 30, 2017, respectively. The remaining increases in revenue for the three and six months ended June 30, 2017 were primarily due to increases in the number of customers receiving higher levels of service and the impact of rate adjustments. Our customer base continues to grow as consumers choose our high-speed Internet services and seek higher-speed offerings.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Voice revenue decreased 4.1% and 3.9% for the three and six months ended June 30, 2017, respectively, compared to the same periods in 2016. The decreases were primarily due to the allocation of voice revenue for our customers who received bundled services. The amount allocated to voice revenue in the rate charged for bundled services decreased for the three and six months ended June 30, 2017 because video and high-speed Internet rates increased while voice rates remained relatively flat.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Business services revenue increased 12.6% and 13.1% for the three and six months ended June 30, 2017, respectively, compared to the same periods in 2016. The increases were primarily due to increases in the number of customers receiving our small and medium-sized business services offerings. We believe the increases in the number of business customers are primarily the result of our efforts to gain market share from competitors by offering competitive services and pricing, although the rate of growth in the number of our small business customers may slow as the business matures.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Advertising revenue decreased 2.1% and 4.1% for the three and six months ended June 30, 2017, respectively, compared to the same periods in 2016 primarily due to decreases in revenue from core linear advertising markets across several categories and political advertising revenue, which were partially offset by increases in revenue from interactive advertising. Excluding political advertising revenue, advertising revenue decreased 1.0% and 1.6% for the three and six months ended June 30, 2017, respectively, compared to the same periods in 2016.</w:t>
      </w:r>
    </w:p>
    <w:p>
      <w:pPr>
        <w:spacing w:after="0" w:line="6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both the three and six months ended June 30, 2017, 4% of our Cable Communications segment advertising revenue was generated from our NBCUniversal segments. For the three and six months ended June 30, 2016, 4% and 5%, respectively, of our Cable Communications segment advertising revenue was generated from our NBCUniversal segments. These amounts are eliminated in our condensed consolidated financial statements but are included in the amounts presented above.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2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revenue increased 5.0% and 4.7% for the three and six months ended June 30, 2017, respectively, compared to the same periods in 2016 primarily due to increases in revenue from our security and automation services and increases in cable franchise and other regulatory fees.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Costs and Expenses</w:t>
      </w:r>
    </w:p>
    <w:p>
      <w:pPr>
        <w:spacing w:after="0" w:line="11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Programming expenses increased for the three and six months ended June 30, 2017 compared to the same periods in 2016 primarily due to the timing of contract renewals and other increases in programming license fees, including retransmission consent fees and sports programming costs.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Technical and product support expenses increased for the three and six months ended June 30, 2017 compared to the same periods in 2016 primarily due to expenses related to the development, delivery and support of our X1 platform, cloud DVR technology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75"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wireless gateways, and the continued growth in business services and security and automation services. The increases were also due to expenses related to investments to improve the customer experience.</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Customer service expenses decreased for the three and six months ended June 30, 2017 compared to the same periods in 2016 primarily due to reduced call volumes.</w:t>
      </w:r>
    </w:p>
    <w:p>
      <w:pPr>
        <w:spacing w:after="0" w:line="1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Advertising, marketing and promotion expenses increased for the three and six months ended June 30, 2017 compared to the same periods in 2016 primarily due to increases in spending associated with attracting new customers and encouraging existing customers to add additional or higher-tier services.</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Franchise and other regulatory fees increased for the three and six months ended June 30, 2017 compared to the same periods in 2016 primarily due to increases in the revenue to which the fees apply.</w:t>
      </w:r>
    </w:p>
    <w:p>
      <w:pPr>
        <w:spacing w:after="0" w:line="103" w:lineRule="exact"/>
        <w:rPr>
          <w:sz w:val="20"/>
          <w:szCs w:val="20"/>
          <w:color w:val="auto"/>
        </w:rPr>
      </w:pPr>
    </w:p>
    <w:p>
      <w:pPr>
        <w:ind w:right="1460"/>
        <w:spacing w:after="0" w:line="360" w:lineRule="auto"/>
        <w:rPr>
          <w:sz w:val="20"/>
          <w:szCs w:val="20"/>
          <w:color w:val="auto"/>
        </w:rPr>
      </w:pPr>
      <w:r>
        <w:rPr>
          <w:rFonts w:ascii="Arial" w:cs="Arial" w:eastAsia="Arial" w:hAnsi="Arial"/>
          <w:sz w:val="18"/>
          <w:szCs w:val="18"/>
          <w:color w:val="auto"/>
        </w:rPr>
        <w:t xml:space="preserve">Other costs and expenses remained relatively flat for the three and six months ended June 30, 2017 compared to the same periods in 2016. </w:t>
      </w:r>
      <w:r>
        <w:rPr>
          <w:rFonts w:ascii="Arial" w:cs="Arial" w:eastAsia="Arial" w:hAnsi="Arial"/>
          <w:sz w:val="18"/>
          <w:szCs w:val="18"/>
          <w:b w:val="1"/>
          <w:bCs w:val="1"/>
          <w:color w:val="auto"/>
        </w:rPr>
        <w:t>Cable Communications Segment—Operating Margin</w:t>
      </w:r>
    </w:p>
    <w:p>
      <w:pPr>
        <w:jc w:val="both"/>
        <w:spacing w:after="0" w:line="302" w:lineRule="auto"/>
        <w:rPr>
          <w:sz w:val="20"/>
          <w:szCs w:val="20"/>
          <w:color w:val="auto"/>
        </w:rPr>
      </w:pPr>
      <w:r>
        <w:rPr>
          <w:rFonts w:ascii="Arial" w:cs="Arial" w:eastAsia="Arial" w:hAnsi="Arial"/>
          <w:sz w:val="16"/>
          <w:szCs w:val="16"/>
          <w:color w:val="auto"/>
        </w:rPr>
        <w:t>Our Cable Communications segment operating margin is Adjusted EBITDA as a percentage of revenue. The most significant operating costs and expenses for our Cable Communications segment are the programming expenses we incur to provide content to our video customers. We expect that our programming expenses will continue to increase, which may negatively impact our operating margin. We will attempt to mitigate increases in operating costs and expenses by growing revenue, particularly in our high-speed Internet, video and business services businesses, and through cost management.</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operating margin for the three months ended June 30, 2017 and 2016 was 40.5% and 40.6%, respectively. Our operating margin for the six months ended June 30, 2017 and 2016 was 40.4% and 40.3%, respectively.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Results of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tcPr>
          <w:p>
            <w:pPr>
              <w:jc w:val="right"/>
              <w:ind w:right="154"/>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8"/>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color w:val="auto"/>
              </w:rPr>
              <w:t>June 30</w:t>
            </w: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2017</w:t>
            </w:r>
          </w:p>
        </w:tc>
        <w:tc>
          <w:tcPr>
            <w:tcW w:w="6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w w:val="96"/>
              </w:rPr>
              <w:t>2016</w:t>
            </w:r>
          </w:p>
        </w:tc>
        <w:tc>
          <w:tcPr>
            <w:tcW w:w="5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4"/>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2,696</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2,566</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130</w:t>
            </w: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2,241</w:t>
            </w:r>
          </w:p>
        </w:tc>
        <w:tc>
          <w:tcPr>
            <w:tcW w:w="68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2,128</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113</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5.3</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2,155</w:t>
            </w:r>
          </w:p>
        </w:tc>
        <w:tc>
          <w:tcPr>
            <w:tcW w:w="68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1,351</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804</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59.6</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1,314</w:t>
            </w:r>
          </w:p>
        </w:tc>
        <w:tc>
          <w:tcPr>
            <w:tcW w:w="68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1,136</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178</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15.6</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(75)</w:t>
            </w:r>
          </w:p>
        </w:tc>
        <w:tc>
          <w:tcPr>
            <w:tcW w:w="68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(78)</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3</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NM</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b w:val="1"/>
                <w:bCs w:val="1"/>
                <w:color w:val="auto"/>
              </w:rPr>
              <w:t>8,331</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1"/>
              <w:spacing w:after="0"/>
              <w:rPr>
                <w:sz w:val="20"/>
                <w:szCs w:val="20"/>
                <w:color w:val="auto"/>
              </w:rPr>
            </w:pPr>
            <w:r>
              <w:rPr>
                <w:rFonts w:ascii="Arial" w:cs="Arial" w:eastAsia="Arial" w:hAnsi="Arial"/>
                <w:sz w:val="18"/>
                <w:szCs w:val="18"/>
                <w:b w:val="1"/>
                <w:bCs w:val="1"/>
                <w:color w:val="auto"/>
              </w:rPr>
              <w:t>7,103</w:t>
            </w:r>
          </w:p>
        </w:tc>
        <w:tc>
          <w:tcPr>
            <w:tcW w:w="5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b w:val="1"/>
                <w:bCs w:val="1"/>
                <w:color w:val="auto"/>
              </w:rPr>
              <w:t>1,228</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17.3%</w:t>
            </w:r>
          </w:p>
        </w:tc>
      </w:tr>
      <w:tr>
        <w:trPr>
          <w:trHeight w:val="34"/>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1,055</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944</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111</w:t>
            </w: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416</w:t>
            </w:r>
          </w:p>
        </w:tc>
        <w:tc>
          <w:tcPr>
            <w:tcW w:w="68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394</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22</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5.5</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285</w:t>
            </w:r>
          </w:p>
        </w:tc>
        <w:tc>
          <w:tcPr>
            <w:tcW w:w="68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56</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229</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407.4</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551</w:t>
            </w:r>
          </w:p>
        </w:tc>
        <w:tc>
          <w:tcPr>
            <w:tcW w:w="68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469</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82</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17.3</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(236)</w:t>
            </w:r>
          </w:p>
        </w:tc>
        <w:tc>
          <w:tcPr>
            <w:tcW w:w="680" w:type="dxa"/>
            <w:vAlign w:val="bottom"/>
          </w:tcPr>
          <w:p>
            <w:pPr>
              <w:spacing w:after="0"/>
              <w:rPr>
                <w:sz w:val="23"/>
                <w:szCs w:val="23"/>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(174)</w:t>
            </w:r>
          </w:p>
        </w:tc>
        <w:tc>
          <w:tcPr>
            <w:tcW w:w="540" w:type="dxa"/>
            <w:vAlign w:val="bottom"/>
          </w:tcPr>
          <w:p>
            <w:pPr>
              <w:spacing w:after="0"/>
              <w:rPr>
                <w:sz w:val="23"/>
                <w:szCs w:val="23"/>
                <w:color w:val="auto"/>
              </w:rPr>
            </w:pPr>
          </w:p>
        </w:tc>
        <w:tc>
          <w:tcPr>
            <w:tcW w:w="1620" w:type="dxa"/>
            <w:vAlign w:val="bottom"/>
          </w:tcPr>
          <w:p>
            <w:pPr>
              <w:jc w:val="right"/>
              <w:ind w:right="514"/>
              <w:spacing w:after="0"/>
              <w:rPr>
                <w:sz w:val="20"/>
                <w:szCs w:val="20"/>
                <w:color w:val="auto"/>
              </w:rPr>
            </w:pPr>
            <w:r>
              <w:rPr>
                <w:rFonts w:ascii="Arial" w:cs="Arial" w:eastAsia="Arial" w:hAnsi="Arial"/>
                <w:sz w:val="18"/>
                <w:szCs w:val="18"/>
                <w:color w:val="auto"/>
              </w:rPr>
              <w:t>(62)</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NM</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Total 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3"/>
              <w:spacing w:after="0"/>
              <w:rPr>
                <w:sz w:val="20"/>
                <w:szCs w:val="20"/>
                <w:color w:val="auto"/>
              </w:rPr>
            </w:pPr>
            <w:r>
              <w:rPr>
                <w:rFonts w:ascii="Arial" w:cs="Arial" w:eastAsia="Arial" w:hAnsi="Arial"/>
                <w:sz w:val="18"/>
                <w:szCs w:val="18"/>
                <w:b w:val="1"/>
                <w:bCs w:val="1"/>
                <w:color w:val="auto"/>
              </w:rPr>
              <w:t>2,071</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11"/>
              <w:spacing w:after="0"/>
              <w:rPr>
                <w:sz w:val="20"/>
                <w:szCs w:val="20"/>
                <w:color w:val="auto"/>
              </w:rPr>
            </w:pPr>
            <w:r>
              <w:rPr>
                <w:rFonts w:ascii="Arial" w:cs="Arial" w:eastAsia="Arial" w:hAnsi="Arial"/>
                <w:sz w:val="18"/>
                <w:szCs w:val="18"/>
                <w:b w:val="1"/>
                <w:bCs w:val="1"/>
                <w:color w:val="auto"/>
              </w:rPr>
              <w:t>1,689</w:t>
            </w:r>
          </w:p>
        </w:tc>
        <w:tc>
          <w:tcPr>
            <w:tcW w:w="5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b w:val="1"/>
                <w:bCs w:val="1"/>
                <w:color w:val="auto"/>
              </w:rPr>
              <w:t>382</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22.6%</w:t>
            </w:r>
          </w:p>
        </w:tc>
      </w:tr>
      <w:tr>
        <w:trPr>
          <w:trHeight w:val="34"/>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621"/>
        </w:trPr>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673"/>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75"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tcPr>
          <w:p>
            <w:pPr>
              <w:jc w:val="right"/>
              <w:ind w:right="154"/>
              <w:spacing w:after="0"/>
              <w:rPr>
                <w:sz w:val="20"/>
                <w:szCs w:val="20"/>
                <w:color w:val="auto"/>
              </w:rPr>
            </w:pPr>
            <w:r>
              <w:rPr>
                <w:rFonts w:ascii="Arial" w:cs="Arial" w:eastAsia="Arial" w:hAnsi="Arial"/>
                <w:sz w:val="14"/>
                <w:szCs w:val="14"/>
                <w:color w:val="auto"/>
              </w:rPr>
              <w:t>Increase/</w:t>
            </w:r>
          </w:p>
        </w:tc>
        <w:tc>
          <w:tcPr>
            <w:tcW w:w="1020" w:type="dxa"/>
            <w:vAlign w:val="bottom"/>
          </w:tcPr>
          <w:p>
            <w:pPr>
              <w:spacing w:after="0"/>
              <w:rPr>
                <w:sz w:val="14"/>
                <w:szCs w:val="14"/>
                <w:color w:val="auto"/>
              </w:rPr>
            </w:pPr>
          </w:p>
        </w:tc>
      </w:tr>
      <w:tr>
        <w:trPr>
          <w:trHeight w:val="188"/>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2017</w:t>
            </w:r>
          </w:p>
        </w:tc>
        <w:tc>
          <w:tcPr>
            <w:tcW w:w="6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2016</w:t>
            </w:r>
          </w:p>
        </w:tc>
        <w:tc>
          <w:tcPr>
            <w:tcW w:w="5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4"/>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5,337</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5,019</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318</w:t>
            </w:r>
          </w:p>
        </w:tc>
        <w:tc>
          <w:tcPr>
            <w:tcW w:w="10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4,449</w:t>
            </w:r>
          </w:p>
        </w:tc>
        <w:tc>
          <w:tcPr>
            <w:tcW w:w="64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4,212</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237</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5.6</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4,136</w:t>
            </w:r>
          </w:p>
        </w:tc>
        <w:tc>
          <w:tcPr>
            <w:tcW w:w="64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2,734</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1,402</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51.3</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2,432</w:t>
            </w:r>
          </w:p>
        </w:tc>
        <w:tc>
          <w:tcPr>
            <w:tcW w:w="64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2,162</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270</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12.5</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(155)</w:t>
            </w:r>
          </w:p>
        </w:tc>
        <w:tc>
          <w:tcPr>
            <w:tcW w:w="64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(163)</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8</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NM</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b w:val="1"/>
                <w:bCs w:val="1"/>
                <w:color w:val="auto"/>
              </w:rPr>
              <w:t>16,199</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13,964</w:t>
            </w:r>
          </w:p>
        </w:tc>
        <w:tc>
          <w:tcPr>
            <w:tcW w:w="5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b w:val="1"/>
                <w:bCs w:val="1"/>
                <w:color w:val="auto"/>
              </w:rPr>
              <w:t>2,235</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16.0%</w:t>
            </w:r>
          </w:p>
        </w:tc>
      </w:tr>
      <w:tr>
        <w:trPr>
          <w:trHeight w:val="34"/>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Cable Networks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2,171</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1,900</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271</w:t>
            </w: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Broadcast Television</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738</w:t>
            </w:r>
          </w:p>
        </w:tc>
        <w:tc>
          <w:tcPr>
            <w:tcW w:w="64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678</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60</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8.8</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Filmed Entertainment</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653</w:t>
            </w:r>
          </w:p>
        </w:tc>
        <w:tc>
          <w:tcPr>
            <w:tcW w:w="64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223</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430</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192.7</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Theme Parks</w:t>
            </w:r>
          </w:p>
        </w:tc>
        <w:tc>
          <w:tcPr>
            <w:tcW w:w="340" w:type="dxa"/>
            <w:vAlign w:val="bottom"/>
          </w:tcPr>
          <w:p>
            <w:pPr>
              <w:spacing w:after="0"/>
              <w:rPr>
                <w:sz w:val="23"/>
                <w:szCs w:val="23"/>
                <w:color w:val="auto"/>
              </w:rPr>
            </w:pP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948</w:t>
            </w:r>
          </w:p>
        </w:tc>
        <w:tc>
          <w:tcPr>
            <w:tcW w:w="64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844</w:t>
            </w:r>
          </w:p>
        </w:tc>
        <w:tc>
          <w:tcPr>
            <w:tcW w:w="54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104</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12.3</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Headquarters, other and eliminations</w:t>
            </w:r>
          </w:p>
        </w:tc>
        <w:tc>
          <w:tcPr>
            <w:tcW w:w="340" w:type="dxa"/>
            <w:vAlign w:val="bottom"/>
          </w:tcPr>
          <w:p>
            <w:pPr>
              <w:spacing w:after="0"/>
              <w:rPr>
                <w:sz w:val="23"/>
                <w:szCs w:val="23"/>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(422)</w:t>
            </w:r>
          </w:p>
        </w:tc>
        <w:tc>
          <w:tcPr>
            <w:tcW w:w="64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(334)</w:t>
            </w:r>
          </w:p>
        </w:tc>
        <w:tc>
          <w:tcPr>
            <w:tcW w:w="540" w:type="dxa"/>
            <w:vAlign w:val="bottom"/>
          </w:tcPr>
          <w:p>
            <w:pPr>
              <w:spacing w:after="0"/>
              <w:rPr>
                <w:sz w:val="23"/>
                <w:szCs w:val="23"/>
                <w:color w:val="auto"/>
              </w:rPr>
            </w:pPr>
          </w:p>
        </w:tc>
        <w:tc>
          <w:tcPr>
            <w:tcW w:w="1620" w:type="dxa"/>
            <w:vAlign w:val="bottom"/>
          </w:tcPr>
          <w:p>
            <w:pPr>
              <w:jc w:val="right"/>
              <w:ind w:right="514"/>
              <w:spacing w:after="0"/>
              <w:rPr>
                <w:sz w:val="20"/>
                <w:szCs w:val="20"/>
                <w:color w:val="auto"/>
              </w:rPr>
            </w:pPr>
            <w:r>
              <w:rPr>
                <w:rFonts w:ascii="Arial" w:cs="Arial" w:eastAsia="Arial" w:hAnsi="Arial"/>
                <w:sz w:val="18"/>
                <w:szCs w:val="18"/>
                <w:color w:val="auto"/>
              </w:rPr>
              <w:t>(88)</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NM</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Total 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4"/>
              <w:spacing w:after="0"/>
              <w:rPr>
                <w:sz w:val="20"/>
                <w:szCs w:val="20"/>
                <w:color w:val="auto"/>
              </w:rPr>
            </w:pPr>
            <w:r>
              <w:rPr>
                <w:rFonts w:ascii="Arial" w:cs="Arial" w:eastAsia="Arial" w:hAnsi="Arial"/>
                <w:sz w:val="18"/>
                <w:szCs w:val="18"/>
                <w:b w:val="1"/>
                <w:bCs w:val="1"/>
                <w:color w:val="auto"/>
              </w:rPr>
              <w:t>4,088</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3,311</w:t>
            </w:r>
          </w:p>
        </w:tc>
        <w:tc>
          <w:tcPr>
            <w:tcW w:w="5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b w:val="1"/>
                <w:bCs w:val="1"/>
                <w:color w:val="auto"/>
              </w:rPr>
              <w:t>777</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23.5%</w:t>
            </w:r>
          </w:p>
        </w:tc>
      </w:tr>
      <w:tr>
        <w:trPr>
          <w:trHeight w:val="34"/>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1"/>
        </w:trPr>
        <w:tc>
          <w:tcPr>
            <w:tcW w:w="5000" w:type="dxa"/>
            <w:vAlign w:val="bottom"/>
          </w:tcPr>
          <w:p>
            <w:pPr>
              <w:spacing w:after="0"/>
              <w:rPr>
                <w:sz w:val="20"/>
                <w:szCs w:val="20"/>
                <w:color w:val="auto"/>
              </w:rPr>
            </w:pPr>
            <w:r>
              <w:rPr>
                <w:rFonts w:ascii="Arial" w:cs="Arial" w:eastAsia="Arial" w:hAnsi="Arial"/>
                <w:sz w:val="14"/>
                <w:szCs w:val="14"/>
                <w:color w:val="auto"/>
              </w:rPr>
              <w:t>Percentage changes that are considered not meaningful are denoted with NM.</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20" w:type="dxa"/>
            <w:vAlign w:val="bottom"/>
          </w:tcPr>
          <w:p>
            <w:pPr>
              <w:spacing w:after="0"/>
              <w:rPr>
                <w:sz w:val="16"/>
                <w:szCs w:val="16"/>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Networks Segment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tcPr>
          <w:p>
            <w:pPr>
              <w:jc w:val="center"/>
              <w:ind w:left="55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74"/>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2017</w:t>
            </w:r>
          </w:p>
        </w:tc>
        <w:tc>
          <w:tcPr>
            <w:tcW w:w="6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2016</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1,550</w:t>
            </w:r>
          </w:p>
        </w:tc>
        <w:tc>
          <w:tcPr>
            <w:tcW w:w="6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1,434</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116</w:t>
            </w:r>
          </w:p>
        </w:tc>
        <w:tc>
          <w:tcPr>
            <w:tcW w:w="1040" w:type="dxa"/>
            <w:vAlign w:val="bottom"/>
          </w:tcPr>
          <w:p>
            <w:pPr>
              <w:jc w:val="right"/>
              <w:spacing w:after="0"/>
              <w:rPr>
                <w:sz w:val="20"/>
                <w:szCs w:val="20"/>
                <w:color w:val="auto"/>
              </w:rPr>
            </w:pPr>
            <w:r>
              <w:rPr>
                <w:rFonts w:ascii="Arial" w:cs="Arial" w:eastAsia="Arial" w:hAnsi="Arial"/>
                <w:sz w:val="18"/>
                <w:szCs w:val="18"/>
                <w:color w:val="auto"/>
              </w:rPr>
              <w:t>8.1 %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906</w:t>
            </w:r>
          </w:p>
        </w:tc>
        <w:tc>
          <w:tcPr>
            <w:tcW w:w="68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914</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(8)</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(0.9)</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 and other</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240</w:t>
            </w:r>
          </w:p>
        </w:tc>
        <w:tc>
          <w:tcPr>
            <w:tcW w:w="68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218</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22</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10.5</w:t>
            </w:r>
          </w:p>
        </w:tc>
      </w:tr>
      <w:tr>
        <w:trPr>
          <w:trHeight w:val="27"/>
        </w:trPr>
        <w:tc>
          <w:tcPr>
            <w:tcW w:w="4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b w:val="1"/>
                <w:bCs w:val="1"/>
                <w:color w:val="auto"/>
              </w:rPr>
              <w:t>2,696</w:t>
            </w:r>
          </w:p>
        </w:tc>
        <w:tc>
          <w:tcPr>
            <w:tcW w:w="680" w:type="dxa"/>
            <w:vAlign w:val="bottom"/>
          </w:tcPr>
          <w:p>
            <w:pPr>
              <w:spacing w:after="0"/>
              <w:rPr>
                <w:sz w:val="20"/>
                <w:szCs w:val="20"/>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2,566</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130</w:t>
            </w:r>
          </w:p>
        </w:tc>
        <w:tc>
          <w:tcPr>
            <w:tcW w:w="1040" w:type="dxa"/>
            <w:vAlign w:val="bottom"/>
          </w:tcPr>
          <w:p>
            <w:pPr>
              <w:jc w:val="right"/>
              <w:ind w:right="172"/>
              <w:spacing w:after="0"/>
              <w:rPr>
                <w:sz w:val="20"/>
                <w:szCs w:val="20"/>
                <w:color w:val="auto"/>
              </w:rPr>
            </w:pPr>
            <w:r>
              <w:rPr>
                <w:rFonts w:ascii="Arial" w:cs="Arial" w:eastAsia="Arial" w:hAnsi="Arial"/>
                <w:sz w:val="18"/>
                <w:szCs w:val="18"/>
                <w:b w:val="1"/>
                <w:bCs w:val="1"/>
                <w:color w:val="auto"/>
              </w:rPr>
              <w:t>5.1</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1,197</w:t>
            </w:r>
          </w:p>
        </w:tc>
        <w:tc>
          <w:tcPr>
            <w:tcW w:w="68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1,194</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3</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0.3</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325</w:t>
            </w:r>
          </w:p>
        </w:tc>
        <w:tc>
          <w:tcPr>
            <w:tcW w:w="68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313</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12</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4.1</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119</w:t>
            </w:r>
          </w:p>
        </w:tc>
        <w:tc>
          <w:tcPr>
            <w:tcW w:w="68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115</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4</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3.6</w:t>
            </w:r>
          </w:p>
        </w:tc>
      </w:tr>
      <w:tr>
        <w:trPr>
          <w:trHeight w:val="27"/>
        </w:trPr>
        <w:tc>
          <w:tcPr>
            <w:tcW w:w="4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1,641</w:t>
            </w:r>
          </w:p>
        </w:tc>
        <w:tc>
          <w:tcPr>
            <w:tcW w:w="680" w:type="dxa"/>
            <w:vAlign w:val="bottom"/>
          </w:tcPr>
          <w:p>
            <w:pPr>
              <w:spacing w:after="0"/>
              <w:rPr>
                <w:sz w:val="20"/>
                <w:szCs w:val="20"/>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1,622</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19</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1.2</w:t>
            </w:r>
          </w:p>
        </w:tc>
      </w:tr>
      <w:tr>
        <w:trPr>
          <w:trHeight w:val="27"/>
        </w:trPr>
        <w:tc>
          <w:tcPr>
            <w:tcW w:w="4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4"/>
              <w:spacing w:after="0"/>
              <w:rPr>
                <w:sz w:val="20"/>
                <w:szCs w:val="20"/>
                <w:color w:val="auto"/>
              </w:rPr>
            </w:pPr>
            <w:r>
              <w:rPr>
                <w:rFonts w:ascii="Arial" w:cs="Arial" w:eastAsia="Arial" w:hAnsi="Arial"/>
                <w:sz w:val="18"/>
                <w:szCs w:val="18"/>
                <w:b w:val="1"/>
                <w:bCs w:val="1"/>
                <w:color w:val="auto"/>
              </w:rPr>
              <w:t>1,055</w:t>
            </w:r>
          </w:p>
        </w:tc>
        <w:tc>
          <w:tcPr>
            <w:tcW w:w="68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944</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111</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11.7 %</w:t>
            </w:r>
          </w:p>
        </w:tc>
      </w:tr>
      <w:tr>
        <w:trPr>
          <w:trHeight w:val="34"/>
        </w:trPr>
        <w:tc>
          <w:tcPr>
            <w:tcW w:w="4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2"/>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jc w:val="right"/>
              <w:ind w:right="50"/>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jc w:val="center"/>
              <w:ind w:left="55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24"/>
                <w:szCs w:val="24"/>
                <w:color w:val="auto"/>
              </w:rPr>
            </w:pPr>
          </w:p>
        </w:tc>
      </w:tr>
      <w:tr>
        <w:trPr>
          <w:trHeight w:val="188"/>
        </w:trPr>
        <w:tc>
          <w:tcPr>
            <w:tcW w:w="4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74"/>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2017</w:t>
            </w:r>
          </w:p>
        </w:tc>
        <w:tc>
          <w:tcPr>
            <w:tcW w:w="6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89"/>
              </w:rPr>
              <w:t>2016</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Distribution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23"/>
                <w:szCs w:val="23"/>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3,112</w:t>
            </w:r>
          </w:p>
        </w:tc>
        <w:tc>
          <w:tcPr>
            <w:tcW w:w="6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2,872</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240</w:t>
            </w:r>
          </w:p>
        </w:tc>
        <w:tc>
          <w:tcPr>
            <w:tcW w:w="1040" w:type="dxa"/>
            <w:vAlign w:val="bottom"/>
          </w:tcPr>
          <w:p>
            <w:pPr>
              <w:jc w:val="right"/>
              <w:spacing w:after="0"/>
              <w:rPr>
                <w:sz w:val="20"/>
                <w:szCs w:val="20"/>
                <w:color w:val="auto"/>
              </w:rPr>
            </w:pPr>
            <w:r>
              <w:rPr>
                <w:rFonts w:ascii="Arial" w:cs="Arial" w:eastAsia="Arial" w:hAnsi="Arial"/>
                <w:sz w:val="18"/>
                <w:szCs w:val="18"/>
                <w:color w:val="auto"/>
              </w:rPr>
              <w:t>8.3 %</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1,732</w:t>
            </w:r>
          </w:p>
        </w:tc>
        <w:tc>
          <w:tcPr>
            <w:tcW w:w="68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1,765</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(33)</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(1.9)</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 and other</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493</w:t>
            </w:r>
          </w:p>
        </w:tc>
        <w:tc>
          <w:tcPr>
            <w:tcW w:w="68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382</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111</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29.2</w:t>
            </w:r>
          </w:p>
        </w:tc>
      </w:tr>
      <w:tr>
        <w:trPr>
          <w:trHeight w:val="27"/>
        </w:trPr>
        <w:tc>
          <w:tcPr>
            <w:tcW w:w="4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b w:val="1"/>
                <w:bCs w:val="1"/>
                <w:color w:val="auto"/>
              </w:rPr>
              <w:t>5,337</w:t>
            </w:r>
          </w:p>
        </w:tc>
        <w:tc>
          <w:tcPr>
            <w:tcW w:w="680" w:type="dxa"/>
            <w:vAlign w:val="bottom"/>
          </w:tcPr>
          <w:p>
            <w:pPr>
              <w:spacing w:after="0"/>
              <w:rPr>
                <w:sz w:val="20"/>
                <w:szCs w:val="20"/>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5,019</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318</w:t>
            </w:r>
          </w:p>
        </w:tc>
        <w:tc>
          <w:tcPr>
            <w:tcW w:w="1040" w:type="dxa"/>
            <w:vAlign w:val="bottom"/>
          </w:tcPr>
          <w:p>
            <w:pPr>
              <w:jc w:val="right"/>
              <w:ind w:right="172"/>
              <w:spacing w:after="0"/>
              <w:rPr>
                <w:sz w:val="20"/>
                <w:szCs w:val="20"/>
                <w:color w:val="auto"/>
              </w:rPr>
            </w:pPr>
            <w:r>
              <w:rPr>
                <w:rFonts w:ascii="Arial" w:cs="Arial" w:eastAsia="Arial" w:hAnsi="Arial"/>
                <w:sz w:val="18"/>
                <w:szCs w:val="18"/>
                <w:b w:val="1"/>
                <w:bCs w:val="1"/>
                <w:color w:val="auto"/>
              </w:rPr>
              <w:t>6.3</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2,280</w:t>
            </w:r>
          </w:p>
        </w:tc>
        <w:tc>
          <w:tcPr>
            <w:tcW w:w="68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2,252</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28</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1.3</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646</w:t>
            </w:r>
          </w:p>
        </w:tc>
        <w:tc>
          <w:tcPr>
            <w:tcW w:w="68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620</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26</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4.2</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240</w:t>
            </w:r>
          </w:p>
        </w:tc>
        <w:tc>
          <w:tcPr>
            <w:tcW w:w="68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247</w:t>
            </w:r>
          </w:p>
        </w:tc>
        <w:tc>
          <w:tcPr>
            <w:tcW w:w="560" w:type="dxa"/>
            <w:vAlign w:val="bottom"/>
          </w:tcPr>
          <w:p>
            <w:pPr>
              <w:spacing w:after="0"/>
              <w:rPr>
                <w:sz w:val="23"/>
                <w:szCs w:val="23"/>
                <w:color w:val="auto"/>
              </w:rPr>
            </w:pP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(7)</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(2.8)</w:t>
            </w:r>
          </w:p>
        </w:tc>
      </w:tr>
      <w:tr>
        <w:trPr>
          <w:trHeight w:val="27"/>
        </w:trPr>
        <w:tc>
          <w:tcPr>
            <w:tcW w:w="4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3,166</w:t>
            </w:r>
          </w:p>
        </w:tc>
        <w:tc>
          <w:tcPr>
            <w:tcW w:w="680" w:type="dxa"/>
            <w:vAlign w:val="bottom"/>
          </w:tcPr>
          <w:p>
            <w:pPr>
              <w:spacing w:after="0"/>
              <w:rPr>
                <w:sz w:val="20"/>
                <w:szCs w:val="20"/>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3,119</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47</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1.5</w:t>
            </w:r>
          </w:p>
        </w:tc>
      </w:tr>
      <w:tr>
        <w:trPr>
          <w:trHeight w:val="27"/>
        </w:trPr>
        <w:tc>
          <w:tcPr>
            <w:tcW w:w="4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80" w:type="dxa"/>
            <w:vAlign w:val="bottom"/>
          </w:tcPr>
          <w:p>
            <w:pPr>
              <w:spacing w:after="0"/>
              <w:rPr>
                <w:sz w:val="20"/>
                <w:szCs w:val="20"/>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b w:val="1"/>
                <w:bCs w:val="1"/>
                <w:color w:val="auto"/>
              </w:rPr>
              <w:t>2,171</w:t>
            </w:r>
          </w:p>
        </w:tc>
        <w:tc>
          <w:tcPr>
            <w:tcW w:w="68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b w:val="1"/>
                <w:bCs w:val="1"/>
                <w:color w:val="auto"/>
              </w:rPr>
              <w:t>1,900</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271</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14.2 %</w:t>
            </w:r>
          </w:p>
        </w:tc>
      </w:tr>
      <w:tr>
        <w:trPr>
          <w:trHeight w:val="34"/>
        </w:trPr>
        <w:tc>
          <w:tcPr>
            <w:tcW w:w="4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Segment—Revenue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Cable Networks revenue increased for the three and six months ended June 30, 2017 compared to the same periods in 2016 due to increases in distribution revenue and content licensing and other revenue, which were partially offset by decreases in advertising revenue. The increases in distribution revenue were primarily due to increases in the contractual rates charged under distribution agreements and the timing of contract renewals, which were partially offset by a decline in the number of subscribers at our cable networks. The increases in content licensing and other revenue were primarily due to the timing of content provided under our</w:t>
      </w:r>
    </w:p>
    <w:p>
      <w:pPr>
        <w:sectPr>
          <w:pgSz w:w="11900" w:h="16838" w:orient="portrait"/>
          <w:cols w:equalWidth="0" w:num="1">
            <w:col w:w="11420"/>
          </w:cols>
          <w:pgMar w:left="240" w:top="175" w:right="239" w:bottom="393"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75" w:right="239" w:bottom="393"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licensing agreements. The decreases in advertising revenue were primarily due to the impact of continued declines in audience ratings at our networks, which were partially offset by higher prices for advertising units sold.</w:t>
      </w:r>
    </w:p>
    <w:p>
      <w:pPr>
        <w:spacing w:after="0" w:line="1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both the three and six months ended June 30, 2017, 15% of our Cable Networks segment revenue was generated from our Cable Communications segment. For both the three and six months ended June 30, 2016, 14% of our Cable Networks segment revenue was generated from our Cable Communications segment. These amounts are eliminated in our condensed consolidated financial statements but are included in the amounts presented above.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Segment—Operating Costs and Expenses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costs and expenses increased slightly for the three months ended June 30, 2017 compared to the same period in 2016 primarily due to an increase in other operating and administrative expenses, which was primarily due to an increase in employee-related costs.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increased slightly for the six months ended June 30, 2017 compared to the same period in 2016 primarily due to increases in programming and production costs and other operating and administrative expenses. The increase in programming and production costs was primarily due to higher studio production costs and an increase in sports programming rights costs. The increase in other operating and administrative expenses was primarily due to an increase in employee-related costs.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Broadcast Television Segment Results of Operations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center"/>
              <w:ind w:left="513"/>
              <w:spacing w:after="0"/>
              <w:rPr>
                <w:sz w:val="20"/>
                <w:szCs w:val="20"/>
                <w:color w:val="auto"/>
              </w:rPr>
            </w:pPr>
            <w:r>
              <w:rPr>
                <w:rFonts w:ascii="Arial" w:cs="Arial" w:eastAsia="Arial" w:hAnsi="Arial"/>
                <w:sz w:val="14"/>
                <w:szCs w:val="14"/>
                <w:color w:val="auto"/>
                <w:w w:val="93"/>
              </w:rPr>
              <w:t>Three Months Ended</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tcPr>
          <w:p>
            <w:pPr>
              <w:jc w:val="center"/>
              <w:ind w:left="55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14"/>
                <w:szCs w:val="1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color w:val="auto"/>
                <w:w w:val="88"/>
              </w:rPr>
              <w:t>June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74"/>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2017</w:t>
            </w:r>
          </w:p>
        </w:tc>
        <w:tc>
          <w:tcPr>
            <w:tcW w:w="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2016</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1,270</w:t>
            </w:r>
          </w:p>
        </w:tc>
        <w:tc>
          <w:tcPr>
            <w:tcW w:w="88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1,285</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(15)</w:t>
            </w: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523</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512</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11</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2.1</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448</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331</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117</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36.1</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2,241</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2,128</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113</w:t>
            </w:r>
          </w:p>
        </w:tc>
        <w:tc>
          <w:tcPr>
            <w:tcW w:w="1040" w:type="dxa"/>
            <w:vAlign w:val="bottom"/>
          </w:tcPr>
          <w:p>
            <w:pPr>
              <w:jc w:val="right"/>
              <w:ind w:right="172"/>
              <w:spacing w:after="0"/>
              <w:rPr>
                <w:sz w:val="20"/>
                <w:szCs w:val="20"/>
                <w:color w:val="auto"/>
              </w:rPr>
            </w:pPr>
            <w:r>
              <w:rPr>
                <w:rFonts w:ascii="Arial" w:cs="Arial" w:eastAsia="Arial" w:hAnsi="Arial"/>
                <w:sz w:val="18"/>
                <w:szCs w:val="18"/>
                <w:b w:val="1"/>
                <w:bCs w:val="1"/>
                <w:color w:val="auto"/>
              </w:rPr>
              <w:t>5.3</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1,352</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1,304</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48</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3.7</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349</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335</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14</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4.8</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95</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29</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29.3</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1,825</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1,734</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91</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5.3</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416</w:t>
            </w:r>
          </w:p>
        </w:tc>
        <w:tc>
          <w:tcPr>
            <w:tcW w:w="88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394</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22</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5.5 %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454"/>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jc w:val="center"/>
              <w:ind w:left="493"/>
              <w:spacing w:after="0"/>
              <w:rPr>
                <w:sz w:val="20"/>
                <w:szCs w:val="20"/>
                <w:color w:val="auto"/>
              </w:rPr>
            </w:pPr>
            <w:r>
              <w:rPr>
                <w:rFonts w:ascii="Arial" w:cs="Arial" w:eastAsia="Arial" w:hAnsi="Arial"/>
                <w:sz w:val="14"/>
                <w:szCs w:val="14"/>
                <w:color w:val="auto"/>
                <w:w w:val="95"/>
              </w:rPr>
              <w:t>Six Months Ended</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jc w:val="center"/>
              <w:ind w:left="554"/>
              <w:spacing w:after="0"/>
              <w:rPr>
                <w:sz w:val="20"/>
                <w:szCs w:val="20"/>
                <w:color w:val="auto"/>
              </w:rPr>
            </w:pPr>
            <w:r>
              <w:rPr>
                <w:rFonts w:ascii="Arial" w:cs="Arial" w:eastAsia="Arial" w:hAnsi="Arial"/>
                <w:sz w:val="14"/>
                <w:szCs w:val="14"/>
                <w:color w:val="auto"/>
                <w:w w:val="90"/>
              </w:rPr>
              <w:t>Increase/</w:t>
            </w:r>
          </w:p>
        </w:tc>
        <w:tc>
          <w:tcPr>
            <w:tcW w:w="1040" w:type="dxa"/>
            <w:vAlign w:val="bottom"/>
          </w:tcPr>
          <w:p>
            <w:pPr>
              <w:spacing w:after="0"/>
              <w:rPr>
                <w:sz w:val="24"/>
                <w:szCs w:val="24"/>
                <w:color w:val="auto"/>
              </w:rPr>
            </w:pPr>
          </w:p>
        </w:tc>
      </w:tr>
      <w:tr>
        <w:trPr>
          <w:trHeight w:val="188"/>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color w:val="auto"/>
                <w:w w:val="88"/>
              </w:rPr>
              <w:t>June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left="574"/>
              <w:spacing w:after="0"/>
              <w:rPr>
                <w:sz w:val="20"/>
                <w:szCs w:val="20"/>
                <w:color w:val="auto"/>
              </w:rPr>
            </w:pPr>
            <w:r>
              <w:rPr>
                <w:rFonts w:ascii="Arial" w:cs="Arial" w:eastAsia="Arial" w:hAnsi="Arial"/>
                <w:sz w:val="14"/>
                <w:szCs w:val="14"/>
                <w:color w:val="auto"/>
                <w:w w:val="89"/>
              </w:rPr>
              <w:t>(Decrease)</w:t>
            </w:r>
          </w:p>
        </w:tc>
        <w:tc>
          <w:tcPr>
            <w:tcW w:w="104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2017</w:t>
            </w:r>
          </w:p>
        </w:tc>
        <w:tc>
          <w:tcPr>
            <w:tcW w:w="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2016</w:t>
            </w:r>
          </w:p>
        </w:tc>
        <w:tc>
          <w:tcPr>
            <w:tcW w:w="5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194"/>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2,549</w:t>
            </w:r>
          </w:p>
        </w:tc>
        <w:tc>
          <w:tcPr>
            <w:tcW w:w="88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2,560</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34"/>
              <w:spacing w:after="0"/>
              <w:rPr>
                <w:sz w:val="20"/>
                <w:szCs w:val="20"/>
                <w:color w:val="auto"/>
              </w:rPr>
            </w:pPr>
            <w:r>
              <w:rPr>
                <w:rFonts w:ascii="Arial" w:cs="Arial" w:eastAsia="Arial" w:hAnsi="Arial"/>
                <w:sz w:val="18"/>
                <w:szCs w:val="18"/>
                <w:color w:val="auto"/>
              </w:rPr>
              <w:t>(11)</w:t>
            </w: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1,026</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1,002</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24</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2.4</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Distribution and other</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874</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650</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224</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34.7</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4,449</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4,212</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237</w:t>
            </w:r>
          </w:p>
        </w:tc>
        <w:tc>
          <w:tcPr>
            <w:tcW w:w="1040" w:type="dxa"/>
            <w:vAlign w:val="bottom"/>
          </w:tcPr>
          <w:p>
            <w:pPr>
              <w:jc w:val="right"/>
              <w:ind w:right="172"/>
              <w:spacing w:after="0"/>
              <w:rPr>
                <w:sz w:val="20"/>
                <w:szCs w:val="20"/>
                <w:color w:val="auto"/>
              </w:rPr>
            </w:pPr>
            <w:r>
              <w:rPr>
                <w:rFonts w:ascii="Arial" w:cs="Arial" w:eastAsia="Arial" w:hAnsi="Arial"/>
                <w:sz w:val="18"/>
                <w:szCs w:val="18"/>
                <w:b w:val="1"/>
                <w:bCs w:val="1"/>
                <w:color w:val="auto"/>
              </w:rPr>
              <w:t>5.6</w:t>
            </w:r>
          </w:p>
        </w:tc>
      </w:tr>
      <w:tr>
        <w:trPr>
          <w:trHeight w:val="270"/>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2,784</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2,667</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117</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4.4</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685</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653</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32</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5.2</w:t>
            </w:r>
          </w:p>
        </w:tc>
      </w:tr>
      <w:tr>
        <w:trPr>
          <w:trHeight w:val="270"/>
        </w:trPr>
        <w:tc>
          <w:tcPr>
            <w:tcW w:w="496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214</w:t>
            </w:r>
          </w:p>
        </w:tc>
        <w:tc>
          <w:tcPr>
            <w:tcW w:w="560" w:type="dxa"/>
            <w:vAlign w:val="bottom"/>
          </w:tcPr>
          <w:p>
            <w:pPr>
              <w:spacing w:after="0"/>
              <w:rPr>
                <w:sz w:val="23"/>
                <w:szCs w:val="23"/>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28</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12.7</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3,711</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3,534</w:t>
            </w:r>
          </w:p>
        </w:tc>
        <w:tc>
          <w:tcPr>
            <w:tcW w:w="560" w:type="dxa"/>
            <w:vAlign w:val="bottom"/>
          </w:tcPr>
          <w:p>
            <w:pPr>
              <w:spacing w:after="0"/>
              <w:rPr>
                <w:sz w:val="20"/>
                <w:szCs w:val="20"/>
                <w:color w:val="auto"/>
              </w:rPr>
            </w:pPr>
          </w:p>
        </w:tc>
        <w:tc>
          <w:tcPr>
            <w:tcW w:w="1640" w:type="dxa"/>
            <w:vAlign w:val="bottom"/>
          </w:tcPr>
          <w:p>
            <w:pPr>
              <w:jc w:val="right"/>
              <w:ind w:right="594"/>
              <w:spacing w:after="0"/>
              <w:rPr>
                <w:sz w:val="20"/>
                <w:szCs w:val="20"/>
                <w:color w:val="auto"/>
              </w:rPr>
            </w:pPr>
            <w:r>
              <w:rPr>
                <w:rFonts w:ascii="Arial" w:cs="Arial" w:eastAsia="Arial" w:hAnsi="Arial"/>
                <w:sz w:val="18"/>
                <w:szCs w:val="18"/>
                <w:color w:val="auto"/>
              </w:rPr>
              <w:t>177</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5.0</w:t>
            </w:r>
          </w:p>
        </w:tc>
      </w:tr>
      <w:tr>
        <w:trPr>
          <w:trHeight w:val="27"/>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738</w:t>
            </w:r>
          </w:p>
        </w:tc>
        <w:tc>
          <w:tcPr>
            <w:tcW w:w="88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678</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594"/>
              <w:spacing w:after="0"/>
              <w:rPr>
                <w:sz w:val="20"/>
                <w:szCs w:val="20"/>
                <w:color w:val="auto"/>
              </w:rPr>
            </w:pPr>
            <w:r>
              <w:rPr>
                <w:rFonts w:ascii="Arial" w:cs="Arial" w:eastAsia="Arial" w:hAnsi="Arial"/>
                <w:sz w:val="18"/>
                <w:szCs w:val="18"/>
                <w:b w:val="1"/>
                <w:bCs w:val="1"/>
                <w:color w:val="auto"/>
              </w:rPr>
              <w:t>60</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8.8 %</w:t>
            </w:r>
          </w:p>
        </w:tc>
      </w:tr>
      <w:tr>
        <w:trPr>
          <w:trHeight w:val="34"/>
        </w:trPr>
        <w:tc>
          <w:tcPr>
            <w:tcW w:w="4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621"/>
        </w:trPr>
        <w:tc>
          <w:tcPr>
            <w:tcW w:w="4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433"/>
              <w:spacing w:after="0"/>
              <w:rPr>
                <w:sz w:val="20"/>
                <w:szCs w:val="20"/>
                <w:color w:val="auto"/>
              </w:rPr>
            </w:pPr>
            <w:r>
              <w:rPr>
                <w:rFonts w:ascii="Arial" w:cs="Arial" w:eastAsia="Arial" w:hAnsi="Arial"/>
                <w:sz w:val="18"/>
                <w:szCs w:val="18"/>
                <w:color w:val="auto"/>
              </w:rPr>
              <w:t>33</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75"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Segment—Revenue</w:t>
      </w:r>
    </w:p>
    <w:p>
      <w:pPr>
        <w:spacing w:after="0" w:line="1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Broadcast Television revenue increased for the three and six months ended June 30, 2017 compared to the same periods in 2016 primarily due to increases in distribution and other revenue. The increases in distribution and other revenue were primarily due to increases in fees recognized under our retransmission consent agreements. Content licensing revenue increased for the three and six months ended June 30, 2017 compared to the same periods in 2016 due to the timing of content provided under our licensing agreements. Advertising revenue decreased for the three and six months ended June 30, 2017 compared to the same periods in 2016 primarily due to the impact of declines in audience ratings, which were partially offset by higher prices for advertising units sold. The decrease in advertising revenue for the six months ended June 30, 2017 was also due to a decrease in the volume of advertising units sold.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Segment—Operating Costs and Expenses</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costs and expenses increased for the three months ended June 30, 2017 compared to the same period in 2016 primarily due to increases in programming and production costs and advertising, marketing and promotion expenses. The increase in programming and production costs was primarily due to an increase in sports programming rights costs and higher studio production costs. The increase in advertising, marketing and promotion expenses was primarily due to increases in marketing spend related to our entertainment and news programming.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costs and expenses increased for the six months ended June 30, 2017 compared to the same period in 2016 primarily due to increases in programming and production costs and other operating and administrative expenses. The increase in programming and production costs was primarily due to an increase in sports programming rights costs and higher studio production costs. The increase in other operating and administrative expenses was primarily due to an increase in employee-related costs.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Filmed Entertainment Segment Results of Operations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center"/>
              <w:ind w:left="513"/>
              <w:spacing w:after="0"/>
              <w:rPr>
                <w:sz w:val="20"/>
                <w:szCs w:val="20"/>
                <w:color w:val="auto"/>
              </w:rPr>
            </w:pPr>
            <w:r>
              <w:rPr>
                <w:rFonts w:ascii="Arial" w:cs="Arial" w:eastAsia="Arial" w:hAnsi="Arial"/>
                <w:sz w:val="14"/>
                <w:szCs w:val="14"/>
                <w:color w:val="auto"/>
                <w:w w:val="93"/>
              </w:rPr>
              <w:t>Three Months Ended</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tcPr>
          <w:p>
            <w:pPr>
              <w:jc w:val="center"/>
              <w:ind w:left="534"/>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14"/>
                <w:szCs w:val="14"/>
                <w:color w:val="auto"/>
              </w:rPr>
            </w:pPr>
          </w:p>
        </w:tc>
      </w:tr>
      <w:tr>
        <w:trPr>
          <w:trHeight w:val="188"/>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color w:val="auto"/>
                <w:w w:val="88"/>
              </w:rPr>
              <w:t>June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54"/>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2017</w:t>
            </w:r>
          </w:p>
        </w:tc>
        <w:tc>
          <w:tcPr>
            <w:tcW w:w="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2016</w:t>
            </w: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4"/>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Theatrical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837</w:t>
            </w:r>
          </w:p>
        </w:tc>
        <w:tc>
          <w:tcPr>
            <w:tcW w:w="88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297</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540</w:t>
            </w:r>
          </w:p>
        </w:tc>
        <w:tc>
          <w:tcPr>
            <w:tcW w:w="1020" w:type="dxa"/>
            <w:vAlign w:val="bottom"/>
          </w:tcPr>
          <w:p>
            <w:pPr>
              <w:jc w:val="right"/>
              <w:spacing w:after="0"/>
              <w:rPr>
                <w:sz w:val="20"/>
                <w:szCs w:val="20"/>
                <w:color w:val="auto"/>
              </w:rPr>
            </w:pPr>
            <w:r>
              <w:rPr>
                <w:rFonts w:ascii="Arial" w:cs="Arial" w:eastAsia="Arial" w:hAnsi="Arial"/>
                <w:sz w:val="18"/>
                <w:szCs w:val="18"/>
                <w:color w:val="auto"/>
              </w:rPr>
              <w:t>181.2%</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683</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598</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85</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14.1</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Home entertainment</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103</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42.6</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215</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76</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37.1</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2,155</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1,351</w:t>
            </w:r>
          </w:p>
        </w:tc>
        <w:tc>
          <w:tcPr>
            <w:tcW w:w="560" w:type="dxa"/>
            <w:vAlign w:val="bottom"/>
          </w:tcPr>
          <w:p>
            <w:pPr>
              <w:spacing w:after="0"/>
              <w:rPr>
                <w:sz w:val="20"/>
                <w:szCs w:val="20"/>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b w:val="1"/>
                <w:bCs w:val="1"/>
                <w:color w:val="auto"/>
              </w:rPr>
              <w:t>804</w:t>
            </w:r>
          </w:p>
        </w:tc>
        <w:tc>
          <w:tcPr>
            <w:tcW w:w="1020" w:type="dxa"/>
            <w:vAlign w:val="bottom"/>
          </w:tcPr>
          <w:p>
            <w:pPr>
              <w:jc w:val="right"/>
              <w:ind w:right="132"/>
              <w:spacing w:after="0"/>
              <w:rPr>
                <w:sz w:val="20"/>
                <w:szCs w:val="20"/>
                <w:color w:val="auto"/>
              </w:rPr>
            </w:pPr>
            <w:r>
              <w:rPr>
                <w:rFonts w:ascii="Arial" w:cs="Arial" w:eastAsia="Arial" w:hAnsi="Arial"/>
                <w:sz w:val="18"/>
                <w:szCs w:val="18"/>
                <w:b w:val="1"/>
                <w:bCs w:val="1"/>
                <w:color w:val="auto"/>
              </w:rPr>
              <w:t>59.6</w:t>
            </w: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1,088</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628</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460</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73.2</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227</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105</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48.0</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440</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10</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2.0</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1,870</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1,295</w:t>
            </w:r>
          </w:p>
        </w:tc>
        <w:tc>
          <w:tcPr>
            <w:tcW w:w="560" w:type="dxa"/>
            <w:vAlign w:val="bottom"/>
          </w:tcPr>
          <w:p>
            <w:pPr>
              <w:spacing w:after="0"/>
              <w:rPr>
                <w:sz w:val="20"/>
                <w:szCs w:val="20"/>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575</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44.6</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285</w:t>
            </w:r>
          </w:p>
        </w:tc>
        <w:tc>
          <w:tcPr>
            <w:tcW w:w="88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56</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b w:val="1"/>
                <w:bCs w:val="1"/>
                <w:color w:val="auto"/>
              </w:rPr>
              <w:t>229</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407.4%</w:t>
            </w:r>
          </w:p>
        </w:tc>
      </w:tr>
      <w:tr>
        <w:trPr>
          <w:trHeight w:val="34"/>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54"/>
        </w:trPr>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jc w:val="center"/>
              <w:ind w:left="493"/>
              <w:spacing w:after="0"/>
              <w:rPr>
                <w:sz w:val="20"/>
                <w:szCs w:val="20"/>
                <w:color w:val="auto"/>
              </w:rPr>
            </w:pPr>
            <w:r>
              <w:rPr>
                <w:rFonts w:ascii="Arial" w:cs="Arial" w:eastAsia="Arial" w:hAnsi="Arial"/>
                <w:sz w:val="14"/>
                <w:szCs w:val="14"/>
                <w:color w:val="auto"/>
                <w:w w:val="95"/>
              </w:rPr>
              <w:t>Six Months Ended</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jc w:val="center"/>
              <w:ind w:left="534"/>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24"/>
                <w:szCs w:val="24"/>
                <w:color w:val="auto"/>
              </w:rPr>
            </w:pPr>
          </w:p>
        </w:tc>
      </w:tr>
      <w:tr>
        <w:trPr>
          <w:trHeight w:val="188"/>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color w:val="auto"/>
                <w:w w:val="88"/>
              </w:rPr>
              <w:t>June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54"/>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2017</w:t>
            </w:r>
          </w:p>
        </w:tc>
        <w:tc>
          <w:tcPr>
            <w:tcW w:w="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color w:val="auto"/>
                <w:w w:val="96"/>
              </w:rPr>
              <w:t>2016</w:t>
            </w: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4"/>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Theatrical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1,488</w:t>
            </w:r>
          </w:p>
        </w:tc>
        <w:tc>
          <w:tcPr>
            <w:tcW w:w="88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533</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955</w:t>
            </w:r>
          </w:p>
        </w:tc>
        <w:tc>
          <w:tcPr>
            <w:tcW w:w="1020" w:type="dxa"/>
            <w:vAlign w:val="bottom"/>
          </w:tcPr>
          <w:p>
            <w:pPr>
              <w:jc w:val="right"/>
              <w:spacing w:after="0"/>
              <w:rPr>
                <w:sz w:val="20"/>
                <w:szCs w:val="20"/>
                <w:color w:val="auto"/>
              </w:rPr>
            </w:pPr>
            <w:r>
              <w:rPr>
                <w:rFonts w:ascii="Arial" w:cs="Arial" w:eastAsia="Arial" w:hAnsi="Arial"/>
                <w:sz w:val="18"/>
                <w:szCs w:val="18"/>
                <w:color w:val="auto"/>
              </w:rPr>
              <w:t>179.0%</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Content licensing</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1,414</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1,250</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164</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13.1</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Home entertainment</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643</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516</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127</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24.6</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591</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435</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156</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36.5</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4,136</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2,734</w:t>
            </w:r>
          </w:p>
        </w:tc>
        <w:tc>
          <w:tcPr>
            <w:tcW w:w="560" w:type="dxa"/>
            <w:vAlign w:val="bottom"/>
          </w:tcPr>
          <w:p>
            <w:pPr>
              <w:spacing w:after="0"/>
              <w:rPr>
                <w:sz w:val="20"/>
                <w:szCs w:val="20"/>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b w:val="1"/>
                <w:bCs w:val="1"/>
                <w:color w:val="auto"/>
              </w:rPr>
              <w:t>1,402</w:t>
            </w:r>
          </w:p>
        </w:tc>
        <w:tc>
          <w:tcPr>
            <w:tcW w:w="1020" w:type="dxa"/>
            <w:vAlign w:val="bottom"/>
          </w:tcPr>
          <w:p>
            <w:pPr>
              <w:jc w:val="right"/>
              <w:ind w:right="132"/>
              <w:spacing w:after="0"/>
              <w:rPr>
                <w:sz w:val="20"/>
                <w:szCs w:val="20"/>
                <w:color w:val="auto"/>
              </w:rPr>
            </w:pPr>
            <w:r>
              <w:rPr>
                <w:rFonts w:ascii="Arial" w:cs="Arial" w:eastAsia="Arial" w:hAnsi="Arial"/>
                <w:sz w:val="18"/>
                <w:szCs w:val="18"/>
                <w:b w:val="1"/>
                <w:bCs w:val="1"/>
                <w:color w:val="auto"/>
              </w:rPr>
              <w:t>51.3</w:t>
            </w: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Operating costs and expenses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1,963</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1,250</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713</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57.0</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662</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436</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226</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52.4</w:t>
            </w:r>
          </w:p>
        </w:tc>
      </w:tr>
      <w:tr>
        <w:trPr>
          <w:trHeight w:val="270"/>
        </w:trPr>
        <w:tc>
          <w:tcPr>
            <w:tcW w:w="500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858</w:t>
            </w:r>
          </w:p>
        </w:tc>
        <w:tc>
          <w:tcPr>
            <w:tcW w:w="880" w:type="dxa"/>
            <w:vAlign w:val="bottom"/>
          </w:tcPr>
          <w:p>
            <w:pPr>
              <w:spacing w:after="0"/>
              <w:rPr>
                <w:sz w:val="23"/>
                <w:szCs w:val="23"/>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825</w:t>
            </w:r>
          </w:p>
        </w:tc>
        <w:tc>
          <w:tcPr>
            <w:tcW w:w="560" w:type="dxa"/>
            <w:vAlign w:val="bottom"/>
          </w:tcPr>
          <w:p>
            <w:pPr>
              <w:spacing w:after="0"/>
              <w:rPr>
                <w:sz w:val="23"/>
                <w:szCs w:val="23"/>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33</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3.9</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3,483</w:t>
            </w:r>
          </w:p>
        </w:tc>
        <w:tc>
          <w:tcPr>
            <w:tcW w:w="880" w:type="dxa"/>
            <w:vAlign w:val="bottom"/>
          </w:tcPr>
          <w:p>
            <w:pPr>
              <w:spacing w:after="0"/>
              <w:rPr>
                <w:sz w:val="20"/>
                <w:szCs w:val="20"/>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2,511</w:t>
            </w:r>
          </w:p>
        </w:tc>
        <w:tc>
          <w:tcPr>
            <w:tcW w:w="560" w:type="dxa"/>
            <w:vAlign w:val="bottom"/>
          </w:tcPr>
          <w:p>
            <w:pPr>
              <w:spacing w:after="0"/>
              <w:rPr>
                <w:sz w:val="20"/>
                <w:szCs w:val="20"/>
                <w:color w:val="auto"/>
              </w:rPr>
            </w:pPr>
          </w:p>
        </w:tc>
        <w:tc>
          <w:tcPr>
            <w:tcW w:w="1620" w:type="dxa"/>
            <w:vAlign w:val="bottom"/>
          </w:tcPr>
          <w:p>
            <w:pPr>
              <w:jc w:val="right"/>
              <w:ind w:right="574"/>
              <w:spacing w:after="0"/>
              <w:rPr>
                <w:sz w:val="20"/>
                <w:szCs w:val="20"/>
                <w:color w:val="auto"/>
              </w:rPr>
            </w:pPr>
            <w:r>
              <w:rPr>
                <w:rFonts w:ascii="Arial" w:cs="Arial" w:eastAsia="Arial" w:hAnsi="Arial"/>
                <w:sz w:val="18"/>
                <w:szCs w:val="18"/>
                <w:color w:val="auto"/>
              </w:rPr>
              <w:t>972</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38.8</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653</w:t>
            </w:r>
          </w:p>
        </w:tc>
        <w:tc>
          <w:tcPr>
            <w:tcW w:w="88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223</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4"/>
              <w:spacing w:after="0"/>
              <w:rPr>
                <w:sz w:val="20"/>
                <w:szCs w:val="20"/>
                <w:color w:val="auto"/>
              </w:rPr>
            </w:pPr>
            <w:r>
              <w:rPr>
                <w:rFonts w:ascii="Arial" w:cs="Arial" w:eastAsia="Arial" w:hAnsi="Arial"/>
                <w:sz w:val="18"/>
                <w:szCs w:val="18"/>
                <w:b w:val="1"/>
                <w:bCs w:val="1"/>
                <w:color w:val="auto"/>
              </w:rPr>
              <w:t>430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192.7%</w:t>
            </w:r>
          </w:p>
        </w:tc>
      </w:tr>
      <w:tr>
        <w:trPr>
          <w:trHeight w:val="34"/>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7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75"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Segment—Revenue</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Filmed Entertainment revenue increased for the three and six months ended June 30, 2017 compared to the same periods in 2016 primarily due to increases in theatrical revenue, as well as increases in content licensing revenue, other revenue and home entertainment revenue. The increases in theatrical revenue were primarily due to the strong performance of </w:t>
      </w:r>
      <w:r>
        <w:rPr>
          <w:rFonts w:ascii="Arial" w:cs="Arial" w:eastAsia="Arial" w:hAnsi="Arial"/>
          <w:sz w:val="17"/>
          <w:szCs w:val="17"/>
          <w:i w:val="1"/>
          <w:iCs w:val="1"/>
          <w:color w:val="auto"/>
        </w:rPr>
        <w:t>The Fate of the Furious</w:t>
      </w:r>
      <w:r>
        <w:rPr>
          <w:rFonts w:ascii="Arial" w:cs="Arial" w:eastAsia="Arial" w:hAnsi="Arial"/>
          <w:sz w:val="17"/>
          <w:szCs w:val="17"/>
          <w:color w:val="auto"/>
        </w:rPr>
        <w:t xml:space="preserve"> in the current year periods</w:t>
      </w:r>
      <w:r>
        <w:rPr>
          <w:rFonts w:ascii="Arial" w:cs="Arial" w:eastAsia="Arial" w:hAnsi="Arial"/>
          <w:sz w:val="17"/>
          <w:szCs w:val="17"/>
          <w:i w:val="1"/>
          <w:iCs w:val="1"/>
          <w:color w:val="auto"/>
        </w:rPr>
        <w:t>.</w:t>
      </w:r>
      <w:r>
        <w:rPr>
          <w:rFonts w:ascii="Arial" w:cs="Arial" w:eastAsia="Arial" w:hAnsi="Arial"/>
          <w:sz w:val="17"/>
          <w:szCs w:val="17"/>
          <w:color w:val="auto"/>
        </w:rPr>
        <w:t xml:space="preserve"> Theatrical revenue also increased for the six months ended June 30, 2017 due to the strong performances of </w:t>
      </w:r>
      <w:r>
        <w:rPr>
          <w:rFonts w:ascii="Arial" w:cs="Arial" w:eastAsia="Arial" w:hAnsi="Arial"/>
          <w:sz w:val="17"/>
          <w:szCs w:val="17"/>
          <w:i w:val="1"/>
          <w:iCs w:val="1"/>
          <w:color w:val="auto"/>
        </w:rPr>
        <w:t>Fifty Shades Darker</w:t>
      </w:r>
      <w:r>
        <w:rPr>
          <w:rFonts w:ascii="Arial" w:cs="Arial" w:eastAsia="Arial" w:hAnsi="Arial"/>
          <w:sz w:val="17"/>
          <w:szCs w:val="17"/>
          <w:color w:val="auto"/>
        </w:rPr>
        <w:t xml:space="preserve">, </w:t>
      </w:r>
      <w:r>
        <w:rPr>
          <w:rFonts w:ascii="Arial" w:cs="Arial" w:eastAsia="Arial" w:hAnsi="Arial"/>
          <w:sz w:val="17"/>
          <w:szCs w:val="17"/>
          <w:i w:val="1"/>
          <w:iCs w:val="1"/>
          <w:color w:val="auto"/>
        </w:rPr>
        <w:t>Sing</w:t>
      </w:r>
      <w:r>
        <w:rPr>
          <w:rFonts w:ascii="Arial" w:cs="Arial" w:eastAsia="Arial" w:hAnsi="Arial"/>
          <w:sz w:val="17"/>
          <w:szCs w:val="17"/>
          <w:color w:val="auto"/>
        </w:rPr>
        <w:t xml:space="preserve">, </w:t>
      </w:r>
      <w:r>
        <w:rPr>
          <w:rFonts w:ascii="Arial" w:cs="Arial" w:eastAsia="Arial" w:hAnsi="Arial"/>
          <w:sz w:val="17"/>
          <w:szCs w:val="17"/>
          <w:i w:val="1"/>
          <w:iCs w:val="1"/>
          <w:color w:val="auto"/>
        </w:rPr>
        <w:t>Split</w:t>
      </w:r>
      <w:r>
        <w:rPr>
          <w:rFonts w:ascii="Arial" w:cs="Arial" w:eastAsia="Arial" w:hAnsi="Arial"/>
          <w:sz w:val="17"/>
          <w:szCs w:val="17"/>
          <w:color w:val="auto"/>
        </w:rPr>
        <w:t xml:space="preserve"> and </w:t>
      </w:r>
      <w:r>
        <w:rPr>
          <w:rFonts w:ascii="Arial" w:cs="Arial" w:eastAsia="Arial" w:hAnsi="Arial"/>
          <w:sz w:val="17"/>
          <w:szCs w:val="17"/>
          <w:i w:val="1"/>
          <w:iCs w:val="1"/>
          <w:color w:val="auto"/>
        </w:rPr>
        <w:t>Get Out</w:t>
      </w:r>
      <w:r>
        <w:rPr>
          <w:rFonts w:ascii="Arial" w:cs="Arial" w:eastAsia="Arial" w:hAnsi="Arial"/>
          <w:sz w:val="17"/>
          <w:szCs w:val="17"/>
          <w:color w:val="auto"/>
        </w:rPr>
        <w:t xml:space="preserve"> in the current year period. Content licensing revenue increased primarily due to the inclusion of DreamWorks Animation in the current year periods. Other revenue increased due to increases in revenue from consumer products, including from DreamWorks Animation, in the current year periods. Home entertainment revenue increased primarily due to strong sales of several 2017 releases, including </w:t>
      </w:r>
      <w:r>
        <w:rPr>
          <w:rFonts w:ascii="Arial" w:cs="Arial" w:eastAsia="Arial" w:hAnsi="Arial"/>
          <w:sz w:val="17"/>
          <w:szCs w:val="17"/>
          <w:i w:val="1"/>
          <w:iCs w:val="1"/>
          <w:color w:val="auto"/>
        </w:rPr>
        <w:t>Fifty Shades Darker</w:t>
      </w:r>
      <w:r>
        <w:rPr>
          <w:rFonts w:ascii="Arial" w:cs="Arial" w:eastAsia="Arial" w:hAnsi="Arial"/>
          <w:sz w:val="17"/>
          <w:szCs w:val="17"/>
          <w:color w:val="auto"/>
        </w:rPr>
        <w:t xml:space="preserve"> and </w:t>
      </w:r>
      <w:r>
        <w:rPr>
          <w:rFonts w:ascii="Arial" w:cs="Arial" w:eastAsia="Arial" w:hAnsi="Arial"/>
          <w:sz w:val="17"/>
          <w:szCs w:val="17"/>
          <w:i w:val="1"/>
          <w:iCs w:val="1"/>
          <w:color w:val="auto"/>
        </w:rPr>
        <w:t>Sing</w:t>
      </w:r>
      <w:r>
        <w:rPr>
          <w:rFonts w:ascii="Arial" w:cs="Arial" w:eastAsia="Arial" w:hAnsi="Arial"/>
          <w:sz w:val="17"/>
          <w:szCs w:val="17"/>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Segment—Operating Costs and Expenses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costs and expenses increased for the three and six months ended June 30, 2017 compared to the same periods in 2016 primarily due to increases in programming and production costs, as well as increases in other operating and administrative expenses. The increases in programming and production costs were primarily due to higher amortization of film production costs for our 2017 releases, as well as the inclusion of costs associated with DreamWorks Animation. The increases in other operating and administrative expenses were primarily due to the inclusion of expenses associated with DreamWorks Animation.</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00" w:type="dxa"/>
            <w:vAlign w:val="bottom"/>
            <w:gridSpan w:val="2"/>
          </w:tcPr>
          <w:p>
            <w:pPr>
              <w:jc w:val="center"/>
              <w:ind w:left="517"/>
              <w:spacing w:after="0"/>
              <w:rPr>
                <w:sz w:val="20"/>
                <w:szCs w:val="20"/>
                <w:color w:val="auto"/>
              </w:rPr>
            </w:pPr>
            <w:r>
              <w:rPr>
                <w:rFonts w:ascii="Arial" w:cs="Arial" w:eastAsia="Arial" w:hAnsi="Arial"/>
                <w:sz w:val="14"/>
                <w:szCs w:val="14"/>
                <w:color w:val="auto"/>
                <w:w w:val="93"/>
              </w:rPr>
              <w:t>Three Months Ended</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20" w:type="dxa"/>
            <w:vAlign w:val="bottom"/>
          </w:tcPr>
          <w:p>
            <w:pPr>
              <w:jc w:val="center"/>
              <w:ind w:left="539"/>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14"/>
                <w:szCs w:val="14"/>
                <w:color w:val="auto"/>
              </w:rPr>
            </w:pPr>
          </w:p>
        </w:tc>
      </w:tr>
      <w:tr>
        <w:trPr>
          <w:trHeight w:val="188"/>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color w:val="auto"/>
                <w:w w:val="88"/>
              </w:rPr>
              <w:t>June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59"/>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2017</w:t>
            </w:r>
          </w:p>
        </w:tc>
        <w:tc>
          <w:tcPr>
            <w:tcW w:w="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w w:val="96"/>
              </w:rPr>
              <w:t>2016</w:t>
            </w: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1,314</w:t>
            </w:r>
          </w:p>
        </w:tc>
        <w:tc>
          <w:tcPr>
            <w:tcW w:w="88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1,136</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9"/>
              <w:spacing w:after="0"/>
              <w:rPr>
                <w:sz w:val="20"/>
                <w:szCs w:val="20"/>
                <w:color w:val="auto"/>
              </w:rPr>
            </w:pPr>
            <w:r>
              <w:rPr>
                <w:rFonts w:ascii="Arial" w:cs="Arial" w:eastAsia="Arial" w:hAnsi="Arial"/>
                <w:sz w:val="18"/>
                <w:szCs w:val="18"/>
                <w:color w:val="auto"/>
              </w:rPr>
              <w:t>178</w:t>
            </w:r>
          </w:p>
        </w:tc>
        <w:tc>
          <w:tcPr>
            <w:tcW w:w="1020" w:type="dxa"/>
            <w:vAlign w:val="bottom"/>
          </w:tcPr>
          <w:p>
            <w:pPr>
              <w:ind w:left="480"/>
              <w:spacing w:after="0"/>
              <w:rPr>
                <w:sz w:val="20"/>
                <w:szCs w:val="20"/>
                <w:color w:val="auto"/>
              </w:rPr>
            </w:pPr>
            <w:r>
              <w:rPr>
                <w:rFonts w:ascii="Arial" w:cs="Arial" w:eastAsia="Arial" w:hAnsi="Arial"/>
                <w:sz w:val="18"/>
                <w:szCs w:val="18"/>
                <w:color w:val="auto"/>
              </w:rPr>
              <w:t>15.6%</w:t>
            </w: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763</w:t>
            </w:r>
          </w:p>
        </w:tc>
        <w:tc>
          <w:tcPr>
            <w:tcW w:w="880" w:type="dxa"/>
            <w:vAlign w:val="bottom"/>
          </w:tcPr>
          <w:p>
            <w:pPr>
              <w:spacing w:after="0"/>
              <w:rPr>
                <w:sz w:val="23"/>
                <w:szCs w:val="23"/>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667</w:t>
            </w:r>
          </w:p>
        </w:tc>
        <w:tc>
          <w:tcPr>
            <w:tcW w:w="560" w:type="dxa"/>
            <w:vAlign w:val="bottom"/>
          </w:tcPr>
          <w:p>
            <w:pPr>
              <w:spacing w:after="0"/>
              <w:rPr>
                <w:sz w:val="23"/>
                <w:szCs w:val="23"/>
                <w:color w:val="auto"/>
              </w:rPr>
            </w:pPr>
          </w:p>
        </w:tc>
        <w:tc>
          <w:tcPr>
            <w:tcW w:w="1620" w:type="dxa"/>
            <w:vAlign w:val="bottom"/>
          </w:tcPr>
          <w:p>
            <w:pPr>
              <w:jc w:val="right"/>
              <w:ind w:right="579"/>
              <w:spacing w:after="0"/>
              <w:rPr>
                <w:sz w:val="20"/>
                <w:szCs w:val="20"/>
                <w:color w:val="auto"/>
              </w:rPr>
            </w:pPr>
            <w:r>
              <w:rPr>
                <w:rFonts w:ascii="Arial" w:cs="Arial" w:eastAsia="Arial" w:hAnsi="Arial"/>
                <w:sz w:val="18"/>
                <w:szCs w:val="18"/>
                <w:color w:val="auto"/>
              </w:rPr>
              <w:t>96</w:t>
            </w:r>
          </w:p>
        </w:tc>
        <w:tc>
          <w:tcPr>
            <w:tcW w:w="1020" w:type="dxa"/>
            <w:vAlign w:val="bottom"/>
          </w:tcPr>
          <w:p>
            <w:pPr>
              <w:ind w:left="480"/>
              <w:spacing w:after="0"/>
              <w:rPr>
                <w:sz w:val="20"/>
                <w:szCs w:val="20"/>
                <w:color w:val="auto"/>
              </w:rPr>
            </w:pPr>
            <w:r>
              <w:rPr>
                <w:rFonts w:ascii="Arial" w:cs="Arial" w:eastAsia="Arial" w:hAnsi="Arial"/>
                <w:sz w:val="18"/>
                <w:szCs w:val="18"/>
                <w:color w:val="auto"/>
              </w:rPr>
              <w:t>14.4</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551</w:t>
            </w:r>
          </w:p>
        </w:tc>
        <w:tc>
          <w:tcPr>
            <w:tcW w:w="88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b w:val="1"/>
                <w:bCs w:val="1"/>
                <w:color w:val="auto"/>
              </w:rPr>
              <w:t>469</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9"/>
              <w:spacing w:after="0"/>
              <w:rPr>
                <w:sz w:val="20"/>
                <w:szCs w:val="20"/>
                <w:color w:val="auto"/>
              </w:rPr>
            </w:pPr>
            <w:r>
              <w:rPr>
                <w:rFonts w:ascii="Arial" w:cs="Arial" w:eastAsia="Arial" w:hAnsi="Arial"/>
                <w:sz w:val="18"/>
                <w:szCs w:val="18"/>
                <w:b w:val="1"/>
                <w:bCs w:val="1"/>
                <w:color w:val="auto"/>
              </w:rPr>
              <w:t>82</w:t>
            </w:r>
          </w:p>
        </w:tc>
        <w:tc>
          <w:tcPr>
            <w:tcW w:w="1020" w:type="dxa"/>
            <w:vAlign w:val="bottom"/>
          </w:tcPr>
          <w:p>
            <w:pPr>
              <w:ind w:left="480"/>
              <w:spacing w:after="0"/>
              <w:rPr>
                <w:sz w:val="20"/>
                <w:szCs w:val="20"/>
                <w:color w:val="auto"/>
              </w:rPr>
            </w:pPr>
            <w:r>
              <w:rPr>
                <w:rFonts w:ascii="Arial" w:cs="Arial" w:eastAsia="Arial" w:hAnsi="Arial"/>
                <w:sz w:val="18"/>
                <w:szCs w:val="18"/>
                <w:b w:val="1"/>
                <w:bCs w:val="1"/>
                <w:color w:val="auto"/>
              </w:rPr>
              <w:t>17.3%</w:t>
            </w:r>
          </w:p>
        </w:tc>
      </w:tr>
      <w:tr>
        <w:trPr>
          <w:trHeight w:val="34"/>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54"/>
        </w:trPr>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2"/>
          </w:tcPr>
          <w:p>
            <w:pPr>
              <w:jc w:val="center"/>
              <w:ind w:left="497"/>
              <w:spacing w:after="0"/>
              <w:rPr>
                <w:sz w:val="20"/>
                <w:szCs w:val="20"/>
                <w:color w:val="auto"/>
              </w:rPr>
            </w:pPr>
            <w:r>
              <w:rPr>
                <w:rFonts w:ascii="Arial" w:cs="Arial" w:eastAsia="Arial" w:hAnsi="Arial"/>
                <w:sz w:val="14"/>
                <w:szCs w:val="14"/>
                <w:color w:val="auto"/>
                <w:w w:val="95"/>
              </w:rPr>
              <w:t>Six Months Ended</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20" w:type="dxa"/>
            <w:vAlign w:val="bottom"/>
          </w:tcPr>
          <w:p>
            <w:pPr>
              <w:jc w:val="center"/>
              <w:ind w:left="539"/>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24"/>
                <w:szCs w:val="24"/>
                <w:color w:val="auto"/>
              </w:rPr>
            </w:pPr>
          </w:p>
        </w:tc>
      </w:tr>
      <w:tr>
        <w:trPr>
          <w:trHeight w:val="188"/>
        </w:trPr>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56"/>
              <w:spacing w:after="0"/>
              <w:rPr>
                <w:sz w:val="20"/>
                <w:szCs w:val="20"/>
                <w:color w:val="auto"/>
              </w:rPr>
            </w:pPr>
            <w:r>
              <w:rPr>
                <w:rFonts w:ascii="Arial" w:cs="Arial" w:eastAsia="Arial" w:hAnsi="Arial"/>
                <w:sz w:val="14"/>
                <w:szCs w:val="14"/>
                <w:color w:val="auto"/>
                <w:w w:val="88"/>
              </w:rPr>
              <w:t>June 30</w:t>
            </w: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left="559"/>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color w:val="auto"/>
              </w:rPr>
              <w:t>2017</w:t>
            </w:r>
          </w:p>
        </w:tc>
        <w:tc>
          <w:tcPr>
            <w:tcW w:w="8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w w:val="96"/>
              </w:rPr>
              <w:t>2016</w:t>
            </w:r>
          </w:p>
        </w:tc>
        <w:tc>
          <w:tcPr>
            <w:tcW w:w="5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17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2,432</w:t>
            </w:r>
          </w:p>
        </w:tc>
        <w:tc>
          <w:tcPr>
            <w:tcW w:w="88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2,162</w:t>
            </w:r>
          </w:p>
        </w:tc>
        <w:tc>
          <w:tcPr>
            <w:tcW w:w="5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79"/>
              <w:spacing w:after="0"/>
              <w:rPr>
                <w:sz w:val="20"/>
                <w:szCs w:val="20"/>
                <w:color w:val="auto"/>
              </w:rPr>
            </w:pPr>
            <w:r>
              <w:rPr>
                <w:rFonts w:ascii="Arial" w:cs="Arial" w:eastAsia="Arial" w:hAnsi="Arial"/>
                <w:sz w:val="18"/>
                <w:szCs w:val="18"/>
                <w:color w:val="auto"/>
              </w:rPr>
              <w:t>270</w:t>
            </w:r>
          </w:p>
        </w:tc>
        <w:tc>
          <w:tcPr>
            <w:tcW w:w="1020" w:type="dxa"/>
            <w:vAlign w:val="bottom"/>
          </w:tcPr>
          <w:p>
            <w:pPr>
              <w:ind w:left="480"/>
              <w:spacing w:after="0"/>
              <w:rPr>
                <w:sz w:val="20"/>
                <w:szCs w:val="20"/>
                <w:color w:val="auto"/>
              </w:rPr>
            </w:pPr>
            <w:r>
              <w:rPr>
                <w:rFonts w:ascii="Arial" w:cs="Arial" w:eastAsia="Arial" w:hAnsi="Arial"/>
                <w:sz w:val="18"/>
                <w:szCs w:val="18"/>
                <w:color w:val="auto"/>
              </w:rPr>
              <w:t>12.5%</w:t>
            </w:r>
          </w:p>
        </w:tc>
      </w:tr>
      <w:tr>
        <w:trPr>
          <w:trHeight w:val="270"/>
        </w:trPr>
        <w:tc>
          <w:tcPr>
            <w:tcW w:w="50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1,484</w:t>
            </w:r>
          </w:p>
        </w:tc>
        <w:tc>
          <w:tcPr>
            <w:tcW w:w="880" w:type="dxa"/>
            <w:vAlign w:val="bottom"/>
          </w:tcPr>
          <w:p>
            <w:pPr>
              <w:spacing w:after="0"/>
              <w:rPr>
                <w:sz w:val="23"/>
                <w:szCs w:val="23"/>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1,318</w:t>
            </w:r>
          </w:p>
        </w:tc>
        <w:tc>
          <w:tcPr>
            <w:tcW w:w="560" w:type="dxa"/>
            <w:vAlign w:val="bottom"/>
          </w:tcPr>
          <w:p>
            <w:pPr>
              <w:spacing w:after="0"/>
              <w:rPr>
                <w:sz w:val="23"/>
                <w:szCs w:val="23"/>
                <w:color w:val="auto"/>
              </w:rPr>
            </w:pPr>
          </w:p>
        </w:tc>
        <w:tc>
          <w:tcPr>
            <w:tcW w:w="1620" w:type="dxa"/>
            <w:vAlign w:val="bottom"/>
          </w:tcPr>
          <w:p>
            <w:pPr>
              <w:jc w:val="right"/>
              <w:ind w:right="579"/>
              <w:spacing w:after="0"/>
              <w:rPr>
                <w:sz w:val="20"/>
                <w:szCs w:val="20"/>
                <w:color w:val="auto"/>
              </w:rPr>
            </w:pPr>
            <w:r>
              <w:rPr>
                <w:rFonts w:ascii="Arial" w:cs="Arial" w:eastAsia="Arial" w:hAnsi="Arial"/>
                <w:sz w:val="18"/>
                <w:szCs w:val="18"/>
                <w:color w:val="auto"/>
              </w:rPr>
              <w:t>166</w:t>
            </w:r>
          </w:p>
        </w:tc>
        <w:tc>
          <w:tcPr>
            <w:tcW w:w="1020" w:type="dxa"/>
            <w:vAlign w:val="bottom"/>
          </w:tcPr>
          <w:p>
            <w:pPr>
              <w:ind w:left="480"/>
              <w:spacing w:after="0"/>
              <w:rPr>
                <w:sz w:val="20"/>
                <w:szCs w:val="20"/>
                <w:color w:val="auto"/>
              </w:rPr>
            </w:pPr>
            <w:r>
              <w:rPr>
                <w:rFonts w:ascii="Arial" w:cs="Arial" w:eastAsia="Arial" w:hAnsi="Arial"/>
                <w:sz w:val="18"/>
                <w:szCs w:val="18"/>
                <w:color w:val="auto"/>
              </w:rPr>
              <w:t>12.6</w:t>
            </w:r>
          </w:p>
        </w:tc>
      </w:tr>
      <w:tr>
        <w:trPr>
          <w:trHeight w:val="27"/>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948</w:t>
            </w:r>
          </w:p>
        </w:tc>
        <w:tc>
          <w:tcPr>
            <w:tcW w:w="88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94"/>
              <w:spacing w:after="0"/>
              <w:rPr>
                <w:sz w:val="20"/>
                <w:szCs w:val="20"/>
                <w:color w:val="auto"/>
              </w:rPr>
            </w:pPr>
            <w:r>
              <w:rPr>
                <w:rFonts w:ascii="Arial" w:cs="Arial" w:eastAsia="Arial" w:hAnsi="Arial"/>
                <w:sz w:val="18"/>
                <w:szCs w:val="18"/>
                <w:b w:val="1"/>
                <w:bCs w:val="1"/>
                <w:color w:val="auto"/>
              </w:rPr>
              <w:t>844</w:t>
            </w:r>
          </w:p>
        </w:tc>
        <w:tc>
          <w:tcPr>
            <w:tcW w:w="56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79"/>
              <w:spacing w:after="0"/>
              <w:rPr>
                <w:sz w:val="20"/>
                <w:szCs w:val="20"/>
                <w:color w:val="auto"/>
              </w:rPr>
            </w:pPr>
            <w:r>
              <w:rPr>
                <w:rFonts w:ascii="Arial" w:cs="Arial" w:eastAsia="Arial" w:hAnsi="Arial"/>
                <w:sz w:val="18"/>
                <w:szCs w:val="18"/>
                <w:b w:val="1"/>
                <w:bCs w:val="1"/>
                <w:color w:val="auto"/>
              </w:rPr>
              <w:t>104</w:t>
            </w:r>
          </w:p>
        </w:tc>
        <w:tc>
          <w:tcPr>
            <w:tcW w:w="1020" w:type="dxa"/>
            <w:vAlign w:val="bottom"/>
          </w:tcPr>
          <w:p>
            <w:pPr>
              <w:ind w:left="480"/>
              <w:spacing w:after="0"/>
              <w:rPr>
                <w:sz w:val="20"/>
                <w:szCs w:val="20"/>
                <w:color w:val="auto"/>
              </w:rPr>
            </w:pPr>
            <w:r>
              <w:rPr>
                <w:rFonts w:ascii="Arial" w:cs="Arial" w:eastAsia="Arial" w:hAnsi="Arial"/>
                <w:sz w:val="18"/>
                <w:szCs w:val="18"/>
                <w:b w:val="1"/>
                <w:bCs w:val="1"/>
                <w:color w:val="auto"/>
              </w:rPr>
              <w:t>12.3%</w:t>
            </w:r>
          </w:p>
        </w:tc>
      </w:tr>
      <w:tr>
        <w:trPr>
          <w:trHeight w:val="34"/>
        </w:trPr>
        <w:tc>
          <w:tcPr>
            <w:tcW w:w="5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Segment—Revenue</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Theme Parks revenue increased for the three and six months ended June 30, 2017 compared to the same periods in 2016 primarily due to higher guest attendance and increases in guest spending, including the continued success of </w:t>
      </w:r>
      <w:r>
        <w:rPr>
          <w:rFonts w:ascii="Arial" w:cs="Arial" w:eastAsia="Arial" w:hAnsi="Arial"/>
          <w:sz w:val="18"/>
          <w:szCs w:val="18"/>
          <w:i w:val="1"/>
          <w:iCs w:val="1"/>
          <w:color w:val="auto"/>
        </w:rPr>
        <w:t>The Wizarding World of Harry Potter</w:t>
      </w:r>
      <w:r>
        <w:rPr>
          <w:rFonts w:ascii="Arial" w:cs="Arial" w:eastAsia="Arial" w:hAnsi="Arial"/>
          <w:sz w:val="18"/>
          <w:szCs w:val="18"/>
          <w:color w:val="auto"/>
        </w:rPr>
        <w:t xml:space="preserve">™ attraction in Hollywood, which opened in April 2016, and the openings of </w:t>
      </w:r>
      <w:r>
        <w:rPr>
          <w:rFonts w:ascii="Arial" w:cs="Arial" w:eastAsia="Arial" w:hAnsi="Arial"/>
          <w:sz w:val="18"/>
          <w:szCs w:val="18"/>
          <w:i w:val="1"/>
          <w:iCs w:val="1"/>
          <w:color w:val="auto"/>
        </w:rPr>
        <w:t>Minion Park</w:t>
      </w:r>
      <w:r>
        <w:rPr>
          <w:rFonts w:ascii="Arial" w:cs="Arial" w:eastAsia="Arial" w:hAnsi="Arial"/>
          <w:sz w:val="18"/>
          <w:szCs w:val="18"/>
          <w:color w:val="auto"/>
        </w:rPr>
        <w:t xml:space="preserve">™ in Japan in April 2017 and </w:t>
      </w:r>
      <w:r>
        <w:rPr>
          <w:rFonts w:ascii="Arial" w:cs="Arial" w:eastAsia="Arial" w:hAnsi="Arial"/>
          <w:sz w:val="18"/>
          <w:szCs w:val="18"/>
          <w:i w:val="1"/>
          <w:iCs w:val="1"/>
          <w:color w:val="auto"/>
        </w:rPr>
        <w:t>Volcano Bay</w:t>
      </w:r>
      <w:r>
        <w:rPr>
          <w:rFonts w:ascii="Arial" w:cs="Arial" w:eastAsia="Arial" w:hAnsi="Arial"/>
          <w:sz w:val="18"/>
          <w:szCs w:val="18"/>
          <w:color w:val="auto"/>
        </w:rPr>
        <w:t>™ in Orlando in May 2017. The increase for the three months ended June 30, 2017 was also due to the timing of spring holidays compared to the prior year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Segment—Operating Costs and Expenses</w:t>
      </w:r>
    </w:p>
    <w:p>
      <w:pPr>
        <w:spacing w:after="0" w:line="18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Operating costs and expenses increased for the three and six months ended June 30, 2017 compared to the same periods in 2016 primarily due to higher operating costs related to higher guest attendance and new attractions, as well as additional marketing costs associated with our domestic theme parks.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75"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0" w:type="dxa"/>
            <w:vAlign w:val="bottom"/>
            <w:gridSpan w:val="2"/>
          </w:tcPr>
          <w:p>
            <w:pPr>
              <w:jc w:val="center"/>
              <w:ind w:right="256"/>
              <w:spacing w:after="0"/>
              <w:rPr>
                <w:sz w:val="20"/>
                <w:szCs w:val="20"/>
                <w:color w:val="auto"/>
              </w:rPr>
            </w:pPr>
            <w:r>
              <w:rPr>
                <w:rFonts w:ascii="Arial" w:cs="Arial" w:eastAsia="Arial" w:hAnsi="Arial"/>
                <w:sz w:val="14"/>
                <w:szCs w:val="14"/>
                <w:color w:val="auto"/>
                <w:w w:val="93"/>
              </w:rPr>
              <w:t>Three Months Ended</w:t>
            </w: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center"/>
              <w:ind w:left="77"/>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14"/>
                <w:szCs w:val="14"/>
                <w:color w:val="auto"/>
              </w:rPr>
            </w:pPr>
          </w:p>
        </w:tc>
      </w:tr>
      <w:tr>
        <w:trPr>
          <w:trHeight w:val="188"/>
        </w:trPr>
        <w:tc>
          <w:tcPr>
            <w:tcW w:w="51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36"/>
              <w:spacing w:after="0"/>
              <w:rPr>
                <w:sz w:val="20"/>
                <w:szCs w:val="20"/>
                <w:color w:val="auto"/>
              </w:rPr>
            </w:pPr>
            <w:r>
              <w:rPr>
                <w:rFonts w:ascii="Arial" w:cs="Arial" w:eastAsia="Arial" w:hAnsi="Arial"/>
                <w:sz w:val="14"/>
                <w:szCs w:val="14"/>
                <w:color w:val="auto"/>
                <w:w w:val="88"/>
              </w:rPr>
              <w:t>June 30</w:t>
            </w: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97"/>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7"/>
              <w:spacing w:after="0"/>
              <w:rPr>
                <w:sz w:val="20"/>
                <w:szCs w:val="20"/>
                <w:color w:val="auto"/>
              </w:rPr>
            </w:pPr>
            <w:r>
              <w:rPr>
                <w:rFonts w:ascii="Arial" w:cs="Arial" w:eastAsia="Arial" w:hAnsi="Arial"/>
                <w:sz w:val="18"/>
                <w:szCs w:val="18"/>
                <w:color w:val="auto"/>
              </w:rPr>
              <w:t>205</w:t>
            </w:r>
          </w:p>
        </w:tc>
        <w:tc>
          <w:tcPr>
            <w:tcW w:w="1000" w:type="dxa"/>
            <w:vAlign w:val="bottom"/>
          </w:tcPr>
          <w:p>
            <w:pPr>
              <w:jc w:val="right"/>
              <w:ind w:right="676"/>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180</w:t>
            </w:r>
          </w:p>
        </w:tc>
        <w:tc>
          <w:tcPr>
            <w:tcW w:w="1000" w:type="dxa"/>
            <w:vAlign w:val="bottom"/>
          </w:tcPr>
          <w:p>
            <w:pPr>
              <w:jc w:val="right"/>
              <w:ind w:right="676"/>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37"/>
              <w:spacing w:after="0"/>
              <w:rPr>
                <w:sz w:val="20"/>
                <w:szCs w:val="20"/>
                <w:color w:val="auto"/>
              </w:rPr>
            </w:pPr>
            <w:r>
              <w:rPr>
                <w:rFonts w:ascii="Arial" w:cs="Arial" w:eastAsia="Arial" w:hAnsi="Arial"/>
                <w:sz w:val="18"/>
                <w:szCs w:val="18"/>
                <w:color w:val="auto"/>
              </w:rPr>
              <w:t>25</w:t>
            </w:r>
          </w:p>
        </w:tc>
        <w:tc>
          <w:tcPr>
            <w:tcW w:w="1020" w:type="dxa"/>
            <w:vAlign w:val="bottom"/>
          </w:tcPr>
          <w:p>
            <w:pPr>
              <w:jc w:val="right"/>
              <w:spacing w:after="0"/>
              <w:rPr>
                <w:sz w:val="20"/>
                <w:szCs w:val="20"/>
                <w:color w:val="auto"/>
              </w:rPr>
            </w:pPr>
            <w:r>
              <w:rPr>
                <w:rFonts w:ascii="Arial" w:cs="Arial" w:eastAsia="Arial" w:hAnsi="Arial"/>
                <w:sz w:val="18"/>
                <w:szCs w:val="18"/>
                <w:color w:val="auto"/>
              </w:rPr>
              <w:t>14.4 %</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860" w:type="dxa"/>
            <w:vAlign w:val="bottom"/>
          </w:tcPr>
          <w:p>
            <w:pPr>
              <w:spacing w:after="0"/>
              <w:rPr>
                <w:sz w:val="23"/>
                <w:szCs w:val="23"/>
                <w:color w:val="auto"/>
              </w:rPr>
            </w:pPr>
          </w:p>
        </w:tc>
        <w:tc>
          <w:tcPr>
            <w:tcW w:w="600" w:type="dxa"/>
            <w:vAlign w:val="bottom"/>
          </w:tcPr>
          <w:p>
            <w:pPr>
              <w:jc w:val="right"/>
              <w:ind w:right="117"/>
              <w:spacing w:after="0"/>
              <w:rPr>
                <w:sz w:val="20"/>
                <w:szCs w:val="20"/>
                <w:color w:val="auto"/>
              </w:rPr>
            </w:pPr>
            <w:r>
              <w:rPr>
                <w:rFonts w:ascii="Arial" w:cs="Arial" w:eastAsia="Arial" w:hAnsi="Arial"/>
                <w:sz w:val="18"/>
                <w:szCs w:val="18"/>
                <w:color w:val="auto"/>
              </w:rPr>
              <w:t>507</w:t>
            </w:r>
          </w:p>
        </w:tc>
        <w:tc>
          <w:tcPr>
            <w:tcW w:w="1000" w:type="dxa"/>
            <w:vAlign w:val="bottom"/>
          </w:tcPr>
          <w:p>
            <w:pPr>
              <w:spacing w:after="0"/>
              <w:rPr>
                <w:sz w:val="23"/>
                <w:szCs w:val="23"/>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471</w:t>
            </w:r>
          </w:p>
        </w:tc>
        <w:tc>
          <w:tcPr>
            <w:tcW w:w="1000" w:type="dxa"/>
            <w:vAlign w:val="bottom"/>
          </w:tcPr>
          <w:p>
            <w:pPr>
              <w:spacing w:after="0"/>
              <w:rPr>
                <w:sz w:val="23"/>
                <w:szCs w:val="23"/>
                <w:color w:val="auto"/>
              </w:rPr>
            </w:pPr>
          </w:p>
        </w:tc>
        <w:tc>
          <w:tcPr>
            <w:tcW w:w="1200" w:type="dxa"/>
            <w:vAlign w:val="bottom"/>
          </w:tcPr>
          <w:p>
            <w:pPr>
              <w:jc w:val="right"/>
              <w:ind w:right="737"/>
              <w:spacing w:after="0"/>
              <w:rPr>
                <w:sz w:val="20"/>
                <w:szCs w:val="20"/>
                <w:color w:val="auto"/>
              </w:rPr>
            </w:pPr>
            <w:r>
              <w:rPr>
                <w:rFonts w:ascii="Arial" w:cs="Arial" w:eastAsia="Arial" w:hAnsi="Arial"/>
                <w:sz w:val="18"/>
                <w:szCs w:val="18"/>
                <w:color w:val="auto"/>
              </w:rPr>
              <w:t>36</w:t>
            </w:r>
          </w:p>
        </w:tc>
        <w:tc>
          <w:tcPr>
            <w:tcW w:w="1020" w:type="dxa"/>
            <w:vAlign w:val="bottom"/>
          </w:tcPr>
          <w:p>
            <w:pPr>
              <w:jc w:val="right"/>
              <w:ind w:right="174"/>
              <w:spacing w:after="0"/>
              <w:rPr>
                <w:sz w:val="20"/>
                <w:szCs w:val="20"/>
                <w:color w:val="auto"/>
              </w:rPr>
            </w:pPr>
            <w:r>
              <w:rPr>
                <w:rFonts w:ascii="Arial" w:cs="Arial" w:eastAsia="Arial" w:hAnsi="Arial"/>
                <w:sz w:val="18"/>
                <w:szCs w:val="18"/>
                <w:color w:val="auto"/>
              </w:rPr>
              <w:t>7.8</w:t>
            </w:r>
          </w:p>
        </w:tc>
      </w:tr>
      <w:tr>
        <w:trPr>
          <w:trHeight w:val="27"/>
        </w:trPr>
        <w:tc>
          <w:tcPr>
            <w:tcW w:w="5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860" w:type="dxa"/>
            <w:vAlign w:val="bottom"/>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ind w:right="57"/>
              <w:spacing w:after="0"/>
              <w:rPr>
                <w:sz w:val="20"/>
                <w:szCs w:val="20"/>
                <w:color w:val="auto"/>
              </w:rPr>
            </w:pPr>
            <w:r>
              <w:rPr>
                <w:rFonts w:ascii="Arial" w:cs="Arial" w:eastAsia="Arial" w:hAnsi="Arial"/>
                <w:sz w:val="18"/>
                <w:szCs w:val="18"/>
                <w:b w:val="1"/>
                <w:bCs w:val="1"/>
                <w:color w:val="auto"/>
              </w:rPr>
              <w:t>(302)</w:t>
            </w:r>
          </w:p>
        </w:tc>
        <w:tc>
          <w:tcPr>
            <w:tcW w:w="1000" w:type="dxa"/>
            <w:vAlign w:val="bottom"/>
          </w:tcPr>
          <w:p>
            <w:pPr>
              <w:jc w:val="right"/>
              <w:ind w:right="676"/>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(291)</w:t>
            </w:r>
          </w:p>
        </w:tc>
        <w:tc>
          <w:tcPr>
            <w:tcW w:w="1000" w:type="dxa"/>
            <w:vAlign w:val="bottom"/>
          </w:tcPr>
          <w:p>
            <w:pPr>
              <w:jc w:val="right"/>
              <w:ind w:right="676"/>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677"/>
              <w:spacing w:after="0"/>
              <w:rPr>
                <w:sz w:val="20"/>
                <w:szCs w:val="20"/>
                <w:color w:val="auto"/>
              </w:rPr>
            </w:pPr>
            <w:r>
              <w:rPr>
                <w:rFonts w:ascii="Arial" w:cs="Arial" w:eastAsia="Arial" w:hAnsi="Arial"/>
                <w:sz w:val="18"/>
                <w:szCs w:val="18"/>
                <w:b w:val="1"/>
                <w:bCs w:val="1"/>
                <w:color w:val="auto"/>
              </w:rPr>
              <w:t>(11)</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34"/>
        </w:trPr>
        <w:tc>
          <w:tcPr>
            <w:tcW w:w="5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427"/>
        </w:trPr>
        <w:tc>
          <w:tcPr>
            <w:tcW w:w="5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gridSpan w:val="2"/>
          </w:tcPr>
          <w:p>
            <w:pPr>
              <w:jc w:val="center"/>
              <w:ind w:right="256"/>
              <w:spacing w:after="0"/>
              <w:rPr>
                <w:sz w:val="20"/>
                <w:szCs w:val="20"/>
                <w:color w:val="auto"/>
              </w:rPr>
            </w:pPr>
            <w:r>
              <w:rPr>
                <w:rFonts w:ascii="Arial" w:cs="Arial" w:eastAsia="Arial" w:hAnsi="Arial"/>
                <w:sz w:val="14"/>
                <w:szCs w:val="14"/>
                <w:color w:val="auto"/>
                <w:w w:val="93"/>
              </w:rPr>
              <w:t>Six Months Ended</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jc w:val="center"/>
              <w:ind w:left="77"/>
              <w:spacing w:after="0"/>
              <w:rPr>
                <w:sz w:val="20"/>
                <w:szCs w:val="20"/>
                <w:color w:val="auto"/>
              </w:rPr>
            </w:pPr>
            <w:r>
              <w:rPr>
                <w:rFonts w:ascii="Arial" w:cs="Arial" w:eastAsia="Arial" w:hAnsi="Arial"/>
                <w:sz w:val="14"/>
                <w:szCs w:val="14"/>
                <w:color w:val="auto"/>
                <w:w w:val="90"/>
              </w:rPr>
              <w:t>Increase/</w:t>
            </w:r>
          </w:p>
        </w:tc>
        <w:tc>
          <w:tcPr>
            <w:tcW w:w="1020" w:type="dxa"/>
            <w:vAlign w:val="bottom"/>
          </w:tcPr>
          <w:p>
            <w:pPr>
              <w:spacing w:after="0"/>
              <w:rPr>
                <w:sz w:val="24"/>
                <w:szCs w:val="24"/>
                <w:color w:val="auto"/>
              </w:rPr>
            </w:pPr>
          </w:p>
        </w:tc>
      </w:tr>
      <w:tr>
        <w:trPr>
          <w:trHeight w:val="188"/>
        </w:trPr>
        <w:tc>
          <w:tcPr>
            <w:tcW w:w="51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236"/>
              <w:spacing w:after="0"/>
              <w:rPr>
                <w:sz w:val="20"/>
                <w:szCs w:val="20"/>
                <w:color w:val="auto"/>
              </w:rPr>
            </w:pPr>
            <w:r>
              <w:rPr>
                <w:rFonts w:ascii="Arial" w:cs="Arial" w:eastAsia="Arial" w:hAnsi="Arial"/>
                <w:sz w:val="14"/>
                <w:szCs w:val="14"/>
                <w:color w:val="auto"/>
                <w:w w:val="88"/>
              </w:rPr>
              <w:t>June 30</w:t>
            </w: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97"/>
              <w:spacing w:after="0"/>
              <w:rPr>
                <w:sz w:val="20"/>
                <w:szCs w:val="20"/>
                <w:color w:val="auto"/>
              </w:rPr>
            </w:pPr>
            <w:r>
              <w:rPr>
                <w:rFonts w:ascii="Arial" w:cs="Arial" w:eastAsia="Arial" w:hAnsi="Arial"/>
                <w:sz w:val="14"/>
                <w:szCs w:val="14"/>
                <w:color w:val="auto"/>
                <w:w w:val="89"/>
              </w:rPr>
              <w:t>(Decrease)</w:t>
            </w:r>
          </w:p>
        </w:tc>
        <w:tc>
          <w:tcPr>
            <w:tcW w:w="1020" w:type="dxa"/>
            <w:vAlign w:val="bottom"/>
            <w:tcBorders>
              <w:bottom w:val="single" w:sz="8" w:color="auto"/>
            </w:tcBorders>
          </w:tcPr>
          <w:p>
            <w:pPr>
              <w:spacing w:after="0"/>
              <w:rPr>
                <w:sz w:val="16"/>
                <w:szCs w:val="16"/>
                <w:color w:val="auto"/>
              </w:rPr>
            </w:pPr>
          </w:p>
        </w:tc>
      </w:tr>
      <w:tr>
        <w:trPr>
          <w:trHeight w:val="196"/>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7"/>
              <w:spacing w:after="0"/>
              <w:rPr>
                <w:sz w:val="20"/>
                <w:szCs w:val="20"/>
                <w:color w:val="auto"/>
              </w:rPr>
            </w:pPr>
            <w:r>
              <w:rPr>
                <w:rFonts w:ascii="Arial" w:cs="Arial" w:eastAsia="Arial" w:hAnsi="Arial"/>
                <w:sz w:val="18"/>
                <w:szCs w:val="18"/>
                <w:color w:val="auto"/>
              </w:rPr>
              <w:t>413</w:t>
            </w:r>
          </w:p>
        </w:tc>
        <w:tc>
          <w:tcPr>
            <w:tcW w:w="1000" w:type="dxa"/>
            <w:vAlign w:val="bottom"/>
          </w:tcPr>
          <w:p>
            <w:pPr>
              <w:jc w:val="right"/>
              <w:ind w:right="676"/>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379</w:t>
            </w:r>
          </w:p>
        </w:tc>
        <w:tc>
          <w:tcPr>
            <w:tcW w:w="1000" w:type="dxa"/>
            <w:vAlign w:val="bottom"/>
          </w:tcPr>
          <w:p>
            <w:pPr>
              <w:jc w:val="right"/>
              <w:ind w:right="676"/>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37"/>
              <w:spacing w:after="0"/>
              <w:rPr>
                <w:sz w:val="20"/>
                <w:szCs w:val="20"/>
                <w:color w:val="auto"/>
              </w:rPr>
            </w:pPr>
            <w:r>
              <w:rPr>
                <w:rFonts w:ascii="Arial" w:cs="Arial" w:eastAsia="Arial" w:hAnsi="Arial"/>
                <w:sz w:val="18"/>
                <w:szCs w:val="18"/>
                <w:color w:val="auto"/>
              </w:rPr>
              <w:t>34</w:t>
            </w:r>
          </w:p>
        </w:tc>
        <w:tc>
          <w:tcPr>
            <w:tcW w:w="1020" w:type="dxa"/>
            <w:vAlign w:val="bottom"/>
          </w:tcPr>
          <w:p>
            <w:pPr>
              <w:jc w:val="right"/>
              <w:spacing w:after="0"/>
              <w:rPr>
                <w:sz w:val="20"/>
                <w:szCs w:val="20"/>
                <w:color w:val="auto"/>
              </w:rPr>
            </w:pPr>
            <w:r>
              <w:rPr>
                <w:rFonts w:ascii="Arial" w:cs="Arial" w:eastAsia="Arial" w:hAnsi="Arial"/>
                <w:sz w:val="18"/>
                <w:szCs w:val="18"/>
                <w:color w:val="auto"/>
              </w:rPr>
              <w:t>9.1 %</w:t>
            </w:r>
          </w:p>
        </w:tc>
      </w:tr>
      <w:tr>
        <w:trPr>
          <w:trHeight w:val="270"/>
        </w:trPr>
        <w:tc>
          <w:tcPr>
            <w:tcW w:w="516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860" w:type="dxa"/>
            <w:vAlign w:val="bottom"/>
          </w:tcPr>
          <w:p>
            <w:pPr>
              <w:spacing w:after="0"/>
              <w:rPr>
                <w:sz w:val="23"/>
                <w:szCs w:val="23"/>
                <w:color w:val="auto"/>
              </w:rPr>
            </w:pPr>
          </w:p>
        </w:tc>
        <w:tc>
          <w:tcPr>
            <w:tcW w:w="600" w:type="dxa"/>
            <w:vAlign w:val="bottom"/>
          </w:tcPr>
          <w:p>
            <w:pPr>
              <w:jc w:val="right"/>
              <w:ind w:right="117"/>
              <w:spacing w:after="0"/>
              <w:rPr>
                <w:sz w:val="20"/>
                <w:szCs w:val="20"/>
                <w:color w:val="auto"/>
              </w:rPr>
            </w:pPr>
            <w:r>
              <w:rPr>
                <w:rFonts w:ascii="Arial" w:cs="Arial" w:eastAsia="Arial" w:hAnsi="Arial"/>
                <w:sz w:val="18"/>
                <w:szCs w:val="18"/>
                <w:color w:val="auto"/>
              </w:rPr>
              <w:t>909</w:t>
            </w:r>
          </w:p>
        </w:tc>
        <w:tc>
          <w:tcPr>
            <w:tcW w:w="1000" w:type="dxa"/>
            <w:vAlign w:val="bottom"/>
          </w:tcPr>
          <w:p>
            <w:pPr>
              <w:spacing w:after="0"/>
              <w:rPr>
                <w:sz w:val="23"/>
                <w:szCs w:val="23"/>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824</w:t>
            </w:r>
          </w:p>
        </w:tc>
        <w:tc>
          <w:tcPr>
            <w:tcW w:w="1000" w:type="dxa"/>
            <w:vAlign w:val="bottom"/>
          </w:tcPr>
          <w:p>
            <w:pPr>
              <w:spacing w:after="0"/>
              <w:rPr>
                <w:sz w:val="23"/>
                <w:szCs w:val="23"/>
                <w:color w:val="auto"/>
              </w:rPr>
            </w:pPr>
          </w:p>
        </w:tc>
        <w:tc>
          <w:tcPr>
            <w:tcW w:w="1200" w:type="dxa"/>
            <w:vAlign w:val="bottom"/>
          </w:tcPr>
          <w:p>
            <w:pPr>
              <w:jc w:val="right"/>
              <w:ind w:right="737"/>
              <w:spacing w:after="0"/>
              <w:rPr>
                <w:sz w:val="20"/>
                <w:szCs w:val="20"/>
                <w:color w:val="auto"/>
              </w:rPr>
            </w:pPr>
            <w:r>
              <w:rPr>
                <w:rFonts w:ascii="Arial" w:cs="Arial" w:eastAsia="Arial" w:hAnsi="Arial"/>
                <w:sz w:val="18"/>
                <w:szCs w:val="18"/>
                <w:color w:val="auto"/>
              </w:rPr>
              <w:t>85</w:t>
            </w:r>
          </w:p>
        </w:tc>
        <w:tc>
          <w:tcPr>
            <w:tcW w:w="1020" w:type="dxa"/>
            <w:vAlign w:val="bottom"/>
          </w:tcPr>
          <w:p>
            <w:pPr>
              <w:jc w:val="right"/>
              <w:ind w:right="174"/>
              <w:spacing w:after="0"/>
              <w:rPr>
                <w:sz w:val="20"/>
                <w:szCs w:val="20"/>
                <w:color w:val="auto"/>
              </w:rPr>
            </w:pPr>
            <w:r>
              <w:rPr>
                <w:rFonts w:ascii="Arial" w:cs="Arial" w:eastAsia="Arial" w:hAnsi="Arial"/>
                <w:sz w:val="18"/>
                <w:szCs w:val="18"/>
                <w:color w:val="auto"/>
              </w:rPr>
              <w:t>10.4</w:t>
            </w:r>
          </w:p>
        </w:tc>
      </w:tr>
      <w:tr>
        <w:trPr>
          <w:trHeight w:val="27"/>
        </w:trPr>
        <w:tc>
          <w:tcPr>
            <w:tcW w:w="5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860" w:type="dxa"/>
            <w:vAlign w:val="bottom"/>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ind w:right="57"/>
              <w:spacing w:after="0"/>
              <w:rPr>
                <w:sz w:val="20"/>
                <w:szCs w:val="20"/>
                <w:color w:val="auto"/>
              </w:rPr>
            </w:pPr>
            <w:r>
              <w:rPr>
                <w:rFonts w:ascii="Arial" w:cs="Arial" w:eastAsia="Arial" w:hAnsi="Arial"/>
                <w:sz w:val="18"/>
                <w:szCs w:val="18"/>
                <w:b w:val="1"/>
                <w:bCs w:val="1"/>
                <w:color w:val="auto"/>
              </w:rPr>
              <w:t>(496)</w:t>
            </w:r>
          </w:p>
        </w:tc>
        <w:tc>
          <w:tcPr>
            <w:tcW w:w="1000" w:type="dxa"/>
            <w:vAlign w:val="bottom"/>
          </w:tcPr>
          <w:p>
            <w:pPr>
              <w:jc w:val="right"/>
              <w:ind w:right="676"/>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(445)</w:t>
            </w:r>
          </w:p>
        </w:tc>
        <w:tc>
          <w:tcPr>
            <w:tcW w:w="1000" w:type="dxa"/>
            <w:vAlign w:val="bottom"/>
          </w:tcPr>
          <w:p>
            <w:pPr>
              <w:jc w:val="right"/>
              <w:ind w:right="676"/>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677"/>
              <w:spacing w:after="0"/>
              <w:rPr>
                <w:sz w:val="20"/>
                <w:szCs w:val="20"/>
                <w:color w:val="auto"/>
              </w:rPr>
            </w:pPr>
            <w:r>
              <w:rPr>
                <w:rFonts w:ascii="Arial" w:cs="Arial" w:eastAsia="Arial" w:hAnsi="Arial"/>
                <w:sz w:val="18"/>
                <w:szCs w:val="18"/>
                <w:b w:val="1"/>
                <w:bCs w:val="1"/>
                <w:color w:val="auto"/>
              </w:rPr>
              <w:t>(51)</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(11.5)%</w:t>
            </w:r>
          </w:p>
        </w:tc>
      </w:tr>
      <w:tr>
        <w:trPr>
          <w:trHeight w:val="34"/>
        </w:trPr>
        <w:tc>
          <w:tcPr>
            <w:tcW w:w="5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Other—Revenue</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revenue primarily relates to Comcast Spectacor, which owns the Philadelphia Flyers and the Wells Fargo Center arena in Philadelphia, Pennsylvania and operates arena management-related businesses, as well as revenue from other business initiatives, such as our wireless phone service. Other revenue increased for the three and six months ended June 30, 2017 compared to the same periods in 2016.</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Other—Operating Costs and Expenses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Other operating costs and expenses primarily include overhead, personnel costs, the costs of other business initiatives, and operating costs and expenses associated with Comcast Spectacor.</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Corporate and Other operating costs and expenses increased for the three and six months ended June 30, 2017 primarily due to expenses associated with our new wireless phone service.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2"/>
          </w:tcPr>
          <w:p>
            <w:pPr>
              <w:jc w:val="right"/>
              <w:ind w:right="316"/>
              <w:spacing w:after="0"/>
              <w:rPr>
                <w:sz w:val="20"/>
                <w:szCs w:val="20"/>
                <w:color w:val="auto"/>
              </w:rPr>
            </w:pPr>
            <w:r>
              <w:rPr>
                <w:rFonts w:ascii="Arial" w:cs="Arial" w:eastAsia="Arial" w:hAnsi="Arial"/>
                <w:sz w:val="14"/>
                <w:szCs w:val="14"/>
                <w:color w:val="auto"/>
                <w:w w:val="93"/>
              </w:rPr>
              <w:t>Three Months Ended</w:t>
            </w: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50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696"/>
              <w:spacing w:after="0"/>
              <w:rPr>
                <w:sz w:val="20"/>
                <w:szCs w:val="20"/>
                <w:color w:val="auto"/>
              </w:rPr>
            </w:pPr>
            <w:r>
              <w:rPr>
                <w:rFonts w:ascii="Arial" w:cs="Arial" w:eastAsia="Arial" w:hAnsi="Arial"/>
                <w:sz w:val="14"/>
                <w:szCs w:val="14"/>
                <w:color w:val="auto"/>
              </w:rPr>
              <w:t>June 30</w:t>
            </w: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6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6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75"/>
              <w:spacing w:after="0"/>
              <w:rPr>
                <w:sz w:val="20"/>
                <w:szCs w:val="20"/>
                <w:color w:val="auto"/>
              </w:rPr>
            </w:pPr>
            <w:r>
              <w:rPr>
                <w:rFonts w:ascii="Arial" w:cs="Arial" w:eastAsia="Arial" w:hAnsi="Arial"/>
                <w:sz w:val="18"/>
                <w:szCs w:val="18"/>
                <w:color w:val="auto"/>
              </w:rPr>
              <w:t>(758)</w:t>
            </w:r>
          </w:p>
        </w:tc>
        <w:tc>
          <w:tcPr>
            <w:tcW w:w="1020" w:type="dxa"/>
            <w:vAlign w:val="bottom"/>
          </w:tcPr>
          <w:p>
            <w:pPr>
              <w:jc w:val="right"/>
              <w:ind w:right="696"/>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9"/>
              </w:rPr>
              <w:t>(732)</w:t>
            </w:r>
          </w:p>
        </w:tc>
        <w:tc>
          <w:tcPr>
            <w:tcW w:w="1000" w:type="dxa"/>
            <w:vAlign w:val="bottom"/>
          </w:tcPr>
          <w:p>
            <w:pPr>
              <w:jc w:val="right"/>
              <w:ind w:right="676"/>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5"/>
              <w:spacing w:after="0"/>
              <w:rPr>
                <w:sz w:val="20"/>
                <w:szCs w:val="20"/>
                <w:color w:val="auto"/>
              </w:rPr>
            </w:pPr>
            <w:r>
              <w:rPr>
                <w:rFonts w:ascii="Arial" w:cs="Arial" w:eastAsia="Arial" w:hAnsi="Arial"/>
                <w:sz w:val="18"/>
                <w:szCs w:val="18"/>
                <w:color w:val="auto"/>
                <w:w w:val="91"/>
              </w:rPr>
              <w:t>(1,513)</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(1,435)</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Investment income (loss), net</w:t>
            </w:r>
          </w:p>
        </w:tc>
        <w:tc>
          <w:tcPr>
            <w:tcW w:w="880" w:type="dxa"/>
            <w:vAlign w:val="bottom"/>
          </w:tcPr>
          <w:p>
            <w:pPr>
              <w:spacing w:after="0"/>
              <w:rPr>
                <w:sz w:val="23"/>
                <w:szCs w:val="23"/>
                <w:color w:val="auto"/>
              </w:rPr>
            </w:pPr>
          </w:p>
        </w:tc>
        <w:tc>
          <w:tcPr>
            <w:tcW w:w="620" w:type="dxa"/>
            <w:vAlign w:val="bottom"/>
          </w:tcPr>
          <w:p>
            <w:pPr>
              <w:jc w:val="right"/>
              <w:ind w:right="135"/>
              <w:spacing w:after="0"/>
              <w:rPr>
                <w:sz w:val="20"/>
                <w:szCs w:val="20"/>
                <w:color w:val="auto"/>
              </w:rPr>
            </w:pPr>
            <w:r>
              <w:rPr>
                <w:rFonts w:ascii="Arial" w:cs="Arial" w:eastAsia="Arial" w:hAnsi="Arial"/>
                <w:sz w:val="18"/>
                <w:szCs w:val="18"/>
                <w:color w:val="auto"/>
              </w:rPr>
              <w:t>64</w:t>
            </w:r>
          </w:p>
        </w:tc>
        <w:tc>
          <w:tcPr>
            <w:tcW w:w="1020" w:type="dxa"/>
            <w:vAlign w:val="bottom"/>
          </w:tcPr>
          <w:p>
            <w:pPr>
              <w:spacing w:after="0"/>
              <w:rPr>
                <w:sz w:val="23"/>
                <w:szCs w:val="23"/>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58</w:t>
            </w:r>
          </w:p>
        </w:tc>
        <w:tc>
          <w:tcPr>
            <w:tcW w:w="1000" w:type="dxa"/>
            <w:vAlign w:val="bottom"/>
          </w:tcPr>
          <w:p>
            <w:pPr>
              <w:spacing w:after="0"/>
              <w:rPr>
                <w:sz w:val="23"/>
                <w:szCs w:val="23"/>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123</w:t>
            </w:r>
          </w:p>
        </w:tc>
        <w:tc>
          <w:tcPr>
            <w:tcW w:w="64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88</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Equity in net income (losses) of investees, net</w:t>
            </w:r>
          </w:p>
        </w:tc>
        <w:tc>
          <w:tcPr>
            <w:tcW w:w="880" w:type="dxa"/>
            <w:vAlign w:val="bottom"/>
          </w:tcPr>
          <w:p>
            <w:pPr>
              <w:spacing w:after="0"/>
              <w:rPr>
                <w:sz w:val="23"/>
                <w:szCs w:val="23"/>
                <w:color w:val="auto"/>
              </w:rPr>
            </w:pPr>
          </w:p>
        </w:tc>
        <w:tc>
          <w:tcPr>
            <w:tcW w:w="620" w:type="dxa"/>
            <w:vAlign w:val="bottom"/>
          </w:tcPr>
          <w:p>
            <w:pPr>
              <w:jc w:val="right"/>
              <w:ind w:right="135"/>
              <w:spacing w:after="0"/>
              <w:rPr>
                <w:sz w:val="20"/>
                <w:szCs w:val="20"/>
                <w:color w:val="auto"/>
              </w:rPr>
            </w:pPr>
            <w:r>
              <w:rPr>
                <w:rFonts w:ascii="Arial" w:cs="Arial" w:eastAsia="Arial" w:hAnsi="Arial"/>
                <w:sz w:val="18"/>
                <w:szCs w:val="18"/>
                <w:color w:val="auto"/>
              </w:rPr>
              <w:t>15</w:t>
            </w:r>
          </w:p>
        </w:tc>
        <w:tc>
          <w:tcPr>
            <w:tcW w:w="1020" w:type="dxa"/>
            <w:vAlign w:val="bottom"/>
          </w:tcPr>
          <w:p>
            <w:pPr>
              <w:spacing w:after="0"/>
              <w:rPr>
                <w:sz w:val="23"/>
                <w:szCs w:val="23"/>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1000" w:type="dxa"/>
            <w:vAlign w:val="bottom"/>
          </w:tcPr>
          <w:p>
            <w:pPr>
              <w:spacing w:after="0"/>
              <w:rPr>
                <w:sz w:val="23"/>
                <w:szCs w:val="23"/>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880" w:type="dxa"/>
            <w:vAlign w:val="bottom"/>
          </w:tcPr>
          <w:p>
            <w:pPr>
              <w:spacing w:after="0"/>
              <w:rPr>
                <w:sz w:val="23"/>
                <w:szCs w:val="23"/>
                <w:color w:val="auto"/>
              </w:rPr>
            </w:pPr>
          </w:p>
        </w:tc>
        <w:tc>
          <w:tcPr>
            <w:tcW w:w="620" w:type="dxa"/>
            <w:vAlign w:val="bottom"/>
          </w:tcPr>
          <w:p>
            <w:pPr>
              <w:jc w:val="right"/>
              <w:ind w:right="135"/>
              <w:spacing w:after="0"/>
              <w:rPr>
                <w:sz w:val="20"/>
                <w:szCs w:val="20"/>
                <w:color w:val="auto"/>
              </w:rPr>
            </w:pPr>
            <w:r>
              <w:rPr>
                <w:rFonts w:ascii="Arial" w:cs="Arial" w:eastAsia="Arial" w:hAnsi="Arial"/>
                <w:sz w:val="18"/>
                <w:szCs w:val="18"/>
                <w:color w:val="auto"/>
              </w:rPr>
              <w:t>20</w:t>
            </w:r>
          </w:p>
        </w:tc>
        <w:tc>
          <w:tcPr>
            <w:tcW w:w="1020" w:type="dxa"/>
            <w:vAlign w:val="bottom"/>
          </w:tcPr>
          <w:p>
            <w:pPr>
              <w:spacing w:after="0"/>
              <w:rPr>
                <w:sz w:val="23"/>
                <w:szCs w:val="23"/>
                <w:color w:val="auto"/>
              </w:rPr>
            </w:pP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1000" w:type="dxa"/>
            <w:vAlign w:val="bottom"/>
          </w:tcPr>
          <w:p>
            <w:pPr>
              <w:spacing w:after="0"/>
              <w:rPr>
                <w:sz w:val="23"/>
                <w:szCs w:val="23"/>
                <w:color w:val="auto"/>
              </w:rPr>
            </w:pPr>
          </w:p>
        </w:tc>
        <w:tc>
          <w:tcPr>
            <w:tcW w:w="680" w:type="dxa"/>
            <w:vAlign w:val="bottom"/>
          </w:tcPr>
          <w:p>
            <w:pPr>
              <w:jc w:val="right"/>
              <w:ind w:right="115"/>
              <w:spacing w:after="0"/>
              <w:rPr>
                <w:sz w:val="20"/>
                <w:szCs w:val="20"/>
                <w:color w:val="auto"/>
              </w:rPr>
            </w:pPr>
            <w:r>
              <w:rPr>
                <w:rFonts w:ascii="Arial" w:cs="Arial" w:eastAsia="Arial" w:hAnsi="Arial"/>
                <w:sz w:val="18"/>
                <w:szCs w:val="18"/>
                <w:color w:val="auto"/>
              </w:rPr>
              <w:t>55</w:t>
            </w:r>
          </w:p>
        </w:tc>
        <w:tc>
          <w:tcPr>
            <w:tcW w:w="64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115</w:t>
            </w:r>
          </w:p>
        </w:tc>
      </w:tr>
      <w:tr>
        <w:trPr>
          <w:trHeight w:val="27"/>
        </w:trPr>
        <w:tc>
          <w:tcPr>
            <w:tcW w:w="5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880" w:type="dxa"/>
            <w:vAlign w:val="bottom"/>
          </w:tcPr>
          <w:p>
            <w:pPr>
              <w:jc w:val="right"/>
              <w:ind w:right="696"/>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ind w:right="75"/>
              <w:spacing w:after="0"/>
              <w:rPr>
                <w:sz w:val="20"/>
                <w:szCs w:val="20"/>
                <w:color w:val="auto"/>
              </w:rPr>
            </w:pPr>
            <w:r>
              <w:rPr>
                <w:rFonts w:ascii="Arial" w:cs="Arial" w:eastAsia="Arial" w:hAnsi="Arial"/>
                <w:sz w:val="18"/>
                <w:szCs w:val="18"/>
                <w:b w:val="1"/>
                <w:bCs w:val="1"/>
                <w:color w:val="auto"/>
              </w:rPr>
              <w:t>(659)</w:t>
            </w:r>
          </w:p>
        </w:tc>
        <w:tc>
          <w:tcPr>
            <w:tcW w:w="1020" w:type="dxa"/>
            <w:vAlign w:val="bottom"/>
          </w:tcPr>
          <w:p>
            <w:pPr>
              <w:jc w:val="right"/>
              <w:ind w:right="696"/>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(708)</w:t>
            </w:r>
          </w:p>
        </w:tc>
        <w:tc>
          <w:tcPr>
            <w:tcW w:w="1000" w:type="dxa"/>
            <w:vAlign w:val="bottom"/>
          </w:tcPr>
          <w:p>
            <w:pPr>
              <w:jc w:val="right"/>
              <w:ind w:right="676"/>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55"/>
              <w:spacing w:after="0"/>
              <w:rPr>
                <w:sz w:val="20"/>
                <w:szCs w:val="20"/>
                <w:color w:val="auto"/>
              </w:rPr>
            </w:pPr>
            <w:r>
              <w:rPr>
                <w:rFonts w:ascii="Arial" w:cs="Arial" w:eastAsia="Arial" w:hAnsi="Arial"/>
                <w:sz w:val="18"/>
                <w:szCs w:val="18"/>
                <w:b w:val="1"/>
                <w:bCs w:val="1"/>
                <w:color w:val="auto"/>
                <w:w w:val="91"/>
              </w:rPr>
              <w:t>(1,284)</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(1,262)</w:t>
            </w:r>
          </w:p>
        </w:tc>
      </w:tr>
      <w:tr>
        <w:trPr>
          <w:trHeight w:val="34"/>
        </w:trPr>
        <w:tc>
          <w:tcPr>
            <w:tcW w:w="5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increased for the three and six months ended June 30, 2017 compared to the same periods in 2016 primarily due to increases in our debt outstanding.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investment income (loss), net for the three and six months ended June 30, 2017 and 2016 are presented in a table in Note 6 to Comcast’s condensed consolidated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(Losses) of Investees, Net</w:t>
      </w:r>
    </w:p>
    <w:p>
      <w:pPr>
        <w:spacing w:after="0" w:line="18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changes in equity in net income (losses) of investees, net for the three and six months ended June 30, 2017 compared to the same periods in 2016 were primarily related to our equity method investments in Atairos Group, Inc. and Hulu, LLC. Atairos follows investment company accounting and records its investments at their fair values each reporting period with the net gains or losses reflected in its statement of income. We recognize our share of these gains and losses in equity in net income (losses) of investees, net. The losses at Hulu were driven by its higher programming and marketing costs. The equity in net income (losses) of Atairos and Hulu for the three and six months ended June 30, 2017 and 2016 are presented in the table below.</w:t>
      </w:r>
    </w:p>
    <w:p>
      <w:pPr>
        <w:sectPr>
          <w:pgSz w:w="11900" w:h="16838" w:orient="portrait"/>
          <w:cols w:equalWidth="0" w:num="1">
            <w:col w:w="11420"/>
          </w:cols>
          <w:pgMar w:left="240" w:top="175"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75" w:right="2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60" w:type="dxa"/>
            <w:vAlign w:val="bottom"/>
            <w:gridSpan w:val="2"/>
          </w:tcPr>
          <w:p>
            <w:pPr>
              <w:jc w:val="right"/>
              <w:ind w:right="336"/>
              <w:spacing w:after="0"/>
              <w:rPr>
                <w:sz w:val="20"/>
                <w:szCs w:val="20"/>
                <w:color w:val="auto"/>
              </w:rPr>
            </w:pPr>
            <w:r>
              <w:rPr>
                <w:rFonts w:ascii="Arial" w:cs="Arial" w:eastAsia="Arial" w:hAnsi="Arial"/>
                <w:sz w:val="14"/>
                <w:szCs w:val="14"/>
                <w:color w:val="auto"/>
                <w:w w:val="93"/>
              </w:rPr>
              <w:t>Three Months Ended</w:t>
            </w: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50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716"/>
              <w:spacing w:after="0"/>
              <w:rPr>
                <w:sz w:val="20"/>
                <w:szCs w:val="20"/>
                <w:color w:val="auto"/>
              </w:rPr>
            </w:pPr>
            <w:r>
              <w:rPr>
                <w:rFonts w:ascii="Arial" w:cs="Arial" w:eastAsia="Arial" w:hAnsi="Arial"/>
                <w:sz w:val="14"/>
                <w:szCs w:val="14"/>
                <w:color w:val="auto"/>
              </w:rPr>
              <w:t>June 30</w:t>
            </w:r>
          </w:p>
        </w:tc>
        <w:tc>
          <w:tcPr>
            <w:tcW w:w="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6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5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6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2016</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Atairos</w:t>
            </w: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19"/>
              <w:spacing w:after="0"/>
              <w:rPr>
                <w:sz w:val="20"/>
                <w:szCs w:val="20"/>
                <w:color w:val="auto"/>
              </w:rPr>
            </w:pPr>
            <w:r>
              <w:rPr>
                <w:rFonts w:ascii="Arial" w:cs="Arial" w:eastAsia="Arial" w:hAnsi="Arial"/>
                <w:sz w:val="18"/>
                <w:szCs w:val="18"/>
                <w:color w:val="auto"/>
              </w:rPr>
              <w:t>42</w:t>
            </w:r>
          </w:p>
        </w:tc>
        <w:tc>
          <w:tcPr>
            <w:tcW w:w="1040" w:type="dxa"/>
            <w:vAlign w:val="bottom"/>
          </w:tcPr>
          <w:p>
            <w:pPr>
              <w:jc w:val="right"/>
              <w:ind w:right="716"/>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1080" w:type="dxa"/>
            <w:vAlign w:val="bottom"/>
          </w:tcPr>
          <w:p>
            <w:pPr>
              <w:jc w:val="right"/>
              <w:ind w:right="756"/>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9"/>
              <w:spacing w:after="0"/>
              <w:rPr>
                <w:sz w:val="20"/>
                <w:szCs w:val="20"/>
                <w:color w:val="auto"/>
              </w:rPr>
            </w:pPr>
            <w:r>
              <w:rPr>
                <w:rFonts w:ascii="Arial" w:cs="Arial" w:eastAsia="Arial" w:hAnsi="Arial"/>
                <w:sz w:val="18"/>
                <w:szCs w:val="18"/>
                <w:color w:val="auto"/>
              </w:rPr>
              <w:t>99</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5000" w:type="dxa"/>
            <w:vAlign w:val="bottom"/>
          </w:tcPr>
          <w:p>
            <w:pPr>
              <w:ind w:left="20"/>
              <w:spacing w:after="0"/>
              <w:rPr>
                <w:sz w:val="20"/>
                <w:szCs w:val="20"/>
                <w:color w:val="auto"/>
              </w:rPr>
            </w:pPr>
            <w:r>
              <w:rPr>
                <w:rFonts w:ascii="Arial" w:cs="Arial" w:eastAsia="Arial" w:hAnsi="Arial"/>
                <w:sz w:val="18"/>
                <w:szCs w:val="18"/>
                <w:color w:val="auto"/>
              </w:rPr>
              <w:t>Hulu</w:t>
            </w: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59"/>
              <w:spacing w:after="0"/>
              <w:rPr>
                <w:sz w:val="20"/>
                <w:szCs w:val="20"/>
                <w:color w:val="auto"/>
              </w:rPr>
            </w:pPr>
            <w:r>
              <w:rPr>
                <w:rFonts w:ascii="Arial" w:cs="Arial" w:eastAsia="Arial" w:hAnsi="Arial"/>
                <w:sz w:val="18"/>
                <w:szCs w:val="18"/>
                <w:color w:val="auto"/>
              </w:rPr>
              <w:t>(52)</w:t>
            </w:r>
          </w:p>
        </w:tc>
        <w:tc>
          <w:tcPr>
            <w:tcW w:w="1040" w:type="dxa"/>
            <w:vAlign w:val="bottom"/>
          </w:tcPr>
          <w:p>
            <w:pPr>
              <w:jc w:val="right"/>
              <w:ind w:right="716"/>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1080" w:type="dxa"/>
            <w:vAlign w:val="bottom"/>
          </w:tcPr>
          <w:p>
            <w:pPr>
              <w:jc w:val="right"/>
              <w:ind w:right="756"/>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9"/>
              <w:spacing w:after="0"/>
              <w:rPr>
                <w:sz w:val="20"/>
                <w:szCs w:val="20"/>
                <w:color w:val="auto"/>
              </w:rPr>
            </w:pPr>
            <w:r>
              <w:rPr>
                <w:rFonts w:ascii="Arial" w:cs="Arial" w:eastAsia="Arial" w:hAnsi="Arial"/>
                <w:sz w:val="18"/>
                <w:szCs w:val="18"/>
                <w:color w:val="auto"/>
              </w:rPr>
              <w:t>(106)</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5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(expense), net for the six months ended June 30, 2016 included a gain of $108 million related to the sale of our investment in The Weather Channel’s product and technology businesses.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Tax Expense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Income tax expense for the three and six months ended June 30, 2017 and 2016 reflects an effective income tax rate that differs from the federal statutory rate primarily due to state income taxes and adjustments associated with uncertain tax positions. In 2017, we prospectively adopted the new accounting guidance related to share-based compensation, which resulted in decreases in income tax expense of $59 million and $198 million for the three and six months ended June 30, 2017, respectively. We expect our 2017 annual effective tax rate to be in the range of 35% to 37%, absent changes in tax laws or significant changes in uncertain tax positions. The expected annual effective tax rate includes the impact of the adoption of the new accounting guidance related to share-based compensation (see Note 2 to Comcast’s condensed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facilities; and our ability to obtain future external financing. We anticipate that we will continue to use a substantial portion of our cash flows in repaying our debt obligations, funding our capital expenditures, investing in business opportunities and returning capital to shareholders.</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April 13, 2017, the Federal Communications Commission announced the results of its spectrum auction. In the auction, NBCUniversal relinquished its spectrum rights in the New York, Philadelphia and Chicago designated market areas where NBC and Telemundo had overlapping spectrum. NBCUniversal received proceeds of $482 million in July 2017. In connection with the auction, we also acquired the rights to $1.7 billion of spectrum, which were recorded to other intangible assets, net in our condensed consolidated balance sheet as of June 30, 2017. We had previously made a deposit of $1.8 billion to participate in the auction in the third quarter of 2016 and received a refund for amounts in excess of the purchase price in the second quarter of 2017.</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8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color w:val="auto"/>
              </w:rPr>
              <w:t>2017</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9,088</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8,155</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5,043</w:t>
            </w:r>
          </w:p>
        </w:tc>
        <w:tc>
          <w:tcPr>
            <w:tcW w:w="6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4,667</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Noncash share-based compensation</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391</w:t>
            </w:r>
          </w:p>
        </w:tc>
        <w:tc>
          <w:tcPr>
            <w:tcW w:w="6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331</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(243)</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(558)</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Payments of interest</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(1,372)</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(1,235)</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Payments of income taxes</w:t>
            </w:r>
          </w:p>
        </w:tc>
        <w:tc>
          <w:tcPr>
            <w:tcW w:w="360" w:type="dxa"/>
            <w:vAlign w:val="bottom"/>
          </w:tcPr>
          <w:p>
            <w:pPr>
              <w:spacing w:after="0"/>
              <w:rPr>
                <w:sz w:val="23"/>
                <w:szCs w:val="23"/>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(2,209)</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(1,685)</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3"/>
                <w:szCs w:val="23"/>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116</w:t>
            </w:r>
          </w:p>
        </w:tc>
        <w:tc>
          <w:tcPr>
            <w:tcW w:w="6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119</w:t>
            </w:r>
          </w:p>
        </w:tc>
      </w:tr>
      <w:tr>
        <w:trPr>
          <w:trHeight w:val="27"/>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ind w:right="115"/>
              <w:spacing w:after="0"/>
              <w:rPr>
                <w:sz w:val="20"/>
                <w:szCs w:val="20"/>
                <w:color w:val="auto"/>
              </w:rPr>
            </w:pPr>
            <w:r>
              <w:rPr>
                <w:rFonts w:ascii="Arial" w:cs="Arial" w:eastAsia="Arial" w:hAnsi="Arial"/>
                <w:sz w:val="18"/>
                <w:szCs w:val="18"/>
                <w:b w:val="1"/>
                <w:bCs w:val="1"/>
                <w:color w:val="auto"/>
              </w:rPr>
              <w:t>10,814</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9,794</w:t>
            </w:r>
          </w:p>
        </w:tc>
      </w:tr>
      <w:tr>
        <w:trPr>
          <w:trHeight w:val="34"/>
        </w:trPr>
        <w:tc>
          <w:tcPr>
            <w:tcW w:w="8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variance in changes in operating assets and liabilities for the six months ended June 30, 2017 compared to the same period in 2016 was primarily due to the timing of film and television spending, which was partially offset by the timing of collections on our receivables related to theatrical releases in the current year period.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Net cash used in investing activities for the six months ended June 30, 2017 consisted primarily of capital expenditures, purchases of investments, cash paid for intangible assets and acquisitions. Capital expenditures increased for the six months ended June 30, 2017 compared to the same period in 2016 primarily due to increased spending in our Cable Communications segment on continued</w:t>
      </w:r>
    </w:p>
    <w:p>
      <w:pPr>
        <w:sectPr>
          <w:pgSz w:w="11900" w:h="16838" w:orient="portrait"/>
          <w:cols w:equalWidth="0" w:num="1">
            <w:col w:w="11420"/>
          </w:cols>
          <w:pgMar w:left="240" w:top="17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75"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investment in scalable infrastructure to increase network capacity and increased investment in line extensions primarily for the expansion of business services. NBCUniversal capital expenditures decreased for the six months ended June 30, 2017 compared to the same period in 2016 primarily due to the timing of real estate and infrastructure spending offset by continued investment at our Theme Parks segment. Purchases of investments for the six months ended June 30, 2017 consisted primarily of our cash capital contributions to Atairos of $994 million and our investment in Snap Inc. of $500 million.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for the six months ended June 30, 2017 consisted primarily of repayments of debt, repurchases of common stock under our repurchase program and employee plans, the purchase of the remaining 49% noncontrolling interests in Universal Studios Japan, and dividend payments, which were partially offset by proceeds from borrowings.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 See Note 7 to Comcast’s condensed consolidated financial statements for additional information on our financing activities, including details of our debt repayments and borrowings.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also maintain significant availability under our lines of credit and commercial paper programs to meet our short-term liquidity requirements.</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June 30, 2017, amounts available under our consolidated revolving credit facilities, net of amounts outstanding under our commercial paper programs and outstanding letters of credit, totaled $7.2 billion, which included $1.5 billion available under the NBCUniversal Enterprise revolving credit facility.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January 1, 2017, our Board of Directors increased our share repurchase program authorization to $12 billion, which does not have an expiration date. Under the authorization, we may repurchase shares in the open market or in private transactions. During the six months ended June 30, 2017, we repurchased a total of 56 million shares of our Class A common stock for $2.1 billion. We expect to make $2.9 billion more in repurchases under this authorization during the remainder of 2017, subject to market conditions.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we paid $345 million for the six months ended June 30, 2017 related to employee taxes associated with the administration of our share-based compensation plans.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 2017, our Board of Directors approved a 15% increase in our dividend to $0.63 per share on an annualized basis. In May 2017, our Board of Directors approved our second quarter dividend of $0.1575 per share to be paid in July 2017. We expect to continue to pay quarterly dividends, although each dividend is subject to approval by our Board of Directors.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2016 Annual Report on Form 10-K.</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each of Comcast’s and NBCUniversal’s condensed consolidated financial statements for additional information related to recent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evaluated the information required under this item that was disclosed in our 2016 Annual Report on Form 10-K and there have been no significant changes to this information.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75"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 Corporation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principal executive and principal financial officers, after evaluating the effectiveness of Comcast’s disclosure controls and procedures (as defined in Exchange Act Rules 13a-15(e) and 15d-15(e)) as of the end of the period covered by this report, have concluded that, based on the evaluation of these controls and procedures required by paragraph (b) of Exchange Act Rules 13a-15 or 15d-15, Comcast’s disclosure controls and procedures were effective.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Comcast’s internal control over financial reporting identified in connection with the evaluation required by paragraph (d) of Exchange Act Rules 13a-15 or 15d-15 that occurred during Comcast’s last fiscal quarter that have materially affected, or are reasonably likely to materially affect, Comcast’s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Media, LLC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principal executive and principal financial officers, after evaluating the effectiveness of NBCUniversal’s disclosure controls and procedures (as defined in Rules 13a-15(e) and 15d-15(e) of the Exchange Act) as of the end of the period covered by this report, have concluded that, based on the evaluation of these controls and procedures required by paragraph (b) of Exchange Act Rules 13a-15 or 15d-15, NBCUniversal’s disclosure controls and procedures were effective.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NBCUniversal’s internal control over financial reporting identified in connection with the evaluation required by paragraph (d) of Exchange Act Rules 13a-15 or 15d-15 that occurred during NBCUniversal’s last fiscal quarter that have materially affected, or are reasonably likely to materially affect, NBCUniversal’s internal control over financial reporting.</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10 to Comcast’s condensed consolidated financial statements included in this Quarterly Report on Form 10-Q for a discussion of legal proceedings.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NBCUniversal is subject to legal proceedings and claims that arise in the ordinary course of its business and does not expect the final disposition of these matters to have a material adverse effect on its results of operations, cash flows or financial condition, although any such matters could be time-consuming and costly and could injure its reputation.</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2016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75"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Comcast’s common stock repurchases during the three months ended June 30, 2017.</w:t>
      </w:r>
    </w:p>
    <w:p>
      <w:pPr>
        <w:spacing w:after="0" w:line="16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Purchases of Equity Securities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center"/>
              <w:ind w:right="81"/>
              <w:spacing w:after="0"/>
              <w:rPr>
                <w:sz w:val="20"/>
                <w:szCs w:val="20"/>
                <w:color w:val="auto"/>
              </w:rPr>
            </w:pPr>
            <w:r>
              <w:rPr>
                <w:rFonts w:ascii="Arial" w:cs="Arial" w:eastAsia="Arial" w:hAnsi="Arial"/>
                <w:sz w:val="14"/>
                <w:szCs w:val="14"/>
                <w:color w:val="auto"/>
                <w:w w:val="97"/>
              </w:rPr>
              <w:t>Total Dollar</w:t>
            </w:r>
          </w:p>
        </w:tc>
        <w:tc>
          <w:tcPr>
            <w:tcW w:w="240" w:type="dxa"/>
            <w:vAlign w:val="bottom"/>
          </w:tcPr>
          <w:p>
            <w:pPr>
              <w:spacing w:after="0"/>
              <w:rPr>
                <w:sz w:val="14"/>
                <w:szCs w:val="14"/>
                <w:color w:val="auto"/>
              </w:rPr>
            </w:pPr>
          </w:p>
        </w:tc>
        <w:tc>
          <w:tcPr>
            <w:tcW w:w="1580" w:type="dxa"/>
            <w:vAlign w:val="bottom"/>
          </w:tcPr>
          <w:p>
            <w:pPr>
              <w:jc w:val="center"/>
              <w:ind w:right="120"/>
              <w:spacing w:after="0"/>
              <w:rPr>
                <w:sz w:val="20"/>
                <w:szCs w:val="20"/>
                <w:color w:val="auto"/>
              </w:rPr>
            </w:pPr>
            <w:r>
              <w:rPr>
                <w:rFonts w:ascii="Arial" w:cs="Arial" w:eastAsia="Arial" w:hAnsi="Arial"/>
                <w:sz w:val="14"/>
                <w:szCs w:val="14"/>
                <w:color w:val="auto"/>
              </w:rPr>
              <w:t>Maximum Dollar</w:t>
            </w:r>
          </w:p>
        </w:tc>
      </w:tr>
      <w:tr>
        <w:trPr>
          <w:trHeight w:val="149"/>
        </w:trPr>
        <w:tc>
          <w:tcPr>
            <w:tcW w:w="20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ind w:right="61"/>
              <w:spacing w:after="0" w:line="149" w:lineRule="exact"/>
              <w:rPr>
                <w:sz w:val="20"/>
                <w:szCs w:val="20"/>
                <w:color w:val="auto"/>
              </w:rPr>
            </w:pPr>
            <w:r>
              <w:rPr>
                <w:rFonts w:ascii="Arial" w:cs="Arial" w:eastAsia="Arial" w:hAnsi="Arial"/>
                <w:sz w:val="14"/>
                <w:szCs w:val="14"/>
                <w:color w:val="auto"/>
                <w:w w:val="99"/>
              </w:rPr>
              <w:t>Amount</w:t>
            </w:r>
          </w:p>
        </w:tc>
        <w:tc>
          <w:tcPr>
            <w:tcW w:w="240" w:type="dxa"/>
            <w:vAlign w:val="bottom"/>
          </w:tcPr>
          <w:p>
            <w:pPr>
              <w:spacing w:after="0"/>
              <w:rPr>
                <w:sz w:val="12"/>
                <w:szCs w:val="12"/>
                <w:color w:val="auto"/>
              </w:rPr>
            </w:pPr>
          </w:p>
        </w:tc>
        <w:tc>
          <w:tcPr>
            <w:tcW w:w="158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2"/>
              </w:rPr>
              <w:t>Value of Shares That</w:t>
            </w:r>
          </w:p>
        </w:tc>
      </w:tr>
      <w:tr>
        <w:trPr>
          <w:trHeight w:val="149"/>
        </w:trPr>
        <w:tc>
          <w:tcPr>
            <w:tcW w:w="202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440" w:type="dxa"/>
            <w:vAlign w:val="bottom"/>
          </w:tcPr>
          <w:p>
            <w:pPr>
              <w:spacing w:after="0"/>
              <w:rPr>
                <w:sz w:val="12"/>
                <w:szCs w:val="12"/>
                <w:color w:val="auto"/>
              </w:rPr>
            </w:pPr>
          </w:p>
        </w:tc>
        <w:tc>
          <w:tcPr>
            <w:tcW w:w="1060" w:type="dxa"/>
            <w:vAlign w:val="bottom"/>
          </w:tcPr>
          <w:p>
            <w:pPr>
              <w:jc w:val="center"/>
              <w:ind w:right="259"/>
              <w:spacing w:after="0" w:line="149" w:lineRule="exact"/>
              <w:rPr>
                <w:sz w:val="20"/>
                <w:szCs w:val="20"/>
                <w:color w:val="auto"/>
              </w:rPr>
            </w:pPr>
            <w:r>
              <w:rPr>
                <w:rFonts w:ascii="Arial" w:cs="Arial" w:eastAsia="Arial" w:hAnsi="Arial"/>
                <w:sz w:val="14"/>
                <w:szCs w:val="14"/>
                <w:color w:val="auto"/>
                <w:w w:val="91"/>
              </w:rPr>
              <w:t>Average</w:t>
            </w: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5"/>
              </w:rPr>
              <w:t>Total Number of</w:t>
            </w:r>
          </w:p>
        </w:tc>
        <w:tc>
          <w:tcPr>
            <w:tcW w:w="240" w:type="dxa"/>
            <w:vAlign w:val="bottom"/>
          </w:tcPr>
          <w:p>
            <w:pPr>
              <w:spacing w:after="0"/>
              <w:rPr>
                <w:sz w:val="12"/>
                <w:szCs w:val="12"/>
                <w:color w:val="auto"/>
              </w:rPr>
            </w:pPr>
          </w:p>
        </w:tc>
        <w:tc>
          <w:tcPr>
            <w:tcW w:w="1420" w:type="dxa"/>
            <w:vAlign w:val="bottom"/>
          </w:tcPr>
          <w:p>
            <w:pPr>
              <w:jc w:val="center"/>
              <w:ind w:right="61"/>
              <w:spacing w:after="0" w:line="149" w:lineRule="exact"/>
              <w:rPr>
                <w:sz w:val="20"/>
                <w:szCs w:val="20"/>
                <w:color w:val="auto"/>
              </w:rPr>
            </w:pPr>
            <w:r>
              <w:rPr>
                <w:rFonts w:ascii="Arial" w:cs="Arial" w:eastAsia="Arial" w:hAnsi="Arial"/>
                <w:sz w:val="14"/>
                <w:szCs w:val="14"/>
                <w:color w:val="auto"/>
                <w:w w:val="89"/>
              </w:rPr>
              <w:t>Purchased</w:t>
            </w:r>
          </w:p>
        </w:tc>
        <w:tc>
          <w:tcPr>
            <w:tcW w:w="240" w:type="dxa"/>
            <w:vAlign w:val="bottom"/>
          </w:tcPr>
          <w:p>
            <w:pPr>
              <w:spacing w:after="0"/>
              <w:rPr>
                <w:sz w:val="12"/>
                <w:szCs w:val="12"/>
                <w:color w:val="auto"/>
              </w:rPr>
            </w:pPr>
          </w:p>
        </w:tc>
        <w:tc>
          <w:tcPr>
            <w:tcW w:w="158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6"/>
              </w:rPr>
              <w:t>May Yet Be</w:t>
            </w:r>
          </w:p>
        </w:tc>
      </w:tr>
      <w:tr>
        <w:trPr>
          <w:trHeight w:val="149"/>
        </w:trPr>
        <w:tc>
          <w:tcPr>
            <w:tcW w:w="202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440" w:type="dxa"/>
            <w:vAlign w:val="bottom"/>
          </w:tcPr>
          <w:p>
            <w:pPr>
              <w:spacing w:after="0"/>
              <w:rPr>
                <w:sz w:val="12"/>
                <w:szCs w:val="12"/>
                <w:color w:val="auto"/>
              </w:rPr>
            </w:pPr>
          </w:p>
        </w:tc>
        <w:tc>
          <w:tcPr>
            <w:tcW w:w="1060" w:type="dxa"/>
            <w:vAlign w:val="bottom"/>
          </w:tcPr>
          <w:p>
            <w:pPr>
              <w:jc w:val="center"/>
              <w:ind w:right="239"/>
              <w:spacing w:after="0" w:line="149" w:lineRule="exact"/>
              <w:rPr>
                <w:sz w:val="20"/>
                <w:szCs w:val="20"/>
                <w:color w:val="auto"/>
              </w:rPr>
            </w:pPr>
            <w:r>
              <w:rPr>
                <w:rFonts w:ascii="Arial" w:cs="Arial" w:eastAsia="Arial" w:hAnsi="Arial"/>
                <w:sz w:val="14"/>
                <w:szCs w:val="14"/>
                <w:color w:val="auto"/>
                <w:w w:val="93"/>
              </w:rPr>
              <w:t>Price</w:t>
            </w: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86"/>
              </w:rPr>
              <w:t>Shares Purchased</w:t>
            </w:r>
          </w:p>
        </w:tc>
        <w:tc>
          <w:tcPr>
            <w:tcW w:w="240" w:type="dxa"/>
            <w:vAlign w:val="bottom"/>
          </w:tcPr>
          <w:p>
            <w:pPr>
              <w:spacing w:after="0"/>
              <w:rPr>
                <w:sz w:val="12"/>
                <w:szCs w:val="12"/>
                <w:color w:val="auto"/>
              </w:rPr>
            </w:pPr>
          </w:p>
        </w:tc>
        <w:tc>
          <w:tcPr>
            <w:tcW w:w="1420" w:type="dxa"/>
            <w:vAlign w:val="bottom"/>
          </w:tcPr>
          <w:p>
            <w:pPr>
              <w:jc w:val="center"/>
              <w:ind w:right="61"/>
              <w:spacing w:after="0" w:line="149" w:lineRule="exact"/>
              <w:rPr>
                <w:sz w:val="20"/>
                <w:szCs w:val="20"/>
                <w:color w:val="auto"/>
              </w:rPr>
            </w:pPr>
            <w:r>
              <w:rPr>
                <w:rFonts w:ascii="Arial" w:cs="Arial" w:eastAsia="Arial" w:hAnsi="Arial"/>
                <w:sz w:val="14"/>
                <w:szCs w:val="14"/>
                <w:color w:val="auto"/>
                <w:w w:val="95"/>
              </w:rPr>
              <w:t>Under the Publicly</w:t>
            </w:r>
          </w:p>
        </w:tc>
        <w:tc>
          <w:tcPr>
            <w:tcW w:w="182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3"/>
              </w:rPr>
              <w:t>Purchased Under the Publicly</w:t>
            </w:r>
          </w:p>
        </w:tc>
      </w:tr>
      <w:tr>
        <w:trPr>
          <w:trHeight w:val="149"/>
        </w:trPr>
        <w:tc>
          <w:tcPr>
            <w:tcW w:w="202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440" w:type="dxa"/>
            <w:vAlign w:val="bottom"/>
          </w:tcPr>
          <w:p>
            <w:pPr>
              <w:spacing w:after="0"/>
              <w:rPr>
                <w:sz w:val="12"/>
                <w:szCs w:val="12"/>
                <w:color w:val="auto"/>
              </w:rPr>
            </w:pPr>
          </w:p>
        </w:tc>
        <w:tc>
          <w:tcPr>
            <w:tcW w:w="1060" w:type="dxa"/>
            <w:vAlign w:val="bottom"/>
          </w:tcPr>
          <w:p>
            <w:pPr>
              <w:jc w:val="center"/>
              <w:ind w:right="259"/>
              <w:spacing w:after="0" w:line="149" w:lineRule="exact"/>
              <w:rPr>
                <w:sz w:val="20"/>
                <w:szCs w:val="20"/>
                <w:color w:val="auto"/>
              </w:rPr>
            </w:pPr>
            <w:r>
              <w:rPr>
                <w:rFonts w:ascii="Arial" w:cs="Arial" w:eastAsia="Arial" w:hAnsi="Arial"/>
                <w:sz w:val="14"/>
                <w:szCs w:val="14"/>
                <w:color w:val="auto"/>
                <w:w w:val="91"/>
              </w:rPr>
              <w:t>Per</w:t>
            </w: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4"/>
              </w:rPr>
              <w:t>as Part of Publicly</w:t>
            </w:r>
          </w:p>
        </w:tc>
        <w:tc>
          <w:tcPr>
            <w:tcW w:w="240" w:type="dxa"/>
            <w:vAlign w:val="bottom"/>
          </w:tcPr>
          <w:p>
            <w:pPr>
              <w:spacing w:after="0"/>
              <w:rPr>
                <w:sz w:val="12"/>
                <w:szCs w:val="12"/>
                <w:color w:val="auto"/>
              </w:rPr>
            </w:pPr>
          </w:p>
        </w:tc>
        <w:tc>
          <w:tcPr>
            <w:tcW w:w="1420" w:type="dxa"/>
            <w:vAlign w:val="bottom"/>
          </w:tcPr>
          <w:p>
            <w:pPr>
              <w:jc w:val="center"/>
              <w:ind w:right="81"/>
              <w:spacing w:after="0" w:line="149" w:lineRule="exact"/>
              <w:rPr>
                <w:sz w:val="20"/>
                <w:szCs w:val="20"/>
                <w:color w:val="auto"/>
              </w:rPr>
            </w:pPr>
            <w:r>
              <w:rPr>
                <w:rFonts w:ascii="Arial" w:cs="Arial" w:eastAsia="Arial" w:hAnsi="Arial"/>
                <w:sz w:val="14"/>
                <w:szCs w:val="14"/>
                <w:color w:val="auto"/>
                <w:w w:val="93"/>
              </w:rPr>
              <w:t>Announced</w:t>
            </w:r>
          </w:p>
        </w:tc>
        <w:tc>
          <w:tcPr>
            <w:tcW w:w="240" w:type="dxa"/>
            <w:vAlign w:val="bottom"/>
          </w:tcPr>
          <w:p>
            <w:pPr>
              <w:spacing w:after="0"/>
              <w:rPr>
                <w:sz w:val="12"/>
                <w:szCs w:val="12"/>
                <w:color w:val="auto"/>
              </w:rPr>
            </w:pPr>
          </w:p>
        </w:tc>
        <w:tc>
          <w:tcPr>
            <w:tcW w:w="1580" w:type="dxa"/>
            <w:vAlign w:val="bottom"/>
          </w:tcPr>
          <w:p>
            <w:pPr>
              <w:jc w:val="center"/>
              <w:ind w:right="120"/>
              <w:spacing w:after="0" w:line="149" w:lineRule="exact"/>
              <w:rPr>
                <w:sz w:val="20"/>
                <w:szCs w:val="20"/>
                <w:color w:val="auto"/>
              </w:rPr>
            </w:pPr>
            <w:r>
              <w:rPr>
                <w:rFonts w:ascii="Arial" w:cs="Arial" w:eastAsia="Arial" w:hAnsi="Arial"/>
                <w:sz w:val="14"/>
                <w:szCs w:val="14"/>
                <w:color w:val="auto"/>
                <w:w w:val="93"/>
              </w:rPr>
              <w:t>Announced</w:t>
            </w:r>
          </w:p>
        </w:tc>
      </w:tr>
      <w:tr>
        <w:trPr>
          <w:trHeight w:val="188"/>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Period</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Purchased</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color w:val="auto"/>
                <w:w w:val="85"/>
              </w:rPr>
              <w:t>Share</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Announced Authorization</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w w:val="97"/>
              </w:rPr>
              <w:t>Authorization</w:t>
            </w: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color w:val="auto"/>
                <w:w w:val="98"/>
              </w:rPr>
              <w:t>Authorization</w:t>
            </w:r>
            <w:r>
              <w:rPr>
                <w:rFonts w:ascii="Arial" w:cs="Arial" w:eastAsia="Arial" w:hAnsi="Arial"/>
                <w:sz w:val="8"/>
                <w:szCs w:val="8"/>
                <w:color w:val="auto"/>
                <w:w w:val="98"/>
              </w:rPr>
              <w:t>(a)</w:t>
            </w:r>
          </w:p>
        </w:tc>
      </w:tr>
      <w:tr>
        <w:trPr>
          <w:trHeight w:val="243"/>
        </w:trPr>
        <w:tc>
          <w:tcPr>
            <w:tcW w:w="2020" w:type="dxa"/>
            <w:vAlign w:val="bottom"/>
          </w:tcPr>
          <w:p>
            <w:pPr>
              <w:ind w:left="40"/>
              <w:spacing w:after="0"/>
              <w:rPr>
                <w:sz w:val="20"/>
                <w:szCs w:val="20"/>
                <w:color w:val="auto"/>
              </w:rPr>
            </w:pPr>
            <w:r>
              <w:rPr>
                <w:rFonts w:ascii="Arial" w:cs="Arial" w:eastAsia="Arial" w:hAnsi="Arial"/>
                <w:sz w:val="18"/>
                <w:szCs w:val="18"/>
                <w:color w:val="auto"/>
              </w:rPr>
              <w:t>April 1-30, 2017</w:t>
            </w:r>
          </w:p>
        </w:tc>
        <w:tc>
          <w:tcPr>
            <w:tcW w:w="2100" w:type="dxa"/>
            <w:vAlign w:val="bottom"/>
          </w:tcPr>
          <w:p>
            <w:pPr>
              <w:jc w:val="right"/>
              <w:ind w:right="159"/>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0"/>
              <w:spacing w:after="0"/>
              <w:rPr>
                <w:sz w:val="20"/>
                <w:szCs w:val="20"/>
                <w:color w:val="auto"/>
              </w:rPr>
            </w:pPr>
            <w:r>
              <w:rPr>
                <w:rFonts w:ascii="Arial" w:cs="Arial" w:eastAsia="Arial" w:hAnsi="Arial"/>
                <w:sz w:val="18"/>
                <w:szCs w:val="18"/>
                <w:color w:val="auto"/>
              </w:rPr>
              <w:t>11,250,000,006</w:t>
            </w:r>
          </w:p>
        </w:tc>
      </w:tr>
      <w:tr>
        <w:trPr>
          <w:trHeight w:val="270"/>
        </w:trPr>
        <w:tc>
          <w:tcPr>
            <w:tcW w:w="2020" w:type="dxa"/>
            <w:vAlign w:val="bottom"/>
          </w:tcPr>
          <w:p>
            <w:pPr>
              <w:ind w:left="40"/>
              <w:spacing w:after="0"/>
              <w:rPr>
                <w:sz w:val="20"/>
                <w:szCs w:val="20"/>
                <w:color w:val="auto"/>
              </w:rPr>
            </w:pPr>
            <w:r>
              <w:rPr>
                <w:rFonts w:ascii="Arial" w:cs="Arial" w:eastAsia="Arial" w:hAnsi="Arial"/>
                <w:sz w:val="18"/>
                <w:szCs w:val="18"/>
                <w:color w:val="auto"/>
              </w:rPr>
              <w:t>May 1-31, 2017</w:t>
            </w:r>
          </w:p>
        </w:tc>
        <w:tc>
          <w:tcPr>
            <w:tcW w:w="2100" w:type="dxa"/>
            <w:vAlign w:val="bottom"/>
          </w:tcPr>
          <w:p>
            <w:pPr>
              <w:jc w:val="right"/>
              <w:ind w:right="159"/>
              <w:spacing w:after="0"/>
              <w:rPr>
                <w:sz w:val="20"/>
                <w:szCs w:val="20"/>
                <w:color w:val="auto"/>
              </w:rPr>
            </w:pPr>
            <w:r>
              <w:rPr>
                <w:rFonts w:ascii="Arial" w:cs="Arial" w:eastAsia="Arial" w:hAnsi="Arial"/>
                <w:sz w:val="18"/>
                <w:szCs w:val="18"/>
                <w:color w:val="auto"/>
              </w:rPr>
              <w:t>16,575,436</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9"/>
              <w:spacing w:after="0"/>
              <w:rPr>
                <w:sz w:val="20"/>
                <w:szCs w:val="20"/>
                <w:color w:val="auto"/>
              </w:rPr>
            </w:pPr>
            <w:r>
              <w:rPr>
                <w:rFonts w:ascii="Arial" w:cs="Arial" w:eastAsia="Arial" w:hAnsi="Arial"/>
                <w:sz w:val="18"/>
                <w:szCs w:val="18"/>
                <w:color w:val="auto"/>
              </w:rPr>
              <w:t>38.07</w:t>
            </w:r>
          </w:p>
        </w:tc>
        <w:tc>
          <w:tcPr>
            <w:tcW w:w="1960" w:type="dxa"/>
            <w:vAlign w:val="bottom"/>
          </w:tcPr>
          <w:p>
            <w:pPr>
              <w:jc w:val="right"/>
              <w:spacing w:after="0"/>
              <w:rPr>
                <w:sz w:val="20"/>
                <w:szCs w:val="20"/>
                <w:color w:val="auto"/>
              </w:rPr>
            </w:pPr>
            <w:r>
              <w:rPr>
                <w:rFonts w:ascii="Arial" w:cs="Arial" w:eastAsia="Arial" w:hAnsi="Arial"/>
                <w:sz w:val="18"/>
                <w:szCs w:val="18"/>
                <w:color w:val="auto"/>
              </w:rPr>
              <w:t>16,575,436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631,090,407</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0"/>
              <w:spacing w:after="0"/>
              <w:rPr>
                <w:sz w:val="20"/>
                <w:szCs w:val="20"/>
                <w:color w:val="auto"/>
              </w:rPr>
            </w:pPr>
            <w:r>
              <w:rPr>
                <w:rFonts w:ascii="Arial" w:cs="Arial" w:eastAsia="Arial" w:hAnsi="Arial"/>
                <w:sz w:val="18"/>
                <w:szCs w:val="18"/>
                <w:color w:val="auto"/>
              </w:rPr>
              <w:t>10,618,909,599</w:t>
            </w:r>
          </w:p>
        </w:tc>
      </w:tr>
      <w:tr>
        <w:trPr>
          <w:trHeight w:val="270"/>
        </w:trPr>
        <w:tc>
          <w:tcPr>
            <w:tcW w:w="2020" w:type="dxa"/>
            <w:vAlign w:val="bottom"/>
          </w:tcPr>
          <w:p>
            <w:pPr>
              <w:ind w:left="40"/>
              <w:spacing w:after="0"/>
              <w:rPr>
                <w:sz w:val="20"/>
                <w:szCs w:val="20"/>
                <w:color w:val="auto"/>
              </w:rPr>
            </w:pPr>
            <w:r>
              <w:rPr>
                <w:rFonts w:ascii="Arial" w:cs="Arial" w:eastAsia="Arial" w:hAnsi="Arial"/>
                <w:sz w:val="18"/>
                <w:szCs w:val="18"/>
                <w:color w:val="auto"/>
              </w:rPr>
              <w:t>June 1-30, 2017</w:t>
            </w:r>
          </w:p>
        </w:tc>
        <w:tc>
          <w:tcPr>
            <w:tcW w:w="2100" w:type="dxa"/>
            <w:vAlign w:val="bottom"/>
          </w:tcPr>
          <w:p>
            <w:pPr>
              <w:jc w:val="right"/>
              <w:ind w:right="159"/>
              <w:spacing w:after="0"/>
              <w:rPr>
                <w:sz w:val="20"/>
                <w:szCs w:val="20"/>
                <w:color w:val="auto"/>
              </w:rPr>
            </w:pPr>
            <w:r>
              <w:rPr>
                <w:rFonts w:ascii="Arial" w:cs="Arial" w:eastAsia="Arial" w:hAnsi="Arial"/>
                <w:sz w:val="18"/>
                <w:szCs w:val="18"/>
                <w:color w:val="auto"/>
              </w:rPr>
              <w:t>18,575,005</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9"/>
              <w:spacing w:after="0"/>
              <w:rPr>
                <w:sz w:val="20"/>
                <w:szCs w:val="20"/>
                <w:color w:val="auto"/>
              </w:rPr>
            </w:pPr>
            <w:r>
              <w:rPr>
                <w:rFonts w:ascii="Arial" w:cs="Arial" w:eastAsia="Arial" w:hAnsi="Arial"/>
                <w:sz w:val="18"/>
                <w:szCs w:val="18"/>
                <w:color w:val="auto"/>
              </w:rPr>
              <w:t>40.38</w:t>
            </w:r>
          </w:p>
        </w:tc>
        <w:tc>
          <w:tcPr>
            <w:tcW w:w="1960" w:type="dxa"/>
            <w:vAlign w:val="bottom"/>
          </w:tcPr>
          <w:p>
            <w:pPr>
              <w:jc w:val="right"/>
              <w:spacing w:after="0"/>
              <w:rPr>
                <w:sz w:val="20"/>
                <w:szCs w:val="20"/>
                <w:color w:val="auto"/>
              </w:rPr>
            </w:pPr>
            <w:r>
              <w:rPr>
                <w:rFonts w:ascii="Arial" w:cs="Arial" w:eastAsia="Arial" w:hAnsi="Arial"/>
                <w:sz w:val="18"/>
                <w:szCs w:val="18"/>
                <w:color w:val="auto"/>
              </w:rPr>
              <w:t>18,575,005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750,000,000</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0"/>
              <w:spacing w:after="0"/>
              <w:rPr>
                <w:sz w:val="20"/>
                <w:szCs w:val="20"/>
                <w:color w:val="auto"/>
              </w:rPr>
            </w:pPr>
            <w:r>
              <w:rPr>
                <w:rFonts w:ascii="Arial" w:cs="Arial" w:eastAsia="Arial" w:hAnsi="Arial"/>
                <w:sz w:val="18"/>
                <w:szCs w:val="18"/>
                <w:color w:val="auto"/>
              </w:rPr>
              <w:t>9,868,909,599</w:t>
            </w:r>
          </w:p>
        </w:tc>
      </w:tr>
      <w:tr>
        <w:trPr>
          <w:trHeight w:val="27"/>
        </w:trPr>
        <w:tc>
          <w:tcPr>
            <w:tcW w:w="20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20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100" w:type="dxa"/>
            <w:vAlign w:val="bottom"/>
          </w:tcPr>
          <w:p>
            <w:pPr>
              <w:jc w:val="right"/>
              <w:ind w:right="159"/>
              <w:spacing w:after="0"/>
              <w:rPr>
                <w:sz w:val="20"/>
                <w:szCs w:val="20"/>
                <w:color w:val="auto"/>
              </w:rPr>
            </w:pPr>
            <w:r>
              <w:rPr>
                <w:rFonts w:ascii="Arial" w:cs="Arial" w:eastAsia="Arial" w:hAnsi="Arial"/>
                <w:sz w:val="18"/>
                <w:szCs w:val="18"/>
                <w:b w:val="1"/>
                <w:bCs w:val="1"/>
                <w:color w:val="auto"/>
              </w:rPr>
              <w:t>35,150,441</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19"/>
              <w:spacing w:after="0"/>
              <w:rPr>
                <w:sz w:val="20"/>
                <w:szCs w:val="20"/>
                <w:color w:val="auto"/>
              </w:rPr>
            </w:pPr>
            <w:r>
              <w:rPr>
                <w:rFonts w:ascii="Arial" w:cs="Arial" w:eastAsia="Arial" w:hAnsi="Arial"/>
                <w:sz w:val="18"/>
                <w:szCs w:val="18"/>
                <w:b w:val="1"/>
                <w:bCs w:val="1"/>
                <w:color w:val="auto"/>
              </w:rPr>
              <w:t>39.29</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35,150,441</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1,381,090,407</w:t>
            </w:r>
          </w:p>
        </w:tc>
        <w:tc>
          <w:tcPr>
            <w:tcW w:w="24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40"/>
              <w:spacing w:after="0"/>
              <w:rPr>
                <w:sz w:val="20"/>
                <w:szCs w:val="20"/>
                <w:color w:val="auto"/>
              </w:rPr>
            </w:pPr>
            <w:r>
              <w:rPr>
                <w:rFonts w:ascii="Arial" w:cs="Arial" w:eastAsia="Arial" w:hAnsi="Arial"/>
                <w:sz w:val="18"/>
                <w:szCs w:val="18"/>
                <w:b w:val="1"/>
                <w:bCs w:val="1"/>
                <w:color w:val="auto"/>
              </w:rPr>
              <w:t>9,868,909,599</w:t>
            </w:r>
          </w:p>
        </w:tc>
      </w:tr>
      <w:tr>
        <w:trPr>
          <w:trHeight w:val="34"/>
        </w:trPr>
        <w:tc>
          <w:tcPr>
            <w:tcW w:w="20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143" w:lineRule="exact"/>
        <w:rPr>
          <w:sz w:val="20"/>
          <w:szCs w:val="20"/>
          <w:color w:val="auto"/>
        </w:rPr>
      </w:pPr>
    </w:p>
    <w:p>
      <w:pPr>
        <w:jc w:val="both"/>
        <w:ind w:left="340" w:hanging="332"/>
        <w:spacing w:after="0" w:line="257"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Effective January 1, 2017, our Board of Directors increased our share repurchase program authorization to $12 billion, which does not have an expiration date. Under this authorization, we may repurchase shares in the open market or in private transactions. We expect to make $2.9 billion more in repurchases under this authorization during the remainder of 2017, subject to market conditions.</w:t>
      </w:r>
    </w:p>
    <w:p>
      <w:pPr>
        <w:spacing w:after="0" w:line="135"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The total number of shares purchased during the three months ended June 30, 2017 does not include any shares received in the administration of employee share-based compensation plans.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Iran Threat Reduction and Syria Human Rights Act Disclosure</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Pursuant to Section 219 of the Iran Threat Reduction and Syria Human Rights Act of 2012, companies are required, among other things, to disclose certain activities, transactions or dealings with the Government of Iran or entities controlled directly or indirectly by the Government of Iran. Disclosure is generally required even where the activities, transactions or dealings are conducted in compliance with applicable laws and regulations and are de minimis. As of the date of this report, we are not aware of any activity, transaction or dealing during the three months ended June 30, 2017 that requires disclosure under the Act, except with respect to a January 2016 licensing agreement by a non-U.S. subsidiary of DreamWorks Animation prior to our August 2016 DreamWorks Animation acquisition. The agreement licensed a prior season of a children’s animated television series for a three-year, non-cancelable term and for a one-time fee of $5,200 to a broadcasting company that is owned and controlled by the Government of Iran. The broadcasting company paid the license fee in the first quarter of 2016. We believe that DreamWorks Animation conducted its licensing activity in compliance with applicable laws and that the license is for the permissible exportation of informational materials pursuant to certain statutory and regulatory exemptions from U.S. sanctions.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26, 2017, Comcast Corporation entered into a new employment agreement with Brian L. Roberts, Chairman of the Board of Directors, President and Chief Executive Officer of Comcast Corporation, effective as of August 1, 2017. The new employment agreement provides for an initial term of employment through July 31, 2020, which term will be extended automatically so that the term of the agreement will always be three years, unless otherwise terminated by either party in accordance with the employment agreement. The new employment agreement does not change Mr. Roberts’ base salary or target bonus opportunity, in each case as provided under Mr. Roberts’ prior employment agreement. The new employment agreement sets forth the annual crediting contributions to Mr. Roberts’ deferred compensation plan account, with annual contributions increasing by 5% each year during the term of the agreement. The new employment agreement also provides for certain changes with respect to Mr. Roberts’ compensation following a termination of employment as a result of his disability, by Comcast Corporation without cause or by Mr. Roberts for good reason, in each case as set forth in the new employment agreement, a copy of which is attached hereto as Exhibit 10.2.</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The above summary is qualified in its entirety by the terms and conditions set forth in the new employment agreement, attached hereto as Exhibit 10.2.</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75"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Exhibit</w:t>
      </w:r>
    </w:p>
    <w:p>
      <w:pPr>
        <w:ind w:left="280"/>
        <w:spacing w:after="0"/>
        <w:tabs>
          <w:tab w:leader="none" w:pos="9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9037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7" w:lineRule="exact"/>
        <w:rPr>
          <w:sz w:val="20"/>
          <w:szCs w:val="20"/>
          <w:color w:val="auto"/>
        </w:rPr>
      </w:pPr>
    </w:p>
    <w:p>
      <w:pPr>
        <w:ind w:left="920" w:right="20" w:hanging="631"/>
        <w:spacing w:after="0" w:line="277" w:lineRule="auto"/>
        <w:tabs>
          <w:tab w:leader="none" w:pos="900" w:val="left"/>
        </w:tabs>
        <w:rPr>
          <w:rFonts w:ascii="Arial" w:cs="Arial" w:eastAsia="Arial" w:hAnsi="Arial"/>
          <w:sz w:val="18"/>
          <w:szCs w:val="18"/>
          <w:color w:val="0000EE"/>
        </w:rPr>
      </w:pPr>
      <w:hyperlink r:id="rId19">
        <w:r>
          <w:rPr>
            <w:rFonts w:ascii="Arial" w:cs="Arial" w:eastAsia="Arial" w:hAnsi="Arial"/>
            <w:sz w:val="18"/>
            <w:szCs w:val="18"/>
            <w:u w:val="single" w:color="auto"/>
            <w:color w:val="0000EE"/>
          </w:rPr>
          <w:t>3.1</w:t>
        </w:r>
      </w:hyperlink>
      <w:r>
        <w:rPr>
          <w:rFonts w:ascii="Arial" w:cs="Arial" w:eastAsia="Arial" w:hAnsi="Arial"/>
          <w:sz w:val="18"/>
          <w:szCs w:val="18"/>
          <w:color w:val="0000EE"/>
        </w:rPr>
        <w:tab/>
        <w:t>Amended and restated By-Laws of Comcast Corporation, effective May 10, 2017 (incorporated by reference to Exhibit 3.1 to the Current Report on Form 8-K filed on May 12, 2017).</w:t>
      </w:r>
    </w:p>
    <w:p>
      <w:pPr>
        <w:spacing w:after="0" w:line="8" w:lineRule="exact"/>
        <w:rPr>
          <w:sz w:val="20"/>
          <w:szCs w:val="20"/>
          <w:color w:val="auto"/>
        </w:rPr>
      </w:pPr>
    </w:p>
    <w:p>
      <w:pPr>
        <w:ind w:left="200"/>
        <w:spacing w:after="0"/>
        <w:tabs>
          <w:tab w:leader="none" w:pos="900" w:val="left"/>
        </w:tabs>
        <w:rPr>
          <w:rFonts w:ascii="Arial" w:cs="Arial" w:eastAsia="Arial" w:hAnsi="Arial"/>
          <w:sz w:val="18"/>
          <w:szCs w:val="18"/>
          <w:color w:val="0000EE"/>
        </w:rPr>
      </w:pPr>
      <w:hyperlink w:anchor="page59">
        <w:r>
          <w:rPr>
            <w:rFonts w:ascii="Arial" w:cs="Arial" w:eastAsia="Arial" w:hAnsi="Arial"/>
            <w:sz w:val="18"/>
            <w:szCs w:val="18"/>
            <w:u w:val="single" w:color="auto"/>
            <w:color w:val="0000EE"/>
          </w:rPr>
          <w:t>10.1*</w:t>
        </w:r>
      </w:hyperlink>
      <w:r>
        <w:rPr>
          <w:rFonts w:ascii="Arial" w:cs="Arial" w:eastAsia="Arial" w:hAnsi="Arial"/>
          <w:sz w:val="18"/>
          <w:szCs w:val="18"/>
          <w:color w:val="0000EE"/>
        </w:rPr>
        <w:tab/>
      </w:r>
      <w:r>
        <w:rPr>
          <w:rFonts w:ascii="Arial" w:cs="Arial" w:eastAsia="Arial" w:hAnsi="Arial"/>
          <w:sz w:val="16"/>
          <w:szCs w:val="16"/>
          <w:color w:val="0000EE"/>
        </w:rPr>
        <w:t>Employment Agreement between Comcast Corporation and Brian L. Roberts, dated as of June 30, 2017.</w:t>
      </w:r>
    </w:p>
    <w:p>
      <w:pPr>
        <w:spacing w:after="0" w:line="63" w:lineRule="exact"/>
        <w:rPr>
          <w:sz w:val="20"/>
          <w:szCs w:val="20"/>
          <w:color w:val="auto"/>
        </w:rPr>
      </w:pPr>
    </w:p>
    <w:p>
      <w:pPr>
        <w:ind w:left="200"/>
        <w:spacing w:after="0"/>
        <w:tabs>
          <w:tab w:leader="none" w:pos="900" w:val="left"/>
        </w:tabs>
        <w:rPr>
          <w:rFonts w:ascii="Arial" w:cs="Arial" w:eastAsia="Arial" w:hAnsi="Arial"/>
          <w:sz w:val="18"/>
          <w:szCs w:val="18"/>
          <w:color w:val="0000EE"/>
        </w:rPr>
      </w:pPr>
      <w:hyperlink w:anchor="page60">
        <w:r>
          <w:rPr>
            <w:rFonts w:ascii="Arial" w:cs="Arial" w:eastAsia="Arial" w:hAnsi="Arial"/>
            <w:sz w:val="18"/>
            <w:szCs w:val="18"/>
            <w:u w:val="single" w:color="auto"/>
            <w:color w:val="0000EE"/>
          </w:rPr>
          <w:t>10.2*</w:t>
        </w:r>
      </w:hyperlink>
      <w:r>
        <w:rPr>
          <w:rFonts w:ascii="Arial" w:cs="Arial" w:eastAsia="Arial" w:hAnsi="Arial"/>
          <w:sz w:val="18"/>
          <w:szCs w:val="18"/>
          <w:color w:val="0000EE"/>
        </w:rPr>
        <w:tab/>
      </w:r>
      <w:r>
        <w:rPr>
          <w:rFonts w:ascii="Arial" w:cs="Arial" w:eastAsia="Arial" w:hAnsi="Arial"/>
          <w:sz w:val="16"/>
          <w:szCs w:val="16"/>
          <w:color w:val="0000EE"/>
        </w:rPr>
        <w:t>Amendment No. 18 to Employment Agreement between Comcast Corporation and Brian L. Roberts, dated as of July 26, 2017.</w:t>
      </w:r>
    </w:p>
    <w:p>
      <w:pPr>
        <w:spacing w:after="0" w:line="63" w:lineRule="exact"/>
        <w:rPr>
          <w:sz w:val="20"/>
          <w:szCs w:val="20"/>
          <w:color w:val="auto"/>
        </w:rPr>
      </w:pPr>
    </w:p>
    <w:p>
      <w:pPr>
        <w:ind w:left="240"/>
        <w:spacing w:after="0"/>
        <w:tabs>
          <w:tab w:leader="none" w:pos="900" w:val="left"/>
        </w:tabs>
        <w:rPr>
          <w:rFonts w:ascii="Arial" w:cs="Arial" w:eastAsia="Arial" w:hAnsi="Arial"/>
          <w:sz w:val="18"/>
          <w:szCs w:val="18"/>
          <w:color w:val="0000EE"/>
        </w:rPr>
      </w:pPr>
      <w:hyperlink r:id="rId20">
        <w:r>
          <w:rPr>
            <w:rFonts w:ascii="Arial" w:cs="Arial" w:eastAsia="Arial" w:hAnsi="Arial"/>
            <w:sz w:val="18"/>
            <w:szCs w:val="18"/>
            <w:u w:val="single" w:color="auto"/>
            <w:color w:val="0000EE"/>
          </w:rPr>
          <w:t>10.3</w:t>
        </w:r>
      </w:hyperlink>
      <w:r>
        <w:rPr>
          <w:rFonts w:ascii="Arial" w:cs="Arial" w:eastAsia="Arial" w:hAnsi="Arial"/>
          <w:sz w:val="18"/>
          <w:szCs w:val="18"/>
          <w:color w:val="0000EE"/>
        </w:rPr>
        <w:tab/>
      </w:r>
      <w:r>
        <w:rPr>
          <w:rFonts w:ascii="Arial" w:cs="Arial" w:eastAsia="Arial" w:hAnsi="Arial"/>
          <w:sz w:val="16"/>
          <w:szCs w:val="16"/>
          <w:color w:val="0000EE"/>
        </w:rPr>
        <w:t>Wireless Operational Cooperation Agreement dated as of May 5, 2017 between Comcast Corporation and Charter Communications, Inc.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(incorporated by reference to Exhibit 10.1 to the Current Report on Form 8-K filed on May 8, 2017).</w:t>
      </w:r>
    </w:p>
    <w:p>
      <w:pPr>
        <w:spacing w:after="0" w:line="49" w:lineRule="exact"/>
        <w:rPr>
          <w:sz w:val="20"/>
          <w:szCs w:val="20"/>
          <w:color w:val="auto"/>
        </w:rPr>
      </w:pPr>
    </w:p>
    <w:p>
      <w:pPr>
        <w:ind w:left="240"/>
        <w:spacing w:after="0"/>
        <w:tabs>
          <w:tab w:leader="none" w:pos="900" w:val="left"/>
        </w:tabs>
        <w:rPr>
          <w:rFonts w:ascii="Arial" w:cs="Arial" w:eastAsia="Arial" w:hAnsi="Arial"/>
          <w:sz w:val="18"/>
          <w:szCs w:val="18"/>
          <w:color w:val="0000EE"/>
        </w:rPr>
      </w:pPr>
      <w:hyperlink w:anchor="page74">
        <w:r>
          <w:rPr>
            <w:rFonts w:ascii="Arial" w:cs="Arial" w:eastAsia="Arial" w:hAnsi="Arial"/>
            <w:sz w:val="18"/>
            <w:szCs w:val="18"/>
            <w:u w:val="single" w:color="auto"/>
            <w:color w:val="0000EE"/>
          </w:rPr>
          <w:t>31.1</w:t>
        </w:r>
      </w:hyperlink>
      <w:r>
        <w:rPr>
          <w:rFonts w:ascii="Arial" w:cs="Arial" w:eastAsia="Arial" w:hAnsi="Arial"/>
          <w:sz w:val="18"/>
          <w:szCs w:val="18"/>
          <w:color w:val="0000EE"/>
        </w:rPr>
        <w:tab/>
      </w:r>
      <w:r>
        <w:rPr>
          <w:rFonts w:ascii="Arial" w:cs="Arial" w:eastAsia="Arial" w:hAnsi="Arial"/>
          <w:sz w:val="16"/>
          <w:szCs w:val="16"/>
          <w:color w:val="0000EE"/>
        </w:rPr>
        <w:t>Certification of Chief Executive Officer and Chief Financial Officer pursuant to Section 302 of the Sarbanes-Oxley Act of 2002.</w:t>
      </w:r>
    </w:p>
    <w:p>
      <w:pPr>
        <w:spacing w:after="0" w:line="63" w:lineRule="exact"/>
        <w:rPr>
          <w:sz w:val="20"/>
          <w:szCs w:val="20"/>
          <w:color w:val="auto"/>
        </w:rPr>
      </w:pPr>
    </w:p>
    <w:p>
      <w:pPr>
        <w:ind w:left="240"/>
        <w:spacing w:after="0"/>
        <w:tabs>
          <w:tab w:leader="none" w:pos="900" w:val="left"/>
        </w:tabs>
        <w:rPr>
          <w:rFonts w:ascii="Arial" w:cs="Arial" w:eastAsia="Arial" w:hAnsi="Arial"/>
          <w:sz w:val="18"/>
          <w:szCs w:val="18"/>
          <w:color w:val="0000EE"/>
        </w:rPr>
      </w:pPr>
      <w:hyperlink w:anchor="page78">
        <w:r>
          <w:rPr>
            <w:rFonts w:ascii="Arial" w:cs="Arial" w:eastAsia="Arial" w:hAnsi="Arial"/>
            <w:sz w:val="18"/>
            <w:szCs w:val="18"/>
            <w:u w:val="single" w:color="auto"/>
            <w:color w:val="0000EE"/>
          </w:rPr>
          <w:t>32.1</w:t>
        </w:r>
      </w:hyperlink>
      <w:r>
        <w:rPr>
          <w:rFonts w:ascii="Arial" w:cs="Arial" w:eastAsia="Arial" w:hAnsi="Arial"/>
          <w:sz w:val="18"/>
          <w:szCs w:val="18"/>
          <w:color w:val="0000EE"/>
        </w:rPr>
        <w:tab/>
      </w:r>
      <w:r>
        <w:rPr>
          <w:rFonts w:ascii="Arial" w:cs="Arial" w:eastAsia="Arial" w:hAnsi="Arial"/>
          <w:sz w:val="16"/>
          <w:szCs w:val="16"/>
          <w:color w:val="0000EE"/>
        </w:rPr>
        <w:t>Certification of Chief Executive Officer and Chief Financial Officer pursuant to Section 906 of the Sarbanes-Oxley Act of 2002.</w:t>
      </w:r>
    </w:p>
    <w:p>
      <w:pPr>
        <w:spacing w:after="0" w:line="63" w:lineRule="exact"/>
        <w:rPr>
          <w:sz w:val="20"/>
          <w:szCs w:val="20"/>
          <w:color w:val="auto"/>
        </w:rPr>
      </w:pPr>
    </w:p>
    <w:p>
      <w:pPr>
        <w:jc w:val="both"/>
        <w:ind w:left="920" w:right="20" w:hanging="662"/>
        <w:spacing w:after="0" w:line="276" w:lineRule="auto"/>
        <w:tabs>
          <w:tab w:leader="none" w:pos="92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following financial statements from Comcast Corporation’s Quarterly Report on Form 10-Q for the three and six months ended June 30, 2017, filed with the Securities and Exchange Commission on July 27, 2017,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3"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8"/>
          <w:szCs w:val="18"/>
          <w:color w:val="auto"/>
        </w:rPr>
        <w:t xml:space="preserve">* </w:t>
      </w:r>
      <w:r>
        <w:rPr>
          <w:rFonts w:ascii="Arial" w:cs="Arial" w:eastAsia="Arial" w:hAnsi="Arial"/>
          <w:sz w:val="14"/>
          <w:szCs w:val="14"/>
          <w:color w:val="auto"/>
        </w:rPr>
        <w:t>Constitutes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69037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Exhibit</w:t>
      </w:r>
    </w:p>
    <w:p>
      <w:pPr>
        <w:ind w:left="280"/>
        <w:spacing w:after="0"/>
        <w:tabs>
          <w:tab w:leader="none" w:pos="9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903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7" w:lineRule="exact"/>
        <w:rPr>
          <w:sz w:val="20"/>
          <w:szCs w:val="20"/>
          <w:color w:val="auto"/>
        </w:rPr>
      </w:pPr>
    </w:p>
    <w:p>
      <w:pPr>
        <w:jc w:val="both"/>
        <w:ind w:left="920" w:right="20" w:hanging="609"/>
        <w:spacing w:after="0" w:line="264" w:lineRule="auto"/>
        <w:tabs>
          <w:tab w:leader="none" w:pos="900" w:val="left"/>
        </w:tabs>
        <w:rPr>
          <w:rFonts w:ascii="Arial" w:cs="Arial" w:eastAsia="Arial" w:hAnsi="Arial"/>
          <w:sz w:val="18"/>
          <w:szCs w:val="18"/>
          <w:color w:val="0000EE"/>
        </w:rPr>
      </w:pPr>
      <w:hyperlink r:id="rId23">
        <w:r>
          <w:rPr>
            <w:rFonts w:ascii="Arial" w:cs="Arial" w:eastAsia="Arial" w:hAnsi="Arial"/>
            <w:sz w:val="18"/>
            <w:szCs w:val="18"/>
            <w:u w:val="single" w:color="auto"/>
            <w:color w:val="0000EE"/>
          </w:rPr>
          <w:t>10.1</w:t>
        </w:r>
      </w:hyperlink>
      <w:r>
        <w:rPr>
          <w:rFonts w:ascii="Arial" w:cs="Arial" w:eastAsia="Arial" w:hAnsi="Arial"/>
          <w:sz w:val="18"/>
          <w:szCs w:val="18"/>
          <w:color w:val="0000EE"/>
        </w:rPr>
        <w:tab/>
        <w:t>Loan Agreement dated as of May 1, 2017, among USJ Co., Ltd., the financial institutions party thereto (the “lenders”) and Sumitomo Mitusi Banking Corporation, as agent (incorporated by reference to Exhibit 10.1 to the Current Report on Form 8-K filed on May 3, 2017).</w:t>
      </w:r>
    </w:p>
    <w:p>
      <w:pPr>
        <w:spacing w:after="0" w:line="19" w:lineRule="exact"/>
        <w:rPr>
          <w:sz w:val="20"/>
          <w:szCs w:val="20"/>
          <w:color w:val="auto"/>
        </w:rPr>
      </w:pPr>
    </w:p>
    <w:p>
      <w:pPr>
        <w:ind w:left="300"/>
        <w:spacing w:after="0"/>
        <w:tabs>
          <w:tab w:leader="none" w:pos="900" w:val="left"/>
        </w:tabs>
        <w:rPr>
          <w:rFonts w:ascii="Arial" w:cs="Arial" w:eastAsia="Arial" w:hAnsi="Arial"/>
          <w:sz w:val="18"/>
          <w:szCs w:val="18"/>
          <w:color w:val="0000EE"/>
        </w:rPr>
      </w:pPr>
      <w:hyperlink w:anchor="page76">
        <w:r>
          <w:rPr>
            <w:rFonts w:ascii="Arial" w:cs="Arial" w:eastAsia="Arial" w:hAnsi="Arial"/>
            <w:sz w:val="18"/>
            <w:szCs w:val="18"/>
            <w:u w:val="single" w:color="auto"/>
            <w:color w:val="0000EE"/>
          </w:rPr>
          <w:t>31.2</w:t>
        </w:r>
      </w:hyperlink>
      <w:r>
        <w:rPr>
          <w:rFonts w:ascii="Arial" w:cs="Arial" w:eastAsia="Arial" w:hAnsi="Arial"/>
          <w:sz w:val="18"/>
          <w:szCs w:val="18"/>
          <w:color w:val="0000EE"/>
        </w:rPr>
        <w:tab/>
      </w:r>
      <w:r>
        <w:rPr>
          <w:rFonts w:ascii="Arial" w:cs="Arial" w:eastAsia="Arial" w:hAnsi="Arial"/>
          <w:sz w:val="16"/>
          <w:szCs w:val="16"/>
          <w:color w:val="0000EE"/>
        </w:rPr>
        <w:t>Certification of Principal Executive Officer and Principal Financial Officer pursuant to Section 302 of the Sarbanes-Oxley Act of 2002.</w:t>
      </w:r>
    </w:p>
    <w:p>
      <w:pPr>
        <w:spacing w:after="0" w:line="63" w:lineRule="exact"/>
        <w:rPr>
          <w:sz w:val="20"/>
          <w:szCs w:val="20"/>
          <w:color w:val="auto"/>
        </w:rPr>
      </w:pPr>
    </w:p>
    <w:p>
      <w:pPr>
        <w:ind w:left="300"/>
        <w:spacing w:after="0"/>
        <w:tabs>
          <w:tab w:leader="none" w:pos="900" w:val="left"/>
        </w:tabs>
        <w:rPr>
          <w:rFonts w:ascii="Arial" w:cs="Arial" w:eastAsia="Arial" w:hAnsi="Arial"/>
          <w:sz w:val="18"/>
          <w:szCs w:val="18"/>
          <w:color w:val="0000EE"/>
        </w:rPr>
      </w:pPr>
      <w:hyperlink w:anchor="page79">
        <w:r>
          <w:rPr>
            <w:rFonts w:ascii="Arial" w:cs="Arial" w:eastAsia="Arial" w:hAnsi="Arial"/>
            <w:sz w:val="18"/>
            <w:szCs w:val="18"/>
            <w:u w:val="single" w:color="auto"/>
            <w:color w:val="0000EE"/>
          </w:rPr>
          <w:t>32.2</w:t>
        </w:r>
      </w:hyperlink>
      <w:r>
        <w:rPr>
          <w:rFonts w:ascii="Arial" w:cs="Arial" w:eastAsia="Arial" w:hAnsi="Arial"/>
          <w:sz w:val="18"/>
          <w:szCs w:val="18"/>
          <w:color w:val="0000EE"/>
        </w:rPr>
        <w:tab/>
      </w:r>
      <w:r>
        <w:rPr>
          <w:rFonts w:ascii="Arial" w:cs="Arial" w:eastAsia="Arial" w:hAnsi="Arial"/>
          <w:sz w:val="16"/>
          <w:szCs w:val="16"/>
          <w:color w:val="0000EE"/>
        </w:rPr>
        <w:t>Certification of Principal Executive Officer and Principal Financial Officer pursuant to Section 906 of the Sarbanes-Oxley Act of 2002.</w:t>
      </w:r>
    </w:p>
    <w:p>
      <w:pPr>
        <w:spacing w:after="0" w:line="63" w:lineRule="exact"/>
        <w:rPr>
          <w:sz w:val="20"/>
          <w:szCs w:val="20"/>
          <w:color w:val="auto"/>
        </w:rPr>
      </w:pPr>
    </w:p>
    <w:p>
      <w:pPr>
        <w:jc w:val="both"/>
        <w:ind w:left="920" w:right="20" w:hanging="595"/>
        <w:spacing w:after="0" w:line="297" w:lineRule="auto"/>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financial statements from NBCUniversal Media, LLC’s Quarterly Report on Form 10-Q for the three and six months ended June 30, 2017, filed with the Securities and Exchange Commission on July 27, 2017,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6903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860"/>
          </w:cols>
          <w:pgMar w:left="240" w:top="175" w:right="7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Comcast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COMCAST CORPORATION</w:t>
      </w:r>
    </w:p>
    <w:p>
      <w:pPr>
        <w:spacing w:after="0" w:line="185" w:lineRule="exact"/>
        <w:rPr>
          <w:sz w:val="20"/>
          <w:szCs w:val="20"/>
          <w:color w:val="auto"/>
        </w:rPr>
      </w:pPr>
    </w:p>
    <w:p>
      <w:pPr>
        <w:ind w:left="590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31642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Daniel C. Murdock</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(Principal Accounting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2017</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NBCUNIVERSAL MEDIA, LLC</w:t>
      </w:r>
    </w:p>
    <w:p>
      <w:pPr>
        <w:spacing w:after="0" w:line="185" w:lineRule="exact"/>
        <w:rPr>
          <w:sz w:val="20"/>
          <w:szCs w:val="20"/>
          <w:color w:val="auto"/>
        </w:rPr>
      </w:pPr>
    </w:p>
    <w:p>
      <w:pPr>
        <w:ind w:left="590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31750</wp:posOffset>
            </wp:positionV>
            <wp:extent cx="31642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Daniel C. Murdock</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(Principal Accounting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75"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NBCUniversal Media, LLC Financial Statements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7600" w:type="dxa"/>
            <w:vAlign w:val="bottom"/>
            <w:gridSpan w:val="7"/>
          </w:tcPr>
          <w:p>
            <w:pPr>
              <w:spacing w:after="0"/>
              <w:rPr>
                <w:sz w:val="20"/>
                <w:szCs w:val="20"/>
                <w:color w:val="auto"/>
              </w:rPr>
            </w:pPr>
            <w:r>
              <w:rPr>
                <w:rFonts w:ascii="Arial" w:cs="Arial" w:eastAsia="Arial" w:hAnsi="Arial"/>
                <w:sz w:val="18"/>
                <w:szCs w:val="18"/>
                <w:color w:val="auto"/>
              </w:rPr>
              <w:t>Index</w:t>
            </w:r>
          </w:p>
        </w:tc>
        <w:tc>
          <w:tcPr>
            <w:tcW w:w="3780" w:type="dxa"/>
            <w:vAlign w:val="bottom"/>
          </w:tcPr>
          <w:p>
            <w:pPr>
              <w:jc w:val="center"/>
              <w:ind w:left="2670"/>
              <w:spacing w:after="0"/>
              <w:rPr>
                <w:sz w:val="20"/>
                <w:szCs w:val="20"/>
                <w:color w:val="auto"/>
              </w:rPr>
            </w:pPr>
            <w:r>
              <w:rPr>
                <w:rFonts w:ascii="Arial" w:cs="Arial" w:eastAsia="Arial" w:hAnsi="Arial"/>
                <w:sz w:val="18"/>
                <w:szCs w:val="18"/>
                <w:color w:val="auto"/>
                <w:w w:val="80"/>
              </w:rPr>
              <w:t>Page</w:t>
            </w:r>
          </w:p>
        </w:tc>
      </w:tr>
      <w:tr>
        <w:trPr>
          <w:trHeight w:val="27"/>
        </w:trPr>
        <w:tc>
          <w:tcPr>
            <w:tcW w:w="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286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Condensed Consolidated Balance Sheet</w:t>
              </w:r>
            </w:hyperlink>
          </w:p>
        </w:tc>
        <w:tc>
          <w:tcPr>
            <w:tcW w:w="4740" w:type="dxa"/>
            <w:vAlign w:val="bottom"/>
            <w:gridSpan w:val="6"/>
          </w:tcPr>
          <w:p>
            <w:pPr>
              <w:spacing w:after="0"/>
              <w:rPr>
                <w:sz w:val="17"/>
                <w:szCs w:val="17"/>
                <w:color w:val="auto"/>
              </w:rPr>
            </w:pPr>
          </w:p>
        </w:tc>
        <w:tc>
          <w:tcPr>
            <w:tcW w:w="3780" w:type="dxa"/>
            <w:vAlign w:val="bottom"/>
          </w:tcPr>
          <w:p>
            <w:pPr>
              <w:jc w:val="center"/>
              <w:ind w:left="2670"/>
              <w:spacing w:after="0" w:line="196" w:lineRule="exact"/>
              <w:rPr>
                <w:rFonts w:ascii="Arial" w:cs="Arial" w:eastAsia="Arial" w:hAnsi="Arial"/>
                <w:sz w:val="18"/>
                <w:szCs w:val="18"/>
                <w:color w:val="auto"/>
                <w:w w:val="89"/>
              </w:rPr>
            </w:pPr>
            <w:hyperlink w:anchor="page47">
              <w:r>
                <w:rPr>
                  <w:rFonts w:ascii="Arial" w:cs="Arial" w:eastAsia="Arial" w:hAnsi="Arial"/>
                  <w:sz w:val="18"/>
                  <w:szCs w:val="18"/>
                  <w:color w:val="auto"/>
                  <w:w w:val="89"/>
                </w:rPr>
                <w:t>44</w:t>
              </w:r>
            </w:hyperlink>
          </w:p>
        </w:tc>
      </w:tr>
      <w:tr>
        <w:trPr>
          <w:trHeight w:val="250"/>
        </w:trPr>
        <w:tc>
          <w:tcPr>
            <w:tcW w:w="40" w:type="dxa"/>
            <w:vAlign w:val="bottom"/>
          </w:tcPr>
          <w:p>
            <w:pPr>
              <w:spacing w:after="0"/>
              <w:rPr>
                <w:sz w:val="21"/>
                <w:szCs w:val="21"/>
                <w:color w:val="auto"/>
              </w:rPr>
            </w:pPr>
          </w:p>
        </w:tc>
        <w:tc>
          <w:tcPr>
            <w:tcW w:w="334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48">
              <w:r>
                <w:rPr>
                  <w:rFonts w:ascii="Arial" w:cs="Arial" w:eastAsia="Arial" w:hAnsi="Arial"/>
                  <w:sz w:val="18"/>
                  <w:szCs w:val="18"/>
                  <w:color w:val="0000EE"/>
                  <w:w w:val="88"/>
                </w:rPr>
                <w:t>Condensed Consolidated Statement of Income</w:t>
              </w:r>
            </w:hyperlink>
          </w:p>
        </w:tc>
        <w:tc>
          <w:tcPr>
            <w:tcW w:w="4260" w:type="dxa"/>
            <w:vAlign w:val="bottom"/>
            <w:gridSpan w:val="5"/>
          </w:tcPr>
          <w:p>
            <w:pPr>
              <w:spacing w:after="0"/>
              <w:rPr>
                <w:sz w:val="21"/>
                <w:szCs w:val="21"/>
                <w:color w:val="auto"/>
              </w:rPr>
            </w:pPr>
          </w:p>
        </w:tc>
        <w:tc>
          <w:tcPr>
            <w:tcW w:w="3780" w:type="dxa"/>
            <w:vAlign w:val="bottom"/>
          </w:tcPr>
          <w:p>
            <w:pPr>
              <w:jc w:val="center"/>
              <w:ind w:left="2670"/>
              <w:spacing w:after="0"/>
              <w:rPr>
                <w:rFonts w:ascii="Arial" w:cs="Arial" w:eastAsia="Arial" w:hAnsi="Arial"/>
                <w:sz w:val="18"/>
                <w:szCs w:val="18"/>
                <w:color w:val="auto"/>
                <w:w w:val="89"/>
              </w:rPr>
            </w:pPr>
            <w:hyperlink w:anchor="page48">
              <w:r>
                <w:rPr>
                  <w:rFonts w:ascii="Arial" w:cs="Arial" w:eastAsia="Arial" w:hAnsi="Arial"/>
                  <w:sz w:val="18"/>
                  <w:szCs w:val="18"/>
                  <w:color w:val="auto"/>
                  <w:w w:val="89"/>
                </w:rPr>
                <w:t>45</w:t>
              </w:r>
            </w:hyperlink>
          </w:p>
        </w:tc>
      </w:tr>
      <w:tr>
        <w:trPr>
          <w:trHeight w:val="250"/>
        </w:trPr>
        <w:tc>
          <w:tcPr>
            <w:tcW w:w="40" w:type="dxa"/>
            <w:vAlign w:val="bottom"/>
          </w:tcPr>
          <w:p>
            <w:pPr>
              <w:spacing w:after="0"/>
              <w:rPr>
                <w:sz w:val="21"/>
                <w:szCs w:val="21"/>
                <w:color w:val="auto"/>
              </w:rPr>
            </w:pPr>
          </w:p>
        </w:tc>
        <w:tc>
          <w:tcPr>
            <w:tcW w:w="7600" w:type="dxa"/>
            <w:vAlign w:val="bottom"/>
            <w:gridSpan w:val="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Condensed Consolidated Statement of Comprehensive Income</w:t>
              </w:r>
            </w:hyperlink>
          </w:p>
        </w:tc>
        <w:tc>
          <w:tcPr>
            <w:tcW w:w="3780" w:type="dxa"/>
            <w:vAlign w:val="bottom"/>
          </w:tcPr>
          <w:p>
            <w:pPr>
              <w:jc w:val="center"/>
              <w:ind w:left="2670"/>
              <w:spacing w:after="0"/>
              <w:rPr>
                <w:rFonts w:ascii="Arial" w:cs="Arial" w:eastAsia="Arial" w:hAnsi="Arial"/>
                <w:sz w:val="18"/>
                <w:szCs w:val="18"/>
                <w:color w:val="auto"/>
                <w:w w:val="89"/>
              </w:rPr>
            </w:pPr>
            <w:hyperlink w:anchor="page49">
              <w:r>
                <w:rPr>
                  <w:rFonts w:ascii="Arial" w:cs="Arial" w:eastAsia="Arial" w:hAnsi="Arial"/>
                  <w:sz w:val="18"/>
                  <w:szCs w:val="18"/>
                  <w:color w:val="auto"/>
                  <w:w w:val="89"/>
                </w:rPr>
                <w:t>46</w:t>
              </w:r>
            </w:hyperlink>
          </w:p>
        </w:tc>
      </w:tr>
      <w:tr>
        <w:trPr>
          <w:trHeight w:val="250"/>
        </w:trPr>
        <w:tc>
          <w:tcPr>
            <w:tcW w:w="40" w:type="dxa"/>
            <w:vAlign w:val="bottom"/>
          </w:tcPr>
          <w:p>
            <w:pPr>
              <w:spacing w:after="0"/>
              <w:rPr>
                <w:sz w:val="21"/>
                <w:szCs w:val="21"/>
                <w:color w:val="auto"/>
              </w:rPr>
            </w:pPr>
          </w:p>
        </w:tc>
        <w:tc>
          <w:tcPr>
            <w:tcW w:w="36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Condensed Consolidated Statement of Cash Flows</w:t>
              </w:r>
            </w:hyperlink>
          </w:p>
        </w:tc>
        <w:tc>
          <w:tcPr>
            <w:tcW w:w="860" w:type="dxa"/>
            <w:vAlign w:val="bottom"/>
            <w:tcBorders>
              <w:top w:val="single" w:sz="8" w:color="0000EE"/>
            </w:tcBorders>
            <w:gridSpan w:val="3"/>
          </w:tcPr>
          <w:p>
            <w:pPr>
              <w:spacing w:after="0"/>
              <w:rPr>
                <w:sz w:val="21"/>
                <w:szCs w:val="21"/>
                <w:color w:val="auto"/>
              </w:rPr>
            </w:pPr>
          </w:p>
        </w:tc>
        <w:tc>
          <w:tcPr>
            <w:tcW w:w="3100" w:type="dxa"/>
            <w:vAlign w:val="bottom"/>
          </w:tcPr>
          <w:p>
            <w:pPr>
              <w:spacing w:after="0"/>
              <w:rPr>
                <w:sz w:val="21"/>
                <w:szCs w:val="21"/>
                <w:color w:val="auto"/>
              </w:rPr>
            </w:pPr>
          </w:p>
        </w:tc>
        <w:tc>
          <w:tcPr>
            <w:tcW w:w="3780" w:type="dxa"/>
            <w:vAlign w:val="bottom"/>
          </w:tcPr>
          <w:p>
            <w:pPr>
              <w:jc w:val="center"/>
              <w:ind w:left="2670"/>
              <w:spacing w:after="0"/>
              <w:rPr>
                <w:rFonts w:ascii="Arial" w:cs="Arial" w:eastAsia="Arial" w:hAnsi="Arial"/>
                <w:sz w:val="18"/>
                <w:szCs w:val="18"/>
                <w:color w:val="auto"/>
                <w:w w:val="89"/>
              </w:rPr>
            </w:pPr>
            <w:hyperlink w:anchor="page50">
              <w:r>
                <w:rPr>
                  <w:rFonts w:ascii="Arial" w:cs="Arial" w:eastAsia="Arial" w:hAnsi="Arial"/>
                  <w:sz w:val="18"/>
                  <w:szCs w:val="18"/>
                  <w:color w:val="auto"/>
                  <w:w w:val="89"/>
                </w:rPr>
                <w:t>47</w:t>
              </w:r>
            </w:hyperlink>
          </w:p>
        </w:tc>
      </w:tr>
      <w:tr>
        <w:trPr>
          <w:trHeight w:val="250"/>
        </w:trPr>
        <w:tc>
          <w:tcPr>
            <w:tcW w:w="40" w:type="dxa"/>
            <w:vAlign w:val="bottom"/>
          </w:tcPr>
          <w:p>
            <w:pPr>
              <w:spacing w:after="0"/>
              <w:rPr>
                <w:sz w:val="21"/>
                <w:szCs w:val="21"/>
                <w:color w:val="auto"/>
              </w:rPr>
            </w:pPr>
          </w:p>
        </w:tc>
        <w:tc>
          <w:tcPr>
            <w:tcW w:w="760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Condensed Consolidated Statement of Changes in Equity</w:t>
              </w:r>
            </w:hyperlink>
          </w:p>
        </w:tc>
        <w:tc>
          <w:tcPr>
            <w:tcW w:w="3780" w:type="dxa"/>
            <w:vAlign w:val="bottom"/>
          </w:tcPr>
          <w:p>
            <w:pPr>
              <w:jc w:val="center"/>
              <w:ind w:left="2670"/>
              <w:spacing w:after="0"/>
              <w:rPr>
                <w:rFonts w:ascii="Arial" w:cs="Arial" w:eastAsia="Arial" w:hAnsi="Arial"/>
                <w:sz w:val="18"/>
                <w:szCs w:val="18"/>
                <w:color w:val="auto"/>
                <w:w w:val="89"/>
              </w:rPr>
            </w:pPr>
            <w:hyperlink w:anchor="page51">
              <w:r>
                <w:rPr>
                  <w:rFonts w:ascii="Arial" w:cs="Arial" w:eastAsia="Arial" w:hAnsi="Arial"/>
                  <w:sz w:val="18"/>
                  <w:szCs w:val="18"/>
                  <w:color w:val="auto"/>
                  <w:w w:val="89"/>
                </w:rPr>
                <w:t>48</w:t>
              </w:r>
            </w:hyperlink>
          </w:p>
        </w:tc>
      </w:tr>
      <w:tr>
        <w:trPr>
          <w:trHeight w:val="250"/>
        </w:trPr>
        <w:tc>
          <w:tcPr>
            <w:tcW w:w="40" w:type="dxa"/>
            <w:vAlign w:val="bottom"/>
          </w:tcPr>
          <w:p>
            <w:pPr>
              <w:spacing w:after="0"/>
              <w:rPr>
                <w:sz w:val="21"/>
                <w:szCs w:val="21"/>
                <w:color w:val="auto"/>
              </w:rPr>
            </w:pPr>
          </w:p>
        </w:tc>
        <w:tc>
          <w:tcPr>
            <w:tcW w:w="4120" w:type="dxa"/>
            <w:vAlign w:val="bottom"/>
            <w:tcBorders>
              <w:top w:val="single" w:sz="8" w:color="0000EE"/>
            </w:tcBorders>
            <w:gridSpan w:val="5"/>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Notes to Condensed Consolidated Financial Statements</w:t>
              </w:r>
            </w:hyperlink>
          </w:p>
        </w:tc>
        <w:tc>
          <w:tcPr>
            <w:tcW w:w="3480" w:type="dxa"/>
            <w:vAlign w:val="bottom"/>
            <w:gridSpan w:val="2"/>
          </w:tcPr>
          <w:p>
            <w:pPr>
              <w:spacing w:after="0"/>
              <w:rPr>
                <w:sz w:val="21"/>
                <w:szCs w:val="21"/>
                <w:color w:val="auto"/>
              </w:rPr>
            </w:pPr>
          </w:p>
        </w:tc>
        <w:tc>
          <w:tcPr>
            <w:tcW w:w="3780" w:type="dxa"/>
            <w:vAlign w:val="bottom"/>
          </w:tcPr>
          <w:p>
            <w:pPr>
              <w:jc w:val="center"/>
              <w:ind w:left="2670"/>
              <w:spacing w:after="0"/>
              <w:rPr>
                <w:rFonts w:ascii="Arial" w:cs="Arial" w:eastAsia="Arial" w:hAnsi="Arial"/>
                <w:sz w:val="18"/>
                <w:szCs w:val="18"/>
                <w:color w:val="auto"/>
                <w:w w:val="89"/>
              </w:rPr>
            </w:pPr>
            <w:hyperlink w:anchor="page52">
              <w:r>
                <w:rPr>
                  <w:rFonts w:ascii="Arial" w:cs="Arial" w:eastAsia="Arial" w:hAnsi="Arial"/>
                  <w:sz w:val="18"/>
                  <w:szCs w:val="18"/>
                  <w:color w:val="auto"/>
                  <w:w w:val="89"/>
                </w:rPr>
                <w:t>49</w:t>
              </w:r>
            </w:hyperlink>
          </w:p>
        </w:tc>
      </w:tr>
      <w:tr>
        <w:trPr>
          <w:trHeight w:val="48"/>
        </w:trPr>
        <w:tc>
          <w:tcPr>
            <w:tcW w:w="40" w:type="dxa"/>
            <w:vAlign w:val="bottom"/>
            <w:tcBorders>
              <w:bottom w:val="single" w:sz="8" w:color="auto"/>
            </w:tcBorders>
          </w:tcPr>
          <w:p>
            <w:pPr>
              <w:spacing w:after="0"/>
              <w:rPr>
                <w:sz w:val="4"/>
                <w:szCs w:val="4"/>
                <w:color w:val="auto"/>
              </w:rPr>
            </w:pPr>
          </w:p>
        </w:tc>
        <w:tc>
          <w:tcPr>
            <w:tcW w:w="2860" w:type="dxa"/>
            <w:vAlign w:val="bottom"/>
            <w:tcBorders>
              <w:top w:val="single" w:sz="8" w:color="0000EE"/>
              <w:bottom w:val="single" w:sz="8" w:color="auto"/>
            </w:tcBorders>
          </w:tcPr>
          <w:p>
            <w:pPr>
              <w:spacing w:after="0"/>
              <w:rPr>
                <w:sz w:val="4"/>
                <w:szCs w:val="4"/>
                <w:color w:val="auto"/>
              </w:rPr>
            </w:pPr>
          </w:p>
        </w:tc>
        <w:tc>
          <w:tcPr>
            <w:tcW w:w="480" w:type="dxa"/>
            <w:vAlign w:val="bottom"/>
            <w:tcBorders>
              <w:top w:val="single" w:sz="8" w:color="0000EE"/>
              <w:bottom w:val="single" w:sz="8" w:color="auto"/>
            </w:tcBorders>
          </w:tcPr>
          <w:p>
            <w:pPr>
              <w:spacing w:after="0"/>
              <w:rPr>
                <w:sz w:val="4"/>
                <w:szCs w:val="4"/>
                <w:color w:val="auto"/>
              </w:rPr>
            </w:pPr>
          </w:p>
        </w:tc>
        <w:tc>
          <w:tcPr>
            <w:tcW w:w="300" w:type="dxa"/>
            <w:vAlign w:val="bottom"/>
            <w:tcBorders>
              <w:top w:val="single" w:sz="8" w:color="0000EE"/>
              <w:bottom w:val="single" w:sz="8" w:color="auto"/>
            </w:tcBorders>
          </w:tcPr>
          <w:p>
            <w:pPr>
              <w:spacing w:after="0"/>
              <w:rPr>
                <w:sz w:val="4"/>
                <w:szCs w:val="4"/>
                <w:color w:val="auto"/>
              </w:rPr>
            </w:pPr>
          </w:p>
        </w:tc>
        <w:tc>
          <w:tcPr>
            <w:tcW w:w="340" w:type="dxa"/>
            <w:vAlign w:val="bottom"/>
            <w:tcBorders>
              <w:top w:val="single" w:sz="8" w:color="0000EE"/>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75"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jc w:val="right"/>
              <w:ind w:right="511"/>
              <w:spacing w:after="0"/>
              <w:rPr>
                <w:sz w:val="20"/>
                <w:szCs w:val="20"/>
                <w:color w:val="auto"/>
              </w:rPr>
            </w:pPr>
            <w:r>
              <w:rPr>
                <w:rFonts w:ascii="Arial" w:cs="Arial" w:eastAsia="Arial" w:hAnsi="Arial"/>
                <w:sz w:val="14"/>
                <w:szCs w:val="14"/>
                <w:color w:val="auto"/>
              </w:rPr>
              <w:t>June 30,</w:t>
            </w:r>
          </w:p>
        </w:tc>
        <w:tc>
          <w:tcPr>
            <w:tcW w:w="360" w:type="dxa"/>
            <w:vAlign w:val="bottom"/>
          </w:tcPr>
          <w:p>
            <w:pPr>
              <w:spacing w:after="0"/>
              <w:rPr>
                <w:sz w:val="14"/>
                <w:szCs w:val="14"/>
                <w:color w:val="auto"/>
              </w:rPr>
            </w:pPr>
          </w:p>
        </w:tc>
        <w:tc>
          <w:tcPr>
            <w:tcW w:w="1260" w:type="dxa"/>
            <w:vAlign w:val="bottom"/>
          </w:tcPr>
          <w:p>
            <w:pPr>
              <w:jc w:val="right"/>
              <w:ind w:right="271"/>
              <w:spacing w:after="0"/>
              <w:rPr>
                <w:sz w:val="20"/>
                <w:szCs w:val="20"/>
                <w:color w:val="auto"/>
              </w:rPr>
            </w:pPr>
            <w:r>
              <w:rPr>
                <w:rFonts w:ascii="Arial" w:cs="Arial" w:eastAsia="Arial" w:hAnsi="Arial"/>
                <w:sz w:val="14"/>
                <w:szCs w:val="14"/>
                <w:color w:val="auto"/>
              </w:rPr>
              <w:t>December 31,</w:t>
            </w:r>
          </w:p>
        </w:tc>
      </w:tr>
      <w:tr>
        <w:trPr>
          <w:trHeight w:val="188"/>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15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color w:val="auto"/>
              </w:rPr>
              <w:t>2017</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2016</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1,844</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1,966</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6,319</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6,302</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Programming rights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1,625</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1,241</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1,496</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938</w:t>
            </w:r>
          </w:p>
        </w:tc>
      </w:tr>
      <w:tr>
        <w:trPr>
          <w:trHeight w:val="27"/>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500" w:type="dxa"/>
            <w:vAlign w:val="bottom"/>
          </w:tcPr>
          <w:p>
            <w:pPr>
              <w:spacing w:after="0"/>
              <w:rPr>
                <w:sz w:val="20"/>
                <w:szCs w:val="20"/>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11,284</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10,447</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Film and television costs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6,590</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7,245</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1,890</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1,263</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Property and equipment, net of accumulated depreciation of $3,773 and $3,350</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10,845</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10,511</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23,946</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23,323</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Intangible assets, net of accumulated amortization of $7,105 and $6,568</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13,555</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13,777</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1,697</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1,688</w:t>
            </w:r>
          </w:p>
        </w:tc>
      </w:tr>
      <w:tr>
        <w:trPr>
          <w:trHeight w:val="27"/>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5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91"/>
              <w:spacing w:after="0"/>
              <w:rPr>
                <w:sz w:val="20"/>
                <w:szCs w:val="20"/>
                <w:color w:val="auto"/>
              </w:rPr>
            </w:pPr>
            <w:r>
              <w:rPr>
                <w:rFonts w:ascii="Arial" w:cs="Arial" w:eastAsia="Arial" w:hAnsi="Arial"/>
                <w:sz w:val="18"/>
                <w:szCs w:val="18"/>
                <w:b w:val="1"/>
                <w:bCs w:val="1"/>
                <w:color w:val="auto"/>
              </w:rPr>
              <w:t>69,807</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68,254</w:t>
            </w:r>
          </w:p>
        </w:tc>
      </w:tr>
      <w:tr>
        <w:trPr>
          <w:trHeight w:val="34"/>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1,490</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1,647</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Accrued participations and residuals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1,882</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1,726</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Program obligations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600</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807</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1,357</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1,016</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1,914</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1,888</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Note payable to Comcast</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2,981</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2,703</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194</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127</w:t>
            </w:r>
          </w:p>
        </w:tc>
      </w:tr>
      <w:tr>
        <w:trPr>
          <w:trHeight w:val="27"/>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500" w:type="dxa"/>
            <w:vAlign w:val="bottom"/>
          </w:tcPr>
          <w:p>
            <w:pPr>
              <w:spacing w:after="0"/>
              <w:rPr>
                <w:sz w:val="20"/>
                <w:szCs w:val="20"/>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10,418</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9,914</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12,149</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11,461</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Accrued participations, residuals and program obligations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1,196</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1,202</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4,117</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4,130</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512</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530</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Equity:</w:t>
            </w:r>
          </w:p>
        </w:tc>
        <w:tc>
          <w:tcPr>
            <w:tcW w:w="15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Member’s capital</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40,411</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39,036</w:t>
            </w:r>
          </w:p>
        </w:tc>
      </w:tr>
      <w:tr>
        <w:trPr>
          <w:trHeight w:val="270"/>
        </w:trPr>
        <w:tc>
          <w:tcPr>
            <w:tcW w:w="704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NBCUniversal member’s equity</w:t>
            </w:r>
          </w:p>
        </w:tc>
        <w:tc>
          <w:tcPr>
            <w:tcW w:w="1500" w:type="dxa"/>
            <w:vAlign w:val="bottom"/>
          </w:tcPr>
          <w:p>
            <w:pPr>
              <w:spacing w:after="0"/>
              <w:rPr>
                <w:sz w:val="20"/>
                <w:szCs w:val="20"/>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40,467</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38,901</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1500" w:type="dxa"/>
            <w:vAlign w:val="bottom"/>
          </w:tcPr>
          <w:p>
            <w:pPr>
              <w:spacing w:after="0"/>
              <w:rPr>
                <w:sz w:val="23"/>
                <w:szCs w:val="23"/>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948</w:t>
            </w:r>
          </w:p>
        </w:tc>
        <w:tc>
          <w:tcPr>
            <w:tcW w:w="36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2,116</w:t>
            </w:r>
          </w:p>
        </w:tc>
      </w:tr>
      <w:tr>
        <w:trPr>
          <w:trHeight w:val="27"/>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500" w:type="dxa"/>
            <w:vAlign w:val="bottom"/>
          </w:tcPr>
          <w:p>
            <w:pPr>
              <w:spacing w:after="0"/>
              <w:rPr>
                <w:sz w:val="20"/>
                <w:szCs w:val="20"/>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41,415</w:t>
            </w:r>
          </w:p>
        </w:tc>
        <w:tc>
          <w:tcPr>
            <w:tcW w:w="36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41,017</w:t>
            </w:r>
          </w:p>
        </w:tc>
      </w:tr>
      <w:tr>
        <w:trPr>
          <w:trHeight w:val="27"/>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5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91"/>
              <w:spacing w:after="0"/>
              <w:rPr>
                <w:sz w:val="20"/>
                <w:szCs w:val="20"/>
                <w:color w:val="auto"/>
              </w:rPr>
            </w:pPr>
            <w:r>
              <w:rPr>
                <w:rFonts w:ascii="Arial" w:cs="Arial" w:eastAsia="Arial" w:hAnsi="Arial"/>
                <w:sz w:val="18"/>
                <w:szCs w:val="18"/>
                <w:b w:val="1"/>
                <w:bCs w:val="1"/>
                <w:color w:val="auto"/>
              </w:rPr>
              <w:t>69,807</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1"/>
              <w:spacing w:after="0"/>
              <w:rPr>
                <w:sz w:val="20"/>
                <w:szCs w:val="20"/>
                <w:color w:val="auto"/>
              </w:rPr>
            </w:pPr>
            <w:r>
              <w:rPr>
                <w:rFonts w:ascii="Arial" w:cs="Arial" w:eastAsia="Arial" w:hAnsi="Arial"/>
                <w:sz w:val="18"/>
                <w:szCs w:val="18"/>
                <w:b w:val="1"/>
                <w:bCs w:val="1"/>
                <w:color w:val="auto"/>
              </w:rPr>
              <w:t>68,254</w:t>
            </w:r>
          </w:p>
        </w:tc>
      </w:tr>
      <w:tr>
        <w:trPr>
          <w:trHeight w:val="34"/>
        </w:trPr>
        <w:tc>
          <w:tcPr>
            <w:tcW w:w="70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1"/>
        </w:trPr>
        <w:tc>
          <w:tcPr>
            <w:tcW w:w="70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1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539"/>
        </w:trPr>
        <w:tc>
          <w:tcPr>
            <w:tcW w:w="7040" w:type="dxa"/>
            <w:vAlign w:val="bottom"/>
          </w:tcPr>
          <w:p>
            <w:pPr>
              <w:ind w:left="5620"/>
              <w:spacing w:after="0"/>
              <w:rPr>
                <w:sz w:val="20"/>
                <w:szCs w:val="20"/>
                <w:color w:val="auto"/>
              </w:rPr>
            </w:pPr>
            <w:r>
              <w:rPr>
                <w:rFonts w:ascii="Arial" w:cs="Arial" w:eastAsia="Arial" w:hAnsi="Arial"/>
                <w:sz w:val="18"/>
                <w:szCs w:val="18"/>
                <w:color w:val="auto"/>
              </w:rPr>
              <w:t>44</w:t>
            </w: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2017</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color w:val="auto"/>
              </w:rPr>
              <w:t>2016</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2017</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8,331</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7,103</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16,199</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13,964</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Programming and production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3,587</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3,037</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6,900</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6,002</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Other operating and administrative</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1,895</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1,652</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3,727</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3,247</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Advertising, marketing and promotion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778</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725</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1,484</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1,404</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265</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223</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496</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415</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255</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242</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532</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464</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6,780</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5,879</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13,139</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11,532</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1,551</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1,224</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3,060</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2,432</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(149)</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(146)</w:t>
            </w:r>
          </w:p>
        </w:tc>
        <w:tc>
          <w:tcPr>
            <w:tcW w:w="48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(292)</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Investment income (loss), net</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23"/>
                <w:szCs w:val="23"/>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24</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Equity in net income (losses) of investees, net</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(29)</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(55)</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480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3"/>
                <w:szCs w:val="23"/>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23"/>
                <w:szCs w:val="23"/>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15</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97</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(164)</w:t>
            </w:r>
          </w:p>
        </w:tc>
        <w:tc>
          <w:tcPr>
            <w:tcW w:w="680" w:type="dxa"/>
            <w:vAlign w:val="bottom"/>
          </w:tcPr>
          <w:p>
            <w:pPr>
              <w:spacing w:after="0"/>
              <w:rPr>
                <w:sz w:val="20"/>
                <w:szCs w:val="20"/>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(175)</w:t>
            </w:r>
          </w:p>
        </w:tc>
        <w:tc>
          <w:tcPr>
            <w:tcW w:w="480" w:type="dxa"/>
            <w:vAlign w:val="bottom"/>
          </w:tcPr>
          <w:p>
            <w:pPr>
              <w:spacing w:after="0"/>
              <w:rPr>
                <w:sz w:val="20"/>
                <w:szCs w:val="20"/>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(308)</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1,387</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1,049</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2,752</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2,229</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(99)</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(74)</w:t>
            </w:r>
          </w:p>
        </w:tc>
        <w:tc>
          <w:tcPr>
            <w:tcW w:w="48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(191)</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1,288</w:t>
            </w:r>
          </w:p>
        </w:tc>
        <w:tc>
          <w:tcPr>
            <w:tcW w:w="680" w:type="dxa"/>
            <w:vAlign w:val="bottom"/>
          </w:tcPr>
          <w:p>
            <w:pPr>
              <w:spacing w:after="0"/>
              <w:rPr>
                <w:sz w:val="20"/>
                <w:szCs w:val="20"/>
                <w:color w:val="auto"/>
              </w:rPr>
            </w:pPr>
          </w:p>
        </w:tc>
        <w:tc>
          <w:tcPr>
            <w:tcW w:w="1040" w:type="dxa"/>
            <w:vAlign w:val="bottom"/>
          </w:tcPr>
          <w:p>
            <w:pPr>
              <w:jc w:val="right"/>
              <w:ind w:right="111"/>
              <w:spacing w:after="0"/>
              <w:rPr>
                <w:sz w:val="20"/>
                <w:szCs w:val="20"/>
                <w:color w:val="auto"/>
              </w:rPr>
            </w:pPr>
            <w:r>
              <w:rPr>
                <w:rFonts w:ascii="Arial" w:cs="Arial" w:eastAsia="Arial" w:hAnsi="Arial"/>
                <w:sz w:val="18"/>
                <w:szCs w:val="18"/>
                <w:color w:val="auto"/>
              </w:rPr>
              <w:t>975</w:t>
            </w:r>
          </w:p>
        </w:tc>
        <w:tc>
          <w:tcPr>
            <w:tcW w:w="480" w:type="dxa"/>
            <w:vAlign w:val="bottom"/>
          </w:tcPr>
          <w:p>
            <w:pPr>
              <w:spacing w:after="0"/>
              <w:rPr>
                <w:sz w:val="20"/>
                <w:szCs w:val="20"/>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2,561</w:t>
            </w:r>
          </w:p>
        </w:tc>
        <w:tc>
          <w:tcPr>
            <w:tcW w:w="64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2,057</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36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23"/>
                <w:szCs w:val="23"/>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(85)</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NBCUniversal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b w:val="1"/>
                <w:bCs w:val="1"/>
                <w:color w:val="auto"/>
              </w:rPr>
              <w:t>1,276</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1"/>
              <w:spacing w:after="0"/>
              <w:rPr>
                <w:sz w:val="20"/>
                <w:szCs w:val="20"/>
                <w:color w:val="auto"/>
              </w:rPr>
            </w:pPr>
            <w:r>
              <w:rPr>
                <w:rFonts w:ascii="Arial" w:cs="Arial" w:eastAsia="Arial" w:hAnsi="Arial"/>
                <w:sz w:val="18"/>
                <w:szCs w:val="18"/>
                <w:b w:val="1"/>
                <w:bCs w:val="1"/>
                <w:color w:val="auto"/>
              </w:rPr>
              <w:t>933</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3"/>
              <w:spacing w:after="0"/>
              <w:rPr>
                <w:sz w:val="20"/>
                <w:szCs w:val="20"/>
                <w:color w:val="auto"/>
              </w:rPr>
            </w:pPr>
            <w:r>
              <w:rPr>
                <w:rFonts w:ascii="Arial" w:cs="Arial" w:eastAsia="Arial" w:hAnsi="Arial"/>
                <w:sz w:val="18"/>
                <w:szCs w:val="18"/>
                <w:b w:val="1"/>
                <w:bCs w:val="1"/>
                <w:color w:val="auto"/>
              </w:rPr>
              <w:t>2,476</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1,935</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1"/>
        </w:trPr>
        <w:tc>
          <w:tcPr>
            <w:tcW w:w="48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539"/>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532"/>
              <w:spacing w:after="0"/>
              <w:rPr>
                <w:sz w:val="20"/>
                <w:szCs w:val="20"/>
                <w:color w:val="auto"/>
              </w:rPr>
            </w:pPr>
            <w:r>
              <w:rPr>
                <w:rFonts w:ascii="Arial" w:cs="Arial" w:eastAsia="Arial" w:hAnsi="Arial"/>
                <w:sz w:val="18"/>
                <w:szCs w:val="18"/>
                <w:color w:val="auto"/>
              </w:rPr>
              <w:t>45</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color w:val="auto"/>
              </w:rPr>
              <w:t>June 30</w:t>
            </w: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color w:val="auto"/>
              </w:rPr>
              <w:t>2017</w:t>
            </w: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2016</w:t>
            </w: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2017</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color w:val="auto"/>
              </w:rPr>
              <w:t>2016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1,288</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975</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2,561</w:t>
            </w:r>
          </w:p>
        </w:tc>
        <w:tc>
          <w:tcPr>
            <w:tcW w:w="6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2,057</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 net</w:t>
            </w:r>
          </w:p>
        </w:tc>
        <w:tc>
          <w:tcPr>
            <w:tcW w:w="360" w:type="dxa"/>
            <w:vAlign w:val="bottom"/>
          </w:tcPr>
          <w:p>
            <w:pPr>
              <w:spacing w:after="0"/>
              <w:rPr>
                <w:sz w:val="23"/>
                <w:szCs w:val="23"/>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(140)</w:t>
            </w:r>
          </w:p>
        </w:tc>
        <w:tc>
          <w:tcPr>
            <w:tcW w:w="68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(139)</w:t>
            </w:r>
          </w:p>
        </w:tc>
        <w:tc>
          <w:tcPr>
            <w:tcW w:w="6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 net</w:t>
            </w:r>
          </w:p>
        </w:tc>
        <w:tc>
          <w:tcPr>
            <w:tcW w:w="360" w:type="dxa"/>
            <w:vAlign w:val="bottom"/>
          </w:tcPr>
          <w:p>
            <w:pPr>
              <w:spacing w:after="0"/>
              <w:rPr>
                <w:sz w:val="23"/>
                <w:szCs w:val="23"/>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Employee benefit obligations, net</w:t>
            </w:r>
          </w:p>
        </w:tc>
        <w:tc>
          <w:tcPr>
            <w:tcW w:w="360" w:type="dxa"/>
            <w:vAlign w:val="bottom"/>
          </w:tcPr>
          <w:p>
            <w:pPr>
              <w:spacing w:after="0"/>
              <w:rPr>
                <w:sz w:val="23"/>
                <w:szCs w:val="23"/>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Currency translation adjustments, net</w:t>
            </w:r>
          </w:p>
        </w:tc>
        <w:tc>
          <w:tcPr>
            <w:tcW w:w="360" w:type="dxa"/>
            <w:vAlign w:val="bottom"/>
          </w:tcPr>
          <w:p>
            <w:pPr>
              <w:spacing w:after="0"/>
              <w:rPr>
                <w:sz w:val="23"/>
                <w:szCs w:val="23"/>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(11)</w:t>
            </w:r>
          </w:p>
        </w:tc>
        <w:tc>
          <w:tcPr>
            <w:tcW w:w="680" w:type="dxa"/>
            <w:vAlign w:val="bottom"/>
          </w:tcPr>
          <w:p>
            <w:pPr>
              <w:spacing w:after="0"/>
              <w:rPr>
                <w:sz w:val="23"/>
                <w:szCs w:val="23"/>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307</w:t>
            </w:r>
          </w:p>
        </w:tc>
        <w:tc>
          <w:tcPr>
            <w:tcW w:w="480" w:type="dxa"/>
            <w:vAlign w:val="bottom"/>
          </w:tcPr>
          <w:p>
            <w:pPr>
              <w:spacing w:after="0"/>
              <w:rPr>
                <w:sz w:val="23"/>
                <w:szCs w:val="23"/>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189</w:t>
            </w:r>
          </w:p>
        </w:tc>
        <w:tc>
          <w:tcPr>
            <w:tcW w:w="64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602</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1,127</w:t>
            </w:r>
          </w:p>
        </w:tc>
        <w:tc>
          <w:tcPr>
            <w:tcW w:w="680" w:type="dxa"/>
            <w:vAlign w:val="bottom"/>
          </w:tcPr>
          <w:p>
            <w:pPr>
              <w:spacing w:after="0"/>
              <w:rPr>
                <w:sz w:val="20"/>
                <w:szCs w:val="20"/>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1,288</w:t>
            </w:r>
          </w:p>
        </w:tc>
        <w:tc>
          <w:tcPr>
            <w:tcW w:w="48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2,693</w:t>
            </w:r>
          </w:p>
        </w:tc>
        <w:tc>
          <w:tcPr>
            <w:tcW w:w="64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2,651</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360" w:type="dxa"/>
            <w:vAlign w:val="bottom"/>
          </w:tcPr>
          <w:p>
            <w:pPr>
              <w:spacing w:after="0"/>
              <w:rPr>
                <w:sz w:val="23"/>
                <w:szCs w:val="23"/>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23"/>
                <w:szCs w:val="23"/>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23"/>
                <w:szCs w:val="23"/>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(85)</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56"/>
        </w:trPr>
        <w:tc>
          <w:tcPr>
            <w:tcW w:w="4800" w:type="dxa"/>
            <w:vAlign w:val="bottom"/>
          </w:tcPr>
          <w:p>
            <w:pPr>
              <w:ind w:left="40"/>
              <w:spacing w:after="0"/>
              <w:rPr>
                <w:sz w:val="20"/>
                <w:szCs w:val="20"/>
                <w:color w:val="auto"/>
              </w:rPr>
            </w:pPr>
            <w:r>
              <w:rPr>
                <w:rFonts w:ascii="Arial" w:cs="Arial" w:eastAsia="Arial" w:hAnsi="Arial"/>
                <w:sz w:val="18"/>
                <w:szCs w:val="18"/>
                <w:color w:val="auto"/>
                <w:w w:val="91"/>
              </w:rPr>
              <w:t>Other comprehensive (income) loss attributable to noncontrolling</w:t>
            </w: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0"/>
        </w:trPr>
        <w:tc>
          <w:tcPr>
            <w:tcW w:w="4800" w:type="dxa"/>
            <w:vAlign w:val="bottom"/>
          </w:tcPr>
          <w:p>
            <w:pPr>
              <w:ind w:left="200"/>
              <w:spacing w:after="0"/>
              <w:rPr>
                <w:sz w:val="20"/>
                <w:szCs w:val="20"/>
                <w:color w:val="auto"/>
              </w:rPr>
            </w:pPr>
            <w:r>
              <w:rPr>
                <w:rFonts w:ascii="Arial" w:cs="Arial" w:eastAsia="Arial" w:hAnsi="Arial"/>
                <w:sz w:val="18"/>
                <w:szCs w:val="18"/>
                <w:color w:val="auto"/>
              </w:rPr>
              <w:t>interests</w:t>
            </w:r>
          </w:p>
        </w:tc>
        <w:tc>
          <w:tcPr>
            <w:tcW w:w="360" w:type="dxa"/>
            <w:vAlign w:val="bottom"/>
          </w:tcPr>
          <w:p>
            <w:pPr>
              <w:spacing w:after="0"/>
              <w:rPr>
                <w:sz w:val="20"/>
                <w:szCs w:val="20"/>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(150)</w:t>
            </w:r>
          </w:p>
        </w:tc>
        <w:tc>
          <w:tcPr>
            <w:tcW w:w="480" w:type="dxa"/>
            <w:vAlign w:val="bottom"/>
          </w:tcPr>
          <w:p>
            <w:pPr>
              <w:spacing w:after="0"/>
              <w:rPr>
                <w:sz w:val="20"/>
                <w:szCs w:val="20"/>
                <w:color w:val="auto"/>
              </w:rPr>
            </w:pP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(82)</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NBCUniversal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b w:val="1"/>
                <w:bCs w:val="1"/>
                <w:color w:val="auto"/>
              </w:rPr>
              <w:t>1,120</w:t>
            </w:r>
          </w:p>
        </w:tc>
        <w:tc>
          <w:tcPr>
            <w:tcW w:w="68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1,096</w:t>
            </w:r>
          </w:p>
        </w:tc>
        <w:tc>
          <w:tcPr>
            <w:tcW w:w="4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4"/>
              <w:spacing w:after="0"/>
              <w:rPr>
                <w:sz w:val="20"/>
                <w:szCs w:val="20"/>
                <w:color w:val="auto"/>
              </w:rPr>
            </w:pPr>
            <w:r>
              <w:rPr>
                <w:rFonts w:ascii="Arial" w:cs="Arial" w:eastAsia="Arial" w:hAnsi="Arial"/>
                <w:sz w:val="18"/>
                <w:szCs w:val="18"/>
                <w:b w:val="1"/>
                <w:bCs w:val="1"/>
                <w:color w:val="auto"/>
              </w:rPr>
              <w:t>2,526</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2,242</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1"/>
        </w:trPr>
        <w:tc>
          <w:tcPr>
            <w:tcW w:w="480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539"/>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534"/>
              <w:spacing w:after="0"/>
              <w:rPr>
                <w:sz w:val="20"/>
                <w:szCs w:val="20"/>
                <w:color w:val="auto"/>
              </w:rPr>
            </w:pPr>
            <w:r>
              <w:rPr>
                <w:rFonts w:ascii="Arial" w:cs="Arial" w:eastAsia="Arial" w:hAnsi="Arial"/>
                <w:sz w:val="18"/>
                <w:szCs w:val="18"/>
                <w:color w:val="auto"/>
              </w:rPr>
              <w:t>46</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52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color w:val="auto"/>
              </w:rPr>
              <w:t>2017</w:t>
            </w: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2016</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13"/>
              <w:spacing w:after="0"/>
              <w:rPr>
                <w:sz w:val="20"/>
                <w:szCs w:val="20"/>
                <w:color w:val="auto"/>
              </w:rPr>
            </w:pPr>
            <w:r>
              <w:rPr>
                <w:rFonts w:ascii="Arial" w:cs="Arial" w:eastAsia="Arial" w:hAnsi="Arial"/>
                <w:sz w:val="18"/>
                <w:szCs w:val="18"/>
                <w:b w:val="1"/>
                <w:bCs w:val="1"/>
                <w:color w:val="auto"/>
              </w:rPr>
              <w:t>3,526</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2,478</w:t>
            </w:r>
          </w:p>
        </w:tc>
      </w:tr>
      <w:tr>
        <w:trPr>
          <w:trHeight w:val="27"/>
        </w:trPr>
        <w:tc>
          <w:tcPr>
            <w:tcW w:w="5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Capital expenditures</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(623)</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Cash paid for intangible assets</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(128)</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Acquisitions of real estate properties</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Proceeds from sales of investments</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102</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Other</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(241)</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5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b w:val="1"/>
                <w:bCs w:val="1"/>
                <w:color w:val="auto"/>
              </w:rPr>
              <w:t>(982)</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(852)</w:t>
            </w:r>
          </w:p>
        </w:tc>
      </w:tr>
      <w:tr>
        <w:trPr>
          <w:trHeight w:val="27"/>
        </w:trPr>
        <w:tc>
          <w:tcPr>
            <w:tcW w:w="5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Proceeds from borrowings</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3,948</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Repurchases and repayments of debt</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(3,402)</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(1,083)</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w w:val="98"/>
              </w:rPr>
              <w:t>Proceeds from (repayments of) borrowings from Comcast, net</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278</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134</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Distributions to member</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(1,141)</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interests</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(116)</w:t>
            </w:r>
          </w:p>
        </w:tc>
        <w:tc>
          <w:tcPr>
            <w:tcW w:w="6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w w:val="99"/>
              </w:rPr>
              <w:t>Purchase of Universal Studios Japan noncontrolling interests</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(2,299)</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5240" w:type="dxa"/>
            <w:vAlign w:val="bottom"/>
          </w:tcPr>
          <w:p>
            <w:pPr>
              <w:ind w:left="380"/>
              <w:spacing w:after="0"/>
              <w:rPr>
                <w:sz w:val="20"/>
                <w:szCs w:val="20"/>
                <w:color w:val="auto"/>
              </w:rPr>
            </w:pPr>
            <w:r>
              <w:rPr>
                <w:rFonts w:ascii="Arial" w:cs="Arial" w:eastAsia="Arial" w:hAnsi="Arial"/>
                <w:sz w:val="18"/>
                <w:szCs w:val="18"/>
                <w:color w:val="auto"/>
              </w:rPr>
              <w:t>Other</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66</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
        </w:trPr>
        <w:tc>
          <w:tcPr>
            <w:tcW w:w="5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b w:val="1"/>
                <w:bCs w:val="1"/>
                <w:color w:val="auto"/>
              </w:rPr>
              <w:t>(2,666)</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(1,881)</w:t>
            </w:r>
          </w:p>
        </w:tc>
      </w:tr>
      <w:tr>
        <w:trPr>
          <w:trHeight w:val="27"/>
        </w:trPr>
        <w:tc>
          <w:tcPr>
            <w:tcW w:w="5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(122)</w:t>
            </w:r>
          </w:p>
        </w:tc>
        <w:tc>
          <w:tcPr>
            <w:tcW w:w="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70"/>
        </w:trPr>
        <w:tc>
          <w:tcPr>
            <w:tcW w:w="52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1,966</w:t>
            </w:r>
          </w:p>
        </w:tc>
        <w:tc>
          <w:tcPr>
            <w:tcW w:w="64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1,410</w:t>
            </w:r>
          </w:p>
        </w:tc>
      </w:tr>
      <w:tr>
        <w:trPr>
          <w:trHeight w:val="27"/>
        </w:trPr>
        <w:tc>
          <w:tcPr>
            <w:tcW w:w="5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13"/>
              <w:spacing w:after="0"/>
              <w:rPr>
                <w:sz w:val="20"/>
                <w:szCs w:val="20"/>
                <w:color w:val="auto"/>
              </w:rPr>
            </w:pPr>
            <w:r>
              <w:rPr>
                <w:rFonts w:ascii="Arial" w:cs="Arial" w:eastAsia="Arial" w:hAnsi="Arial"/>
                <w:sz w:val="18"/>
                <w:szCs w:val="18"/>
                <w:b w:val="1"/>
                <w:bCs w:val="1"/>
                <w:color w:val="auto"/>
              </w:rPr>
              <w:t>1,844</w:t>
            </w:r>
          </w:p>
        </w:tc>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1,155</w:t>
            </w:r>
          </w:p>
        </w:tc>
      </w:tr>
      <w:tr>
        <w:trPr>
          <w:trHeight w:val="34"/>
        </w:trPr>
        <w:tc>
          <w:tcPr>
            <w:tcW w:w="52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1"/>
        </w:trPr>
        <w:tc>
          <w:tcPr>
            <w:tcW w:w="5240" w:type="dxa"/>
            <w:vAlign w:val="bottom"/>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957"/>
        </w:trPr>
        <w:tc>
          <w:tcPr>
            <w:tcW w:w="5240" w:type="dxa"/>
            <w:vAlign w:val="bottom"/>
          </w:tcPr>
          <w:p>
            <w:pPr>
              <w:spacing w:after="0"/>
              <w:rPr>
                <w:sz w:val="24"/>
                <w:szCs w:val="24"/>
                <w:color w:val="auto"/>
              </w:rPr>
            </w:pPr>
          </w:p>
        </w:tc>
        <w:tc>
          <w:tcPr>
            <w:tcW w:w="3000" w:type="dxa"/>
            <w:vAlign w:val="bottom"/>
          </w:tcPr>
          <w:p>
            <w:pPr>
              <w:jc w:val="right"/>
              <w:ind w:right="2350"/>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center"/>
              <w:ind w:right="217"/>
              <w:spacing w:after="0"/>
              <w:rPr>
                <w:sz w:val="20"/>
                <w:szCs w:val="20"/>
                <w:color w:val="auto"/>
              </w:rPr>
            </w:pPr>
            <w:r>
              <w:rPr>
                <w:rFonts w:ascii="Arial" w:cs="Arial" w:eastAsia="Arial" w:hAnsi="Arial"/>
                <w:sz w:val="14"/>
                <w:szCs w:val="14"/>
                <w:color w:val="auto"/>
                <w:w w:val="96"/>
              </w:rPr>
              <w:t>Accumulated</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49"/>
        </w:trPr>
        <w:tc>
          <w:tcPr>
            <w:tcW w:w="2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Borders>
              <w:right w:val="single" w:sz="8" w:color="auto"/>
            </w:tcBorders>
          </w:tcPr>
          <w:p>
            <w:pPr>
              <w:jc w:val="center"/>
              <w:ind w:right="154"/>
              <w:spacing w:after="0" w:line="149" w:lineRule="exact"/>
              <w:rPr>
                <w:sz w:val="20"/>
                <w:szCs w:val="20"/>
                <w:color w:val="auto"/>
              </w:rPr>
            </w:pPr>
            <w:r>
              <w:rPr>
                <w:rFonts w:ascii="Arial" w:cs="Arial" w:eastAsia="Arial" w:hAnsi="Arial"/>
                <w:sz w:val="14"/>
                <w:szCs w:val="14"/>
                <w:color w:val="auto"/>
                <w:w w:val="90"/>
              </w:rPr>
              <w:t>Redeemable</w:t>
            </w:r>
          </w:p>
        </w:tc>
        <w:tc>
          <w:tcPr>
            <w:tcW w:w="5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jc w:val="center"/>
              <w:ind w:right="217"/>
              <w:spacing w:after="0" w:line="149" w:lineRule="exact"/>
              <w:rPr>
                <w:sz w:val="20"/>
                <w:szCs w:val="20"/>
                <w:color w:val="auto"/>
              </w:rPr>
            </w:pPr>
            <w:r>
              <w:rPr>
                <w:rFonts w:ascii="Arial" w:cs="Arial" w:eastAsia="Arial" w:hAnsi="Arial"/>
                <w:sz w:val="14"/>
                <w:szCs w:val="14"/>
                <w:color w:val="auto"/>
                <w:w w:val="96"/>
              </w:rPr>
              <w:t>Other</w:t>
            </w: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2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tcBorders>
              <w:right w:val="single" w:sz="8" w:color="auto"/>
            </w:tcBorders>
          </w:tcPr>
          <w:p>
            <w:pPr>
              <w:jc w:val="center"/>
              <w:ind w:right="154"/>
              <w:spacing w:after="0" w:line="149" w:lineRule="exact"/>
              <w:rPr>
                <w:sz w:val="20"/>
                <w:szCs w:val="20"/>
                <w:color w:val="auto"/>
              </w:rPr>
            </w:pPr>
            <w:r>
              <w:rPr>
                <w:rFonts w:ascii="Arial" w:cs="Arial" w:eastAsia="Arial" w:hAnsi="Arial"/>
                <w:sz w:val="14"/>
                <w:szCs w:val="14"/>
                <w:color w:val="auto"/>
                <w:w w:val="98"/>
              </w:rPr>
              <w:t>Noncontrolling</w:t>
            </w:r>
          </w:p>
        </w:tc>
        <w:tc>
          <w:tcPr>
            <w:tcW w:w="500" w:type="dxa"/>
            <w:vAlign w:val="bottom"/>
          </w:tcPr>
          <w:p>
            <w:pPr>
              <w:spacing w:after="0"/>
              <w:rPr>
                <w:sz w:val="12"/>
                <w:szCs w:val="12"/>
                <w:color w:val="auto"/>
              </w:rPr>
            </w:pPr>
          </w:p>
        </w:tc>
        <w:tc>
          <w:tcPr>
            <w:tcW w:w="130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Member’s</w:t>
            </w:r>
          </w:p>
        </w:tc>
        <w:tc>
          <w:tcPr>
            <w:tcW w:w="340" w:type="dxa"/>
            <w:vAlign w:val="bottom"/>
          </w:tcPr>
          <w:p>
            <w:pPr>
              <w:spacing w:after="0"/>
              <w:rPr>
                <w:sz w:val="12"/>
                <w:szCs w:val="12"/>
                <w:color w:val="auto"/>
              </w:rPr>
            </w:pPr>
          </w:p>
        </w:tc>
        <w:tc>
          <w:tcPr>
            <w:tcW w:w="1360" w:type="dxa"/>
            <w:vAlign w:val="bottom"/>
          </w:tcPr>
          <w:p>
            <w:pPr>
              <w:jc w:val="center"/>
              <w:ind w:right="217"/>
              <w:spacing w:after="0" w:line="149" w:lineRule="exact"/>
              <w:rPr>
                <w:sz w:val="20"/>
                <w:szCs w:val="20"/>
                <w:color w:val="auto"/>
              </w:rPr>
            </w:pPr>
            <w:r>
              <w:rPr>
                <w:rFonts w:ascii="Arial" w:cs="Arial" w:eastAsia="Arial" w:hAnsi="Arial"/>
                <w:sz w:val="14"/>
                <w:szCs w:val="14"/>
                <w:color w:val="auto"/>
                <w:w w:val="91"/>
              </w:rPr>
              <w:t>Comprehensive</w:t>
            </w:r>
          </w:p>
        </w:tc>
        <w:tc>
          <w:tcPr>
            <w:tcW w:w="320" w:type="dxa"/>
            <w:vAlign w:val="bottom"/>
          </w:tcPr>
          <w:p>
            <w:pPr>
              <w:spacing w:after="0"/>
              <w:rPr>
                <w:sz w:val="12"/>
                <w:szCs w:val="12"/>
                <w:color w:val="auto"/>
              </w:rPr>
            </w:pPr>
          </w:p>
        </w:tc>
        <w:tc>
          <w:tcPr>
            <w:tcW w:w="136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Noncontrolling</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88"/>
        </w:trPr>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right w:val="single" w:sz="8" w:color="auto"/>
            </w:tcBorders>
          </w:tcPr>
          <w:p>
            <w:pPr>
              <w:jc w:val="center"/>
              <w:ind w:right="154"/>
              <w:spacing w:after="0"/>
              <w:rPr>
                <w:sz w:val="20"/>
                <w:szCs w:val="20"/>
                <w:color w:val="auto"/>
              </w:rPr>
            </w:pPr>
            <w:r>
              <w:rPr>
                <w:rFonts w:ascii="Arial" w:cs="Arial" w:eastAsia="Arial" w:hAnsi="Arial"/>
                <w:sz w:val="14"/>
                <w:szCs w:val="14"/>
                <w:color w:val="auto"/>
                <w:w w:val="89"/>
              </w:rPr>
              <w:t>Interests</w:t>
            </w: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Capital</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color w:val="auto"/>
                <w:w w:val="92"/>
              </w:rPr>
              <w:t>Income (Loss)</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Interests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Total Equity</w:t>
            </w: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Balance, December 31, 2015</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372</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32,834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(212)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1,681</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34,303</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(853)</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56"/>
        </w:trPr>
        <w:tc>
          <w:tcPr>
            <w:tcW w:w="2900" w:type="dxa"/>
            <w:vAlign w:val="bottom"/>
          </w:tcPr>
          <w:p>
            <w:pPr>
              <w:ind w:left="40"/>
              <w:spacing w:after="0"/>
              <w:rPr>
                <w:sz w:val="20"/>
                <w:szCs w:val="20"/>
                <w:color w:val="auto"/>
              </w:rPr>
            </w:pPr>
            <w:r>
              <w:rPr>
                <w:rFonts w:ascii="Arial" w:cs="Arial" w:eastAsia="Arial" w:hAnsi="Arial"/>
                <w:sz w:val="18"/>
                <w:szCs w:val="18"/>
                <w:color w:val="auto"/>
              </w:rPr>
              <w:t>Contributions from (distributions to)</w:t>
            </w:r>
          </w:p>
        </w:tc>
        <w:tc>
          <w:tcPr>
            <w:tcW w:w="4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420" w:type="dxa"/>
            <w:vAlign w:val="bottom"/>
          </w:tcPr>
          <w:p>
            <w:pPr>
              <w:spacing w:after="0"/>
              <w:rPr>
                <w:sz w:val="20"/>
                <w:szCs w:val="20"/>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(75)</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w w:val="99"/>
              </w:rPr>
              <w:t>Other comprehensive income (loss)</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right"/>
              <w:ind w:right="117"/>
              <w:spacing w:after="0"/>
              <w:rPr>
                <w:sz w:val="20"/>
                <w:szCs w:val="20"/>
                <w:color w:val="auto"/>
              </w:rPr>
            </w:pPr>
            <w:r>
              <w:rPr>
                <w:rFonts w:ascii="Arial" w:cs="Arial" w:eastAsia="Arial" w:hAnsi="Arial"/>
                <w:sz w:val="18"/>
                <w:szCs w:val="18"/>
                <w:color w:val="auto"/>
              </w:rPr>
              <w:t>307</w:t>
            </w:r>
          </w:p>
        </w:tc>
        <w:tc>
          <w:tcPr>
            <w:tcW w:w="32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287</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594</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155</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160</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20" w:type="dxa"/>
            <w:vAlign w:val="bottom"/>
          </w:tcPr>
          <w:p>
            <w:pPr>
              <w:spacing w:after="0"/>
              <w:rPr>
                <w:sz w:val="23"/>
                <w:szCs w:val="23"/>
                <w:color w:val="auto"/>
              </w:rPr>
            </w:pP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1,935</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98</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2,033</w:t>
            </w:r>
          </w:p>
        </w:tc>
      </w:tr>
      <w:tr>
        <w:trPr>
          <w:trHeight w:val="27"/>
        </w:trPr>
        <w:tc>
          <w:tcPr>
            <w:tcW w:w="2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b w:val="1"/>
                <w:bCs w:val="1"/>
                <w:color w:val="auto"/>
              </w:rPr>
              <w:t>Balance, June 30, 2016</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367</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b w:val="1"/>
                <w:bCs w:val="1"/>
                <w:color w:val="auto"/>
              </w:rPr>
              <w:t>33,921</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7"/>
              <w:spacing w:after="0"/>
              <w:rPr>
                <w:sz w:val="20"/>
                <w:szCs w:val="20"/>
                <w:color w:val="auto"/>
              </w:rPr>
            </w:pPr>
            <w:r>
              <w:rPr>
                <w:rFonts w:ascii="Arial" w:cs="Arial" w:eastAsia="Arial" w:hAnsi="Arial"/>
                <w:sz w:val="18"/>
                <w:szCs w:val="18"/>
                <w:b w:val="1"/>
                <w:bCs w:val="1"/>
                <w:color w:val="auto"/>
              </w:rPr>
              <w:t>95</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2,146</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36,162</w:t>
            </w:r>
          </w:p>
        </w:tc>
      </w:tr>
      <w:tr>
        <w:trPr>
          <w:trHeight w:val="34"/>
        </w:trPr>
        <w:tc>
          <w:tcPr>
            <w:tcW w:w="2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530</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39,036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(135)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2,116</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41,017</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Dividends declared</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(1,141)</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(1,141)</w:t>
            </w:r>
          </w:p>
        </w:tc>
      </w:tr>
      <w:tr>
        <w:trPr>
          <w:trHeight w:val="256"/>
        </w:trPr>
        <w:tc>
          <w:tcPr>
            <w:tcW w:w="2900" w:type="dxa"/>
            <w:vAlign w:val="bottom"/>
          </w:tcPr>
          <w:p>
            <w:pPr>
              <w:ind w:left="40"/>
              <w:spacing w:after="0"/>
              <w:rPr>
                <w:sz w:val="20"/>
                <w:szCs w:val="20"/>
                <w:color w:val="auto"/>
              </w:rPr>
            </w:pPr>
            <w:r>
              <w:rPr>
                <w:rFonts w:ascii="Arial" w:cs="Arial" w:eastAsia="Arial" w:hAnsi="Arial"/>
                <w:sz w:val="18"/>
                <w:szCs w:val="18"/>
                <w:color w:val="auto"/>
              </w:rPr>
              <w:t>Contributions from (distributions to)</w:t>
            </w:r>
          </w:p>
        </w:tc>
        <w:tc>
          <w:tcPr>
            <w:tcW w:w="4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noncontrolling interests, net</w:t>
            </w:r>
          </w:p>
        </w:tc>
        <w:tc>
          <w:tcPr>
            <w:tcW w:w="420" w:type="dxa"/>
            <w:vAlign w:val="bottom"/>
          </w:tcPr>
          <w:p>
            <w:pPr>
              <w:spacing w:after="0"/>
              <w:rPr>
                <w:sz w:val="20"/>
                <w:szCs w:val="20"/>
                <w:color w:val="auto"/>
              </w:rPr>
            </w:pPr>
          </w:p>
        </w:tc>
        <w:tc>
          <w:tcPr>
            <w:tcW w:w="13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Contribution from member</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662</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662</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w w:val="99"/>
              </w:rPr>
              <w:t>Other comprehensive income (loss)</w:t>
            </w:r>
          </w:p>
        </w:tc>
        <w:tc>
          <w:tcPr>
            <w:tcW w:w="420" w:type="dxa"/>
            <w:vAlign w:val="bottom"/>
          </w:tcPr>
          <w:p>
            <w:pPr>
              <w:spacing w:after="0"/>
              <w:rPr>
                <w:sz w:val="23"/>
                <w:szCs w:val="23"/>
                <w:color w:val="auto"/>
              </w:rPr>
            </w:pPr>
          </w:p>
        </w:tc>
        <w:tc>
          <w:tcPr>
            <w:tcW w:w="132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jc w:val="right"/>
              <w:ind w:right="117"/>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132</w:t>
            </w:r>
          </w:p>
        </w:tc>
      </w:tr>
      <w:tr>
        <w:trPr>
          <w:trHeight w:val="256"/>
        </w:trPr>
        <w:tc>
          <w:tcPr>
            <w:tcW w:w="2900" w:type="dxa"/>
            <w:vAlign w:val="bottom"/>
          </w:tcPr>
          <w:p>
            <w:pPr>
              <w:ind w:left="40"/>
              <w:spacing w:after="0"/>
              <w:rPr>
                <w:sz w:val="20"/>
                <w:szCs w:val="20"/>
                <w:color w:val="auto"/>
              </w:rPr>
            </w:pPr>
            <w:r>
              <w:rPr>
                <w:rFonts w:ascii="Arial" w:cs="Arial" w:eastAsia="Arial" w:hAnsi="Arial"/>
                <w:sz w:val="18"/>
                <w:szCs w:val="18"/>
                <w:color w:val="auto"/>
                <w:w w:val="96"/>
              </w:rPr>
              <w:t>Purchase of Universal Studios Japan</w:t>
            </w:r>
          </w:p>
        </w:tc>
        <w:tc>
          <w:tcPr>
            <w:tcW w:w="420" w:type="dxa"/>
            <w:vAlign w:val="bottom"/>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290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42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(704)</w:t>
            </w:r>
          </w:p>
        </w:tc>
        <w:tc>
          <w:tcPr>
            <w:tcW w:w="340" w:type="dxa"/>
            <w:vAlign w:val="bottom"/>
          </w:tcPr>
          <w:p>
            <w:pPr>
              <w:spacing w:after="0"/>
              <w:rPr>
                <w:sz w:val="20"/>
                <w:szCs w:val="20"/>
                <w:color w:val="auto"/>
              </w:rPr>
            </w:pPr>
          </w:p>
        </w:tc>
        <w:tc>
          <w:tcPr>
            <w:tcW w:w="1360" w:type="dxa"/>
            <w:vAlign w:val="bottom"/>
          </w:tcPr>
          <w:p>
            <w:pPr>
              <w:jc w:val="right"/>
              <w:ind w:right="117"/>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20"/>
                <w:szCs w:val="20"/>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(1,736)</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(2,299)</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3"/>
                <w:szCs w:val="23"/>
                <w:color w:val="auto"/>
              </w:rPr>
            </w:pP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474</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556</w:t>
            </w:r>
          </w:p>
        </w:tc>
      </w:tr>
      <w:tr>
        <w:trPr>
          <w:trHeight w:val="270"/>
        </w:trPr>
        <w:tc>
          <w:tcPr>
            <w:tcW w:w="2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420" w:type="dxa"/>
            <w:vAlign w:val="bottom"/>
          </w:tcPr>
          <w:p>
            <w:pPr>
              <w:spacing w:after="0"/>
              <w:rPr>
                <w:sz w:val="23"/>
                <w:szCs w:val="23"/>
                <w:color w:val="auto"/>
              </w:rPr>
            </w:pP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23"/>
                <w:szCs w:val="23"/>
                <w:color w:val="auto"/>
              </w:rPr>
            </w:pP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2,476</w:t>
            </w: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2,543</w:t>
            </w:r>
          </w:p>
        </w:tc>
      </w:tr>
      <w:tr>
        <w:trPr>
          <w:trHeight w:val="27"/>
        </w:trPr>
        <w:tc>
          <w:tcPr>
            <w:tcW w:w="2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2900" w:type="dxa"/>
            <w:vAlign w:val="bottom"/>
          </w:tcPr>
          <w:p>
            <w:pPr>
              <w:ind w:left="40"/>
              <w:spacing w:after="0"/>
              <w:rPr>
                <w:sz w:val="20"/>
                <w:szCs w:val="20"/>
                <w:color w:val="auto"/>
              </w:rPr>
            </w:pPr>
            <w:r>
              <w:rPr>
                <w:rFonts w:ascii="Arial" w:cs="Arial" w:eastAsia="Arial" w:hAnsi="Arial"/>
                <w:sz w:val="18"/>
                <w:szCs w:val="18"/>
                <w:b w:val="1"/>
                <w:bCs w:val="1"/>
                <w:color w:val="auto"/>
              </w:rPr>
              <w:t>Balance, June 30, 2017</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right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512</w:t>
            </w:r>
          </w:p>
        </w:tc>
        <w:tc>
          <w:tcPr>
            <w:tcW w:w="5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12"/>
              <w:spacing w:after="0"/>
              <w:rPr>
                <w:sz w:val="20"/>
                <w:szCs w:val="20"/>
                <w:color w:val="auto"/>
              </w:rPr>
            </w:pPr>
            <w:r>
              <w:rPr>
                <w:rFonts w:ascii="Arial" w:cs="Arial" w:eastAsia="Arial" w:hAnsi="Arial"/>
                <w:sz w:val="18"/>
                <w:szCs w:val="18"/>
                <w:b w:val="1"/>
                <w:bCs w:val="1"/>
                <w:color w:val="auto"/>
              </w:rPr>
              <w:t>40,411</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7"/>
              <w:spacing w:after="0"/>
              <w:rPr>
                <w:sz w:val="20"/>
                <w:szCs w:val="20"/>
                <w:color w:val="auto"/>
              </w:rPr>
            </w:pPr>
            <w:r>
              <w:rPr>
                <w:rFonts w:ascii="Arial" w:cs="Arial" w:eastAsia="Arial" w:hAnsi="Arial"/>
                <w:sz w:val="18"/>
                <w:szCs w:val="18"/>
                <w:b w:val="1"/>
                <w:bCs w:val="1"/>
                <w:color w:val="auto"/>
              </w:rPr>
              <w:t>56</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112"/>
              <w:spacing w:after="0"/>
              <w:rPr>
                <w:sz w:val="20"/>
                <w:szCs w:val="20"/>
                <w:color w:val="auto"/>
              </w:rPr>
            </w:pPr>
            <w:r>
              <w:rPr>
                <w:rFonts w:ascii="Arial" w:cs="Arial" w:eastAsia="Arial" w:hAnsi="Arial"/>
                <w:sz w:val="18"/>
                <w:szCs w:val="18"/>
                <w:b w:val="1"/>
                <w:bCs w:val="1"/>
                <w:color w:val="auto"/>
              </w:rPr>
              <w:t>948</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41,415</w:t>
            </w:r>
          </w:p>
        </w:tc>
      </w:tr>
      <w:tr>
        <w:trPr>
          <w:trHeight w:val="34"/>
        </w:trPr>
        <w:tc>
          <w:tcPr>
            <w:tcW w:w="4640" w:type="dxa"/>
            <w:vAlign w:val="bottom"/>
            <w:tcBorders>
              <w:bottom w:val="single" w:sz="8" w:color="auto"/>
              <w:right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1"/>
        </w:trPr>
        <w:tc>
          <w:tcPr>
            <w:tcW w:w="4640" w:type="dxa"/>
            <w:vAlign w:val="bottom"/>
            <w:gridSpan w:val="3"/>
          </w:tcPr>
          <w:p>
            <w:pPr>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539"/>
        </w:trPr>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jc w:val="right"/>
              <w:ind w:right="552"/>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ind w:right="4380"/>
        <w:spacing w:after="0" w:line="274"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Unless indicated otherwise, throughout these notes to the condensed consolidated financial statements, we refer to NBCUniversal and its consolidated subsidiaries as “we,” “us” and “our.” 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2016 Annual Report on Form 10-K.</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2014, the Financial Accounting Standards Board (“FASB”) updated the accounting guidance related to revenue recognition. The updated accounting guidance provides a single, contract-based revenue recognition model to help improve financial reporting by providing clearer guidance on when an entity should recognize revenue and by reducing the number of standards to which an entity has to refer. The updated accounting guidance is effective for us as of January 1, 2018.</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substantially completed the review of our revenue arrangements and do not currently expect that the adoption of the new standard will have a material impact on our financial position or results of operations. However, we do expect that the new standard will impact the timing of recognition for our Cable Networks, Broadcast Television and Filmed Entertainment segments’ content licensing revenue associated with renewals or extensions of existing program licensing agreements, which will be recognized as revenue when the licensed content becomes available under the renewal or extension instead of when the agreement is renewed or extended. The updated guidance also requires additional disclosures regarding the nature, timing and uncertainty of our revenue transactions. We intend to adopt the provisions of the guidance using the full retrospective method, under which we will adjust any prior periods presented to reflect the updated guidance.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Financial Liabilities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2016, the FASB updated the accounting guidance related to the recognition and measurement of financial assets and financial liabilities. The updated accounting guidance, among other things, requires that all nonconsolidated equity investments, except those accounted for under the equity method, be measured at fair value and that the changes in fair value be recognized in net income. The updated guidance is effective for us as of January 1, 2018. The updated accounting guidance requires a cumulative effect adjustment to beginning retained earnings in the year the guidance is adopted with certain exceptions. If we had adopted the provisions of the updated guidance as of January 1, 2017 for our equity investments classified as available-for-sale securities, primarily our investment in Snap Inc. (see Note 6), net income attributable to NBCUniversal would have decreased for the three and six months ended June 30, 2017 by $140 million and $139 million, respectively. We are currently in the process of determining the impact that the updated accounting guidance will have on our cost method investments.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2016, the FASB updated the accounting guidance related to leases. The updated accounting guidance requires lessees to recognize a right-of-use asset and a lease liability on the balance sheet for all leases with the exception of short-term leases. The asset and liability are initially measured based on the present value of committed lease payments. For a lessee, the recognition, measurement and presentation of expenses and cash flows arising from a lease do not significantly change from previous guidance. For a lessor, the accounting applied is also largely unchanged from previous guidance. The updated guidance is effective for us as of January 1, 2019 and early adoption is permitted. The updated accounting guidance must be adopted using a modified retrospective approach for leases that exist or are entered into after the beginning of the earliest comparative period in the financial statements. We are currently in the process of determining the impact that the updated accounting guidance will have on our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Significant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FCC Spectrum Auction</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13, 2017, the Federal Communications Commission announced the results of its spectrum auction. In the auction, we relinquished our spectrum rights in the New York, Philadelphia and Chicago designated market areas (“DMAs”) where NBC and Telemundo had overlapping spectrum. We received proceeds of $482 million in July 2017. NBC and Telemundo stations will share broadcast signals in these DMAs.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Studios Japan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6, 2017, we acquired the remaining interests in Universal Studios Japan that we did not already own for $2.3 billion. The acquisition was funded through borrowings under our revolving credit agreement with Comcast. Because we maintained control of Universal Studios Japan, the difference between the consideration transferred and the recorded value of the noncontrolling interests, as well as the related accumulated other comprehensive income impact, were recorded to additional paid-in capital.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DreamWorks Animation</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22, 2016, Comcast acquired all of the outstanding stock of DreamWorks Animation for $3.8 billion. DreamWorks Animation’s stockholders received $41 in cash for each share of DreamWorks Animation common stock. DreamWorks Animation creates animated feature films, television series and specials, live entertainment, and related consumer products.</w:t>
      </w:r>
    </w:p>
    <w:p>
      <w:pPr>
        <w:spacing w:after="0" w:line="3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Following the acquisition, Comcast converted DreamWorks Animation to a limited liability company and contributed its equity to us as a capital contribution. The net assets contributed to us excluded deferred income taxes and other tax-related items recorded by Comcast. The results of operations for DreamWorks Animation are reported in our Filmed Entertainment segment following the acquisition date and are presented as if the initial equity contribution occurred on the date of Comcast’s acquisition.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Purchase Price</w:t>
      </w:r>
    </w:p>
    <w:p>
      <w:pPr>
        <w:spacing w:after="0" w:line="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transaction was accounted for under the acquisition method of accounting and, accordingly, the assets and liabilities are to be recorded at their fair market values as of the acquisition date. We recorded the acquired assets and liabilities of DreamWorks Animation at their estimated fair values based on valuation analyses. In valuing acquired assets and liabilities, fair value estimates were primarily based on Level 3 inputs, including future expected cash flows, market rate assumptions and discount rates. The fair value of the assumed debt was primarily based on quoted market values. The fair value of the liability related to a tax receivable agreement that DreamWorks Animation had previously entered into with one of its former stockholders (the “tax receivable agreement”) was based on the contractual settlement provisions in the agreement. During the six months ended June 30, 2017, we updated the preliminary allocation of purchase price for DreamWorks Animation, which primarily resulted in increases to noncontrolling interests, intangible assets and goodwill and a decrease to working capital. The changes did not have a material impact on our condensed consolidated financial statements. We may adjust these amounts further as valuations are finalized and we obtain information necessary to complete the analyses, but no later than one year from the acquisition date.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preliminary allocation of the purchase price to the assets and liabilities of DreamWorks Animation.</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4040" w:type="dxa"/>
            <w:vAlign w:val="bottom"/>
          </w:tcPr>
          <w:p>
            <w:pPr>
              <w:spacing w:after="0"/>
              <w:rPr>
                <w:sz w:val="20"/>
                <w:szCs w:val="20"/>
                <w:color w:val="auto"/>
              </w:rPr>
            </w:pPr>
          </w:p>
        </w:tc>
        <w:tc>
          <w:tcPr>
            <w:tcW w:w="6080" w:type="dxa"/>
            <w:vAlign w:val="bottom"/>
          </w:tcPr>
          <w:p>
            <w:pPr>
              <w:jc w:val="right"/>
              <w:ind w:right="3130"/>
              <w:spacing w:after="0"/>
              <w:rPr>
                <w:sz w:val="20"/>
                <w:szCs w:val="20"/>
                <w:color w:val="auto"/>
              </w:rPr>
            </w:pPr>
            <w:r>
              <w:rPr>
                <w:rFonts w:ascii="Arial" w:cs="Arial" w:eastAsia="Arial" w:hAnsi="Arial"/>
                <w:sz w:val="18"/>
                <w:szCs w:val="18"/>
                <w:b w:val="1"/>
                <w:bCs w:val="1"/>
                <w:color w:val="auto"/>
              </w:rPr>
              <w:t>Allocation of Purchase Price</w:t>
            </w:r>
          </w:p>
        </w:tc>
        <w:tc>
          <w:tcPr>
            <w:tcW w:w="1240" w:type="dxa"/>
            <w:vAlign w:val="bottom"/>
          </w:tcPr>
          <w:p>
            <w:pPr>
              <w:spacing w:after="0"/>
              <w:rPr>
                <w:sz w:val="20"/>
                <w:szCs w:val="20"/>
                <w:color w:val="auto"/>
              </w:rPr>
            </w:pPr>
          </w:p>
        </w:tc>
      </w:tr>
      <w:tr>
        <w:trPr>
          <w:trHeight w:val="21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60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Film and television costs</w:t>
            </w:r>
          </w:p>
        </w:tc>
        <w:tc>
          <w:tcPr>
            <w:tcW w:w="608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854</w:t>
            </w: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608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396</w:t>
            </w: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608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163</w:t>
            </w: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Debt</w:t>
            </w:r>
          </w:p>
        </w:tc>
        <w:tc>
          <w:tcPr>
            <w:tcW w:w="60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(381)</w:t>
            </w:r>
          </w:p>
        </w:tc>
      </w:tr>
      <w:tr>
        <w:trPr>
          <w:trHeight w:val="310"/>
        </w:trPr>
        <w:tc>
          <w:tcPr>
            <w:tcW w:w="4040" w:type="dxa"/>
            <w:vAlign w:val="bottom"/>
          </w:tcPr>
          <w:p>
            <w:pPr>
              <w:ind w:left="20"/>
              <w:spacing w:after="0"/>
              <w:rPr>
                <w:sz w:val="20"/>
                <w:szCs w:val="20"/>
                <w:color w:val="auto"/>
              </w:rPr>
            </w:pPr>
            <w:r>
              <w:rPr>
                <w:rFonts w:ascii="Arial" w:cs="Arial" w:eastAsia="Arial" w:hAnsi="Arial"/>
                <w:sz w:val="18"/>
                <w:szCs w:val="18"/>
                <w:color w:val="auto"/>
              </w:rPr>
              <w:t>Tax receivable agreement</w:t>
            </w:r>
            <w:r>
              <w:rPr>
                <w:rFonts w:ascii="Arial" w:cs="Arial" w:eastAsia="Arial" w:hAnsi="Arial"/>
                <w:sz w:val="25"/>
                <w:szCs w:val="25"/>
                <w:color w:val="auto"/>
                <w:vertAlign w:val="superscript"/>
              </w:rPr>
              <w:t>(a)</w:t>
            </w:r>
          </w:p>
        </w:tc>
        <w:tc>
          <w:tcPr>
            <w:tcW w:w="60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57"/>
        </w:trPr>
        <w:tc>
          <w:tcPr>
            <w:tcW w:w="4040" w:type="dxa"/>
            <w:vAlign w:val="bottom"/>
            <w:tcBorders>
              <w:bottom w:val="single" w:sz="8" w:color="auto"/>
            </w:tcBorders>
          </w:tcPr>
          <w:p>
            <w:pPr>
              <w:ind w:left="20"/>
              <w:spacing w:after="0" w:line="257" w:lineRule="exact"/>
              <w:rPr>
                <w:sz w:val="20"/>
                <w:szCs w:val="20"/>
                <w:color w:val="auto"/>
              </w:rPr>
            </w:pPr>
            <w:r>
              <w:rPr>
                <w:rFonts w:ascii="Arial" w:cs="Arial" w:eastAsia="Arial" w:hAnsi="Arial"/>
                <w:sz w:val="18"/>
                <w:szCs w:val="18"/>
                <w:color w:val="auto"/>
                <w:w w:val="99"/>
              </w:rPr>
              <w:t>Other noncurrent assets and liabilities and other</w:t>
            </w:r>
            <w:r>
              <w:rPr>
                <w:rFonts w:ascii="Arial" w:cs="Arial" w:eastAsia="Arial" w:hAnsi="Arial"/>
                <w:sz w:val="25"/>
                <w:szCs w:val="25"/>
                <w:color w:val="auto"/>
                <w:w w:val="99"/>
                <w:vertAlign w:val="superscript"/>
              </w:rPr>
              <w:t>(b)</w:t>
            </w:r>
          </w:p>
        </w:tc>
        <w:tc>
          <w:tcPr>
            <w:tcW w:w="60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435</w:t>
            </w: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color w:val="auto"/>
              </w:rPr>
              <w:t>Identifiable net assets (liabilities) acquired</w:t>
            </w:r>
          </w:p>
        </w:tc>
        <w:tc>
          <w:tcPr>
            <w:tcW w:w="608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1,321</w:t>
            </w: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60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0"/>
        </w:trPr>
        <w:tc>
          <w:tcPr>
            <w:tcW w:w="4040" w:type="dxa"/>
            <w:vAlign w:val="bottom"/>
          </w:tcPr>
          <w:p>
            <w:pPr>
              <w:ind w:left="20"/>
              <w:spacing w:after="0"/>
              <w:rPr>
                <w:sz w:val="20"/>
                <w:szCs w:val="20"/>
                <w:color w:val="auto"/>
              </w:rPr>
            </w:pPr>
            <w:r>
              <w:rPr>
                <w:rFonts w:ascii="Arial" w:cs="Arial" w:eastAsia="Arial" w:hAnsi="Arial"/>
                <w:sz w:val="18"/>
                <w:szCs w:val="18"/>
                <w:color w:val="auto"/>
              </w:rPr>
              <w:t>Goodwill</w:t>
            </w:r>
          </w:p>
        </w:tc>
        <w:tc>
          <w:tcPr>
            <w:tcW w:w="608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2,789</w:t>
            </w:r>
          </w:p>
        </w:tc>
      </w:tr>
      <w:tr>
        <w:trPr>
          <w:trHeight w:val="27"/>
        </w:trPr>
        <w:tc>
          <w:tcPr>
            <w:tcW w:w="4040" w:type="dxa"/>
            <w:vAlign w:val="bottom"/>
            <w:tcBorders>
              <w:bottom w:val="single" w:sz="8" w:color="auto"/>
            </w:tcBorders>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ind w:left="20"/>
              <w:spacing w:after="0"/>
              <w:rPr>
                <w:sz w:val="20"/>
                <w:szCs w:val="20"/>
                <w:color w:val="auto"/>
              </w:rPr>
            </w:pPr>
            <w:r>
              <w:rPr>
                <w:rFonts w:ascii="Arial" w:cs="Arial" w:eastAsia="Arial" w:hAnsi="Arial"/>
                <w:sz w:val="18"/>
                <w:szCs w:val="18"/>
                <w:b w:val="1"/>
                <w:bCs w:val="1"/>
                <w:color w:val="auto"/>
              </w:rPr>
              <w:t>Cash consideration transferred</w:t>
            </w:r>
          </w:p>
        </w:tc>
        <w:tc>
          <w:tcPr>
            <w:tcW w:w="608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3,773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72034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69" w:lineRule="exact"/>
        <w:rPr>
          <w:sz w:val="20"/>
          <w:szCs w:val="20"/>
          <w:color w:val="auto"/>
        </w:rPr>
      </w:pPr>
    </w:p>
    <w:p>
      <w:pPr>
        <w:jc w:val="both"/>
        <w:ind w:left="260" w:hanging="252"/>
        <w:spacing w:after="0" w:line="257" w:lineRule="auto"/>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tax receivable agreement was settled immediately following the acquisition and the payment was recorded as an operating activity in our condensed consolidated statement of cash flows in the third quarter of 2016. Comcast made a separate cash capital contribution of $146 million to fund the settlement which was recorded as a financing activity in our condensed consolidated statement of cash flows in the third quarter of 2016.</w:t>
      </w:r>
    </w:p>
    <w:p>
      <w:pPr>
        <w:spacing w:after="0" w:line="131" w:lineRule="exact"/>
        <w:rPr>
          <w:rFonts w:ascii="Arial" w:cs="Arial" w:eastAsia="Arial" w:hAnsi="Arial"/>
          <w:sz w:val="14"/>
          <w:szCs w:val="14"/>
          <w:color w:val="auto"/>
        </w:rPr>
      </w:pPr>
    </w:p>
    <w:p>
      <w:pPr>
        <w:ind w:left="260" w:hanging="252"/>
        <w:spacing w:after="0" w:line="273" w:lineRule="auto"/>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Other included $289 million recorded to member’s capital that represented deferred income tax assets and other tax-related items recorded by Comcast but excluded from the net assets contributed to us.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Revenue and net income attributable to the acquisition of DreamWorks Animation were not material for the three and six months ended June 30, 2017.</w:t>
      </w:r>
    </w:p>
    <w:p>
      <w:pPr>
        <w:sectPr>
          <w:pgSz w:w="11900" w:h="16838" w:orient="portrait"/>
          <w:cols w:equalWidth="0" w:num="1">
            <w:col w:w="11420"/>
          </w:cols>
          <w:pgMar w:left="240" w:top="121" w:right="239" w:bottom="1440" w:gutter="0" w:footer="0" w:header="0"/>
        </w:sect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1"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Related Party Transactions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 the ordinary course of our business, we enter into transactions with Comcast.</w:t>
      </w:r>
    </w:p>
    <w:p>
      <w:pPr>
        <w:spacing w:after="0" w:line="7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generate revenue from Comcast primarily from the distribution of our cable network programming, the fees received under retransmission consent agreements in our Broadcast Television segment and, to a lesser extent, the sale of advertising and our owned programming, and we incur expenses primarily related to advertising and various support services provided by Comcast to us.</w:t>
      </w:r>
    </w:p>
    <w:p>
      <w:pPr>
        <w:spacing w:after="0" w:line="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Comcast is also the counterparty to one of our contractual obligations. As of June 30, 2017, the carrying value of the liability associated with this contractual obligation was $383 million.</w:t>
      </w:r>
    </w:p>
    <w:p>
      <w:pPr>
        <w:spacing w:after="0" w:line="22" w:lineRule="exact"/>
        <w:rPr>
          <w:sz w:val="20"/>
          <w:szCs w:val="20"/>
          <w:color w:val="auto"/>
        </w:rPr>
      </w:pPr>
    </w:p>
    <w:p>
      <w:pPr>
        <w:jc w:val="center"/>
        <w:ind w:right="40"/>
        <w:spacing w:after="0" w:line="356" w:lineRule="auto"/>
        <w:rPr>
          <w:sz w:val="20"/>
          <w:szCs w:val="20"/>
          <w:color w:val="auto"/>
        </w:rPr>
      </w:pPr>
      <w:r>
        <w:rPr>
          <w:rFonts w:ascii="Arial" w:cs="Arial" w:eastAsia="Arial" w:hAnsi="Arial"/>
          <w:sz w:val="18"/>
          <w:szCs w:val="18"/>
          <w:color w:val="auto"/>
        </w:rPr>
        <w:t xml:space="preserve">The following tables present transactions with Comcast and its consolidated subsidiaries that are included in our condensed consolidated financial statements. </w:t>
      </w:r>
      <w:r>
        <w:rPr>
          <w:rFonts w:ascii="Arial" w:cs="Arial" w:eastAsia="Arial" w:hAnsi="Arial"/>
          <w:sz w:val="18"/>
          <w:szCs w:val="18"/>
          <w:b w:val="1"/>
          <w:bCs w:val="1"/>
          <w:color w:val="auto"/>
        </w:rPr>
        <w:t>Condensed Consolidated Balance Sheet</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color w:val="auto"/>
              </w:rPr>
              <w:t>June 30,</w:t>
            </w:r>
          </w:p>
        </w:tc>
        <w:tc>
          <w:tcPr>
            <w:tcW w:w="180" w:type="dxa"/>
            <w:vAlign w:val="bottom"/>
          </w:tcPr>
          <w:p>
            <w:pPr>
              <w:spacing w:after="0"/>
              <w:rPr>
                <w:sz w:val="14"/>
                <w:szCs w:val="14"/>
                <w:color w:val="auto"/>
              </w:rPr>
            </w:pPr>
          </w:p>
        </w:tc>
        <w:tc>
          <w:tcPr>
            <w:tcW w:w="1300" w:type="dxa"/>
            <w:vAlign w:val="bottom"/>
            <w:gridSpan w:val="2"/>
          </w:tcPr>
          <w:p>
            <w:pPr>
              <w:jc w:val="right"/>
              <w:ind w:right="274"/>
              <w:spacing w:after="0"/>
              <w:rPr>
                <w:sz w:val="20"/>
                <w:szCs w:val="20"/>
                <w:color w:val="auto"/>
              </w:rPr>
            </w:pPr>
            <w:r>
              <w:rPr>
                <w:rFonts w:ascii="Arial" w:cs="Arial" w:eastAsia="Arial" w:hAnsi="Arial"/>
                <w:sz w:val="14"/>
                <w:szCs w:val="14"/>
                <w:color w:val="auto"/>
              </w:rPr>
              <w:t>December 31,</w:t>
            </w:r>
          </w:p>
        </w:tc>
      </w:tr>
      <w:tr>
        <w:trPr>
          <w:trHeight w:val="188"/>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7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color w:val="auto"/>
                <w:w w:val="89"/>
              </w:rPr>
              <w:t>2017</w:t>
            </w: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324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285</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39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55</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26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Note payable to Comcast</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2,981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2,703</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389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389</w:t>
            </w:r>
          </w:p>
        </w:tc>
      </w:tr>
      <w:tr>
        <w:trPr>
          <w:trHeight w:val="27"/>
        </w:trPr>
        <w:tc>
          <w:tcPr>
            <w:tcW w:w="8040" w:type="dxa"/>
            <w:vAlign w:val="bottom"/>
            <w:tcBorders>
              <w:bottom w:val="single" w:sz="8" w:color="auto"/>
            </w:tcBorders>
            <w:gridSpan w:val="4"/>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7"/>
        </w:trPr>
        <w:tc>
          <w:tcPr>
            <w:tcW w:w="8040" w:type="dxa"/>
            <w:vAlign w:val="bottom"/>
            <w:gridSpan w:val="4"/>
          </w:tcPr>
          <w:p>
            <w:pPr>
              <w:ind w:left="3720"/>
              <w:spacing w:after="0"/>
              <w:rPr>
                <w:sz w:val="20"/>
                <w:szCs w:val="20"/>
                <w:color w:val="auto"/>
              </w:rPr>
            </w:pPr>
            <w:r>
              <w:rPr>
                <w:rFonts w:ascii="Arial" w:cs="Arial" w:eastAsia="Arial" w:hAnsi="Arial"/>
                <w:sz w:val="18"/>
                <w:szCs w:val="18"/>
                <w:b w:val="1"/>
                <w:bCs w:val="1"/>
                <w:color w:val="auto"/>
              </w:rPr>
              <w:t>Condensed Consolidated Statement of Income</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2"/>
        </w:trPr>
        <w:tc>
          <w:tcPr>
            <w:tcW w:w="5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gridSpan w:val="2"/>
          </w:tcPr>
          <w:p>
            <w:pPr>
              <w:jc w:val="right"/>
              <w:ind w:right="234"/>
              <w:spacing w:after="0"/>
              <w:rPr>
                <w:sz w:val="20"/>
                <w:szCs w:val="20"/>
                <w:color w:val="auto"/>
              </w:rPr>
            </w:pPr>
            <w:r>
              <w:rPr>
                <w:rFonts w:ascii="Arial" w:cs="Arial" w:eastAsia="Arial" w:hAnsi="Arial"/>
                <w:sz w:val="14"/>
                <w:szCs w:val="14"/>
                <w:color w:val="auto"/>
                <w:w w:val="91"/>
              </w:rPr>
              <w:t>Three Months Ended</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4"/>
          </w:tcPr>
          <w:p>
            <w:pPr>
              <w:jc w:val="right"/>
              <w:ind w:right="734"/>
              <w:spacing w:after="0"/>
              <w:rPr>
                <w:sz w:val="20"/>
                <w:szCs w:val="20"/>
                <w:color w:val="auto"/>
              </w:rPr>
            </w:pPr>
            <w:r>
              <w:rPr>
                <w:rFonts w:ascii="Arial" w:cs="Arial" w:eastAsia="Arial" w:hAnsi="Arial"/>
                <w:sz w:val="14"/>
                <w:szCs w:val="14"/>
                <w:color w:val="auto"/>
              </w:rPr>
              <w:t>Six Months Ended</w:t>
            </w:r>
          </w:p>
        </w:tc>
      </w:tr>
      <w:tr>
        <w:trPr>
          <w:trHeight w:val="188"/>
        </w:trPr>
        <w:tc>
          <w:tcPr>
            <w:tcW w:w="57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614"/>
              <w:spacing w:after="0"/>
              <w:rPr>
                <w:sz w:val="20"/>
                <w:szCs w:val="20"/>
                <w:color w:val="auto"/>
              </w:rPr>
            </w:pPr>
            <w:r>
              <w:rPr>
                <w:rFonts w:ascii="Arial" w:cs="Arial" w:eastAsia="Arial" w:hAnsi="Arial"/>
                <w:sz w:val="14"/>
                <w:szCs w:val="14"/>
                <w:color w:val="auto"/>
              </w:rPr>
              <w:t>June 30</w:t>
            </w:r>
          </w:p>
        </w:tc>
        <w:tc>
          <w:tcPr>
            <w:tcW w:w="5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color w:val="auto"/>
              </w:rPr>
              <w:t>June 30</w:t>
            </w:r>
          </w:p>
        </w:tc>
        <w:tc>
          <w:tcPr>
            <w:tcW w:w="1000" w:type="dxa"/>
            <w:vAlign w:val="bottom"/>
            <w:tcBorders>
              <w:bottom w:val="single" w:sz="8" w:color="auto"/>
            </w:tcBorders>
          </w:tcPr>
          <w:p>
            <w:pPr>
              <w:spacing w:after="0"/>
              <w:rPr>
                <w:sz w:val="16"/>
                <w:szCs w:val="16"/>
                <w:color w:val="auto"/>
              </w:rPr>
            </w:pP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5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2017</w:t>
            </w:r>
          </w:p>
        </w:tc>
        <w:tc>
          <w:tcPr>
            <w:tcW w:w="1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2016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Transactions with Comcast and Consolidated Subsidiaries</w:t>
            </w: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Revenue</w:t>
            </w: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7"/>
              <w:spacing w:after="0"/>
              <w:rPr>
                <w:sz w:val="20"/>
                <w:szCs w:val="20"/>
                <w:color w:val="auto"/>
              </w:rPr>
            </w:pPr>
            <w:r>
              <w:rPr>
                <w:rFonts w:ascii="Arial" w:cs="Arial" w:eastAsia="Arial" w:hAnsi="Arial"/>
                <w:sz w:val="18"/>
                <w:szCs w:val="18"/>
                <w:color w:val="auto"/>
              </w:rPr>
              <w:t>460</w:t>
            </w:r>
          </w:p>
        </w:tc>
        <w:tc>
          <w:tcPr>
            <w:tcW w:w="940" w:type="dxa"/>
            <w:vAlign w:val="bottom"/>
          </w:tcPr>
          <w:p>
            <w:pPr>
              <w:jc w:val="right"/>
              <w:ind w:right="61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w w:val="99"/>
              </w:rPr>
              <w:t>406</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919</w:t>
            </w:r>
          </w:p>
        </w:tc>
        <w:tc>
          <w:tcPr>
            <w:tcW w:w="180" w:type="dxa"/>
            <w:vAlign w:val="bottom"/>
          </w:tcPr>
          <w:p>
            <w:pPr>
              <w:spacing w:after="0"/>
              <w:rPr>
                <w:sz w:val="23"/>
                <w:szCs w:val="23"/>
                <w:color w:val="auto"/>
              </w:rPr>
            </w:pPr>
          </w:p>
        </w:tc>
        <w:tc>
          <w:tcPr>
            <w:tcW w:w="3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813</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Operating costs and expenses</w:t>
            </w: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57"/>
              <w:spacing w:after="0"/>
              <w:rPr>
                <w:sz w:val="20"/>
                <w:szCs w:val="20"/>
                <w:color w:val="auto"/>
              </w:rPr>
            </w:pPr>
            <w:r>
              <w:rPr>
                <w:rFonts w:ascii="Arial" w:cs="Arial" w:eastAsia="Arial" w:hAnsi="Arial"/>
                <w:sz w:val="18"/>
                <w:szCs w:val="18"/>
                <w:color w:val="auto"/>
              </w:rPr>
              <w:t>(49)</w:t>
            </w:r>
          </w:p>
        </w:tc>
        <w:tc>
          <w:tcPr>
            <w:tcW w:w="940" w:type="dxa"/>
            <w:vAlign w:val="bottom"/>
          </w:tcPr>
          <w:p>
            <w:pPr>
              <w:jc w:val="right"/>
              <w:ind w:right="61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(44)</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23"/>
                <w:szCs w:val="23"/>
                <w:color w:val="auto"/>
              </w:rPr>
            </w:pPr>
          </w:p>
        </w:tc>
        <w:tc>
          <w:tcPr>
            <w:tcW w:w="3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5720" w:type="dxa"/>
            <w:vAlign w:val="bottom"/>
          </w:tcPr>
          <w:p>
            <w:pPr>
              <w:ind w:left="380"/>
              <w:spacing w:after="0"/>
              <w:rPr>
                <w:sz w:val="20"/>
                <w:szCs w:val="20"/>
                <w:color w:val="auto"/>
              </w:rPr>
            </w:pPr>
            <w:r>
              <w:rPr>
                <w:rFonts w:ascii="Arial" w:cs="Arial" w:eastAsia="Arial" w:hAnsi="Arial"/>
                <w:sz w:val="18"/>
                <w:szCs w:val="18"/>
                <w:color w:val="auto"/>
              </w:rPr>
              <w:t>Other income (expense)</w:t>
            </w: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57"/>
              <w:spacing w:after="0"/>
              <w:rPr>
                <w:sz w:val="20"/>
                <w:szCs w:val="20"/>
                <w:color w:val="auto"/>
              </w:rPr>
            </w:pPr>
            <w:r>
              <w:rPr>
                <w:rFonts w:ascii="Arial" w:cs="Arial" w:eastAsia="Arial" w:hAnsi="Arial"/>
                <w:sz w:val="18"/>
                <w:szCs w:val="18"/>
                <w:color w:val="auto"/>
              </w:rPr>
              <w:t>(28)</w:t>
            </w:r>
          </w:p>
        </w:tc>
        <w:tc>
          <w:tcPr>
            <w:tcW w:w="940" w:type="dxa"/>
            <w:vAlign w:val="bottom"/>
          </w:tcPr>
          <w:p>
            <w:pPr>
              <w:jc w:val="right"/>
              <w:ind w:right="614"/>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3"/>
                <w:szCs w:val="23"/>
                <w:color w:val="auto"/>
              </w:rPr>
            </w:pPr>
          </w:p>
        </w:tc>
        <w:tc>
          <w:tcPr>
            <w:tcW w:w="3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Film and Television Costs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60" w:type="dxa"/>
            <w:vAlign w:val="bottom"/>
          </w:tcPr>
          <w:p>
            <w:pPr>
              <w:jc w:val="right"/>
              <w:ind w:right="513"/>
              <w:spacing w:after="0"/>
              <w:rPr>
                <w:sz w:val="20"/>
                <w:szCs w:val="20"/>
                <w:color w:val="auto"/>
              </w:rPr>
            </w:pPr>
            <w:r>
              <w:rPr>
                <w:rFonts w:ascii="Arial" w:cs="Arial" w:eastAsia="Arial" w:hAnsi="Arial"/>
                <w:sz w:val="14"/>
                <w:szCs w:val="14"/>
                <w:color w:val="auto"/>
              </w:rPr>
              <w:t>June 30,</w:t>
            </w:r>
          </w:p>
        </w:tc>
        <w:tc>
          <w:tcPr>
            <w:tcW w:w="360" w:type="dxa"/>
            <w:vAlign w:val="bottom"/>
          </w:tcPr>
          <w:p>
            <w:pPr>
              <w:spacing w:after="0"/>
              <w:rPr>
                <w:sz w:val="14"/>
                <w:szCs w:val="14"/>
                <w:color w:val="auto"/>
              </w:rPr>
            </w:pPr>
          </w:p>
        </w:tc>
        <w:tc>
          <w:tcPr>
            <w:tcW w:w="1260" w:type="dxa"/>
            <w:vAlign w:val="bottom"/>
          </w:tcPr>
          <w:p>
            <w:pPr>
              <w:jc w:val="right"/>
              <w:ind w:right="273"/>
              <w:spacing w:after="0"/>
              <w:rPr>
                <w:sz w:val="20"/>
                <w:szCs w:val="20"/>
                <w:color w:val="auto"/>
              </w:rPr>
            </w:pPr>
            <w:r>
              <w:rPr>
                <w:rFonts w:ascii="Arial" w:cs="Arial" w:eastAsia="Arial" w:hAnsi="Arial"/>
                <w:sz w:val="14"/>
                <w:szCs w:val="14"/>
                <w:color w:val="auto"/>
              </w:rPr>
              <w:t>December 31,</w:t>
            </w:r>
          </w:p>
        </w:tc>
      </w:tr>
      <w:tr>
        <w:trPr>
          <w:trHeight w:val="188"/>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4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2017</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2016</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Film Costs:</w:t>
            </w:r>
          </w:p>
        </w:tc>
        <w:tc>
          <w:tcPr>
            <w:tcW w:w="4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444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4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1,949</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1,750</w:t>
            </w:r>
          </w:p>
        </w:tc>
      </w:tr>
      <w:tr>
        <w:trPr>
          <w:trHeight w:val="270"/>
        </w:trPr>
        <w:tc>
          <w:tcPr>
            <w:tcW w:w="4440" w:type="dxa"/>
            <w:vAlign w:val="bottom"/>
          </w:tcPr>
          <w:p>
            <w:pPr>
              <w:ind w:left="380"/>
              <w:spacing w:after="0"/>
              <w:rPr>
                <w:sz w:val="20"/>
                <w:szCs w:val="20"/>
                <w:color w:val="auto"/>
              </w:rPr>
            </w:pPr>
            <w:r>
              <w:rPr>
                <w:rFonts w:ascii="Arial" w:cs="Arial" w:eastAsia="Arial" w:hAnsi="Arial"/>
                <w:sz w:val="18"/>
                <w:szCs w:val="18"/>
                <w:color w:val="auto"/>
              </w:rPr>
              <w:t>Completed, not released</w:t>
            </w:r>
          </w:p>
        </w:tc>
        <w:tc>
          <w:tcPr>
            <w:tcW w:w="410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93</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50</w:t>
            </w:r>
          </w:p>
        </w:tc>
      </w:tr>
      <w:tr>
        <w:trPr>
          <w:trHeight w:val="270"/>
        </w:trPr>
        <w:tc>
          <w:tcPr>
            <w:tcW w:w="444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410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813</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1,310</w:t>
            </w:r>
          </w:p>
        </w:tc>
      </w:tr>
      <w:tr>
        <w:trPr>
          <w:trHeight w:val="27"/>
        </w:trPr>
        <w:tc>
          <w:tcPr>
            <w:tcW w:w="4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2,855</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3,110</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Television Costs:</w:t>
            </w:r>
          </w:p>
        </w:tc>
        <w:tc>
          <w:tcPr>
            <w:tcW w:w="4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4440" w:type="dxa"/>
            <w:vAlign w:val="bottom"/>
          </w:tcPr>
          <w:p>
            <w:pPr>
              <w:ind w:left="380"/>
              <w:spacing w:after="0"/>
              <w:rPr>
                <w:sz w:val="20"/>
                <w:szCs w:val="20"/>
                <w:color w:val="auto"/>
              </w:rPr>
            </w:pPr>
            <w:r>
              <w:rPr>
                <w:rFonts w:ascii="Arial" w:cs="Arial" w:eastAsia="Arial" w:hAnsi="Arial"/>
                <w:sz w:val="18"/>
                <w:szCs w:val="18"/>
                <w:color w:val="auto"/>
              </w:rPr>
              <w:t>Released, less amortization</w:t>
            </w:r>
          </w:p>
        </w:tc>
        <w:tc>
          <w:tcPr>
            <w:tcW w:w="410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1,888</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1,953</w:t>
            </w:r>
          </w:p>
        </w:tc>
      </w:tr>
      <w:tr>
        <w:trPr>
          <w:trHeight w:val="270"/>
        </w:trPr>
        <w:tc>
          <w:tcPr>
            <w:tcW w:w="4440" w:type="dxa"/>
            <w:vAlign w:val="bottom"/>
          </w:tcPr>
          <w:p>
            <w:pPr>
              <w:ind w:left="380"/>
              <w:spacing w:after="0"/>
              <w:rPr>
                <w:sz w:val="20"/>
                <w:szCs w:val="20"/>
                <w:color w:val="auto"/>
              </w:rPr>
            </w:pPr>
            <w:r>
              <w:rPr>
                <w:rFonts w:ascii="Arial" w:cs="Arial" w:eastAsia="Arial" w:hAnsi="Arial"/>
                <w:sz w:val="18"/>
                <w:szCs w:val="18"/>
                <w:color w:val="auto"/>
              </w:rPr>
              <w:t>In production and in development</w:t>
            </w:r>
          </w:p>
        </w:tc>
        <w:tc>
          <w:tcPr>
            <w:tcW w:w="410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751</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853</w:t>
            </w:r>
          </w:p>
        </w:tc>
      </w:tr>
      <w:tr>
        <w:trPr>
          <w:trHeight w:val="27"/>
        </w:trPr>
        <w:tc>
          <w:tcPr>
            <w:tcW w:w="4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2,639</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2,806</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Programming rights, less amortization</w:t>
            </w:r>
          </w:p>
        </w:tc>
        <w:tc>
          <w:tcPr>
            <w:tcW w:w="410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2,721</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2,570</w:t>
            </w:r>
          </w:p>
        </w:tc>
      </w:tr>
      <w:tr>
        <w:trPr>
          <w:trHeight w:val="27"/>
        </w:trPr>
        <w:tc>
          <w:tcPr>
            <w:tcW w:w="4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8,215</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8,486</w:t>
            </w:r>
          </w:p>
        </w:tc>
      </w:tr>
      <w:tr>
        <w:trPr>
          <w:trHeight w:val="270"/>
        </w:trPr>
        <w:tc>
          <w:tcPr>
            <w:tcW w:w="4440" w:type="dxa"/>
            <w:vAlign w:val="bottom"/>
          </w:tcPr>
          <w:p>
            <w:pPr>
              <w:ind w:left="40"/>
              <w:spacing w:after="0"/>
              <w:rPr>
                <w:sz w:val="20"/>
                <w:szCs w:val="20"/>
                <w:color w:val="auto"/>
              </w:rPr>
            </w:pPr>
            <w:r>
              <w:rPr>
                <w:rFonts w:ascii="Arial" w:cs="Arial" w:eastAsia="Arial" w:hAnsi="Arial"/>
                <w:sz w:val="18"/>
                <w:szCs w:val="18"/>
                <w:color w:val="auto"/>
              </w:rPr>
              <w:t>Less: Current portion of programming rights</w:t>
            </w:r>
          </w:p>
        </w:tc>
        <w:tc>
          <w:tcPr>
            <w:tcW w:w="410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1,625</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1,241</w:t>
            </w:r>
          </w:p>
        </w:tc>
      </w:tr>
      <w:tr>
        <w:trPr>
          <w:trHeight w:val="27"/>
        </w:trPr>
        <w:tc>
          <w:tcPr>
            <w:tcW w:w="4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Film and television costs</w:t>
            </w:r>
          </w:p>
        </w:tc>
        <w:tc>
          <w:tcPr>
            <w:tcW w:w="41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93"/>
              <w:spacing w:after="0"/>
              <w:rPr>
                <w:sz w:val="20"/>
                <w:szCs w:val="20"/>
                <w:color w:val="auto"/>
              </w:rPr>
            </w:pPr>
            <w:r>
              <w:rPr>
                <w:rFonts w:ascii="Arial" w:cs="Arial" w:eastAsia="Arial" w:hAnsi="Arial"/>
                <w:sz w:val="18"/>
                <w:szCs w:val="18"/>
                <w:b w:val="1"/>
                <w:bCs w:val="1"/>
                <w:color w:val="auto"/>
              </w:rPr>
              <w:t>6,590</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b w:val="1"/>
                <w:bCs w:val="1"/>
                <w:color w:val="auto"/>
              </w:rPr>
              <w:t>7,245</w:t>
            </w:r>
          </w:p>
        </w:tc>
      </w:tr>
      <w:tr>
        <w:trPr>
          <w:trHeight w:val="34"/>
        </w:trPr>
        <w:tc>
          <w:tcPr>
            <w:tcW w:w="4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513"/>
        </w:trPr>
        <w:tc>
          <w:tcPr>
            <w:tcW w:w="4440" w:type="dxa"/>
            <w:vAlign w:val="bottom"/>
          </w:tcPr>
          <w:p>
            <w:pPr>
              <w:spacing w:after="0"/>
              <w:rPr>
                <w:sz w:val="24"/>
                <w:szCs w:val="24"/>
                <w:color w:val="auto"/>
              </w:rPr>
            </w:pPr>
          </w:p>
        </w:tc>
        <w:tc>
          <w:tcPr>
            <w:tcW w:w="4100" w:type="dxa"/>
            <w:vAlign w:val="bottom"/>
          </w:tcPr>
          <w:p>
            <w:pPr>
              <w:jc w:val="right"/>
              <w:ind w:right="2650"/>
              <w:spacing w:after="0"/>
              <w:rPr>
                <w:sz w:val="20"/>
                <w:szCs w:val="20"/>
                <w:color w:val="auto"/>
              </w:rPr>
            </w:pPr>
            <w:r>
              <w:rPr>
                <w:rFonts w:ascii="Arial" w:cs="Arial" w:eastAsia="Arial" w:hAnsi="Arial"/>
                <w:sz w:val="18"/>
                <w:szCs w:val="18"/>
                <w:color w:val="auto"/>
              </w:rPr>
              <w:t>51</w:t>
            </w: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Investments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60" w:type="dxa"/>
            <w:vAlign w:val="bottom"/>
          </w:tcPr>
          <w:p>
            <w:pPr>
              <w:jc w:val="right"/>
              <w:ind w:right="513"/>
              <w:spacing w:after="0"/>
              <w:rPr>
                <w:sz w:val="20"/>
                <w:szCs w:val="20"/>
                <w:color w:val="auto"/>
              </w:rPr>
            </w:pPr>
            <w:r>
              <w:rPr>
                <w:rFonts w:ascii="Arial" w:cs="Arial" w:eastAsia="Arial" w:hAnsi="Arial"/>
                <w:sz w:val="14"/>
                <w:szCs w:val="14"/>
                <w:color w:val="auto"/>
              </w:rPr>
              <w:t>June 30,</w:t>
            </w:r>
          </w:p>
        </w:tc>
        <w:tc>
          <w:tcPr>
            <w:tcW w:w="360" w:type="dxa"/>
            <w:vAlign w:val="bottom"/>
          </w:tcPr>
          <w:p>
            <w:pPr>
              <w:spacing w:after="0"/>
              <w:rPr>
                <w:sz w:val="14"/>
                <w:szCs w:val="14"/>
                <w:color w:val="auto"/>
              </w:rPr>
            </w:pPr>
          </w:p>
        </w:tc>
        <w:tc>
          <w:tcPr>
            <w:tcW w:w="1260" w:type="dxa"/>
            <w:vAlign w:val="bottom"/>
          </w:tcPr>
          <w:p>
            <w:pPr>
              <w:jc w:val="right"/>
              <w:ind w:right="273"/>
              <w:spacing w:after="0"/>
              <w:rPr>
                <w:sz w:val="20"/>
                <w:szCs w:val="20"/>
                <w:color w:val="auto"/>
              </w:rPr>
            </w:pPr>
            <w:r>
              <w:rPr>
                <w:rFonts w:ascii="Arial" w:cs="Arial" w:eastAsia="Arial" w:hAnsi="Arial"/>
                <w:sz w:val="14"/>
                <w:szCs w:val="14"/>
                <w:color w:val="auto"/>
              </w:rPr>
              <w:t>December 31,</w:t>
            </w:r>
          </w:p>
        </w:tc>
      </w:tr>
      <w:tr>
        <w:trPr>
          <w:trHeight w:val="188"/>
        </w:trPr>
        <w:tc>
          <w:tcPr>
            <w:tcW w:w="5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4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2017</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2016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Fair Value Method:</w:t>
            </w:r>
          </w:p>
        </w:tc>
        <w:tc>
          <w:tcPr>
            <w:tcW w:w="3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5080" w:type="dxa"/>
            <w:vAlign w:val="bottom"/>
          </w:tcPr>
          <w:p>
            <w:pPr>
              <w:ind w:left="380"/>
              <w:spacing w:after="0"/>
              <w:rPr>
                <w:sz w:val="20"/>
                <w:szCs w:val="20"/>
                <w:color w:val="auto"/>
              </w:rPr>
            </w:pPr>
            <w:r>
              <w:rPr>
                <w:rFonts w:ascii="Arial" w:cs="Arial" w:eastAsia="Arial" w:hAnsi="Arial"/>
                <w:sz w:val="18"/>
                <w:szCs w:val="18"/>
                <w:color w:val="auto"/>
              </w:rPr>
              <w:t>Snap</w:t>
            </w:r>
          </w:p>
        </w:tc>
        <w:tc>
          <w:tcPr>
            <w:tcW w:w="34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522</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5080" w:type="dxa"/>
            <w:vAlign w:val="bottom"/>
          </w:tcPr>
          <w:p>
            <w:pPr>
              <w:ind w:left="380"/>
              <w:spacing w:after="0"/>
              <w:rPr>
                <w:sz w:val="20"/>
                <w:szCs w:val="20"/>
                <w:color w:val="auto"/>
              </w:rPr>
            </w:pPr>
            <w:r>
              <w:rPr>
                <w:rFonts w:ascii="Arial" w:cs="Arial" w:eastAsia="Arial" w:hAnsi="Arial"/>
                <w:sz w:val="18"/>
                <w:szCs w:val="18"/>
                <w:color w:val="auto"/>
              </w:rPr>
              <w:t>Other</w:t>
            </w:r>
          </w:p>
        </w:tc>
        <w:tc>
          <w:tcPr>
            <w:tcW w:w="346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
        </w:trPr>
        <w:tc>
          <w:tcPr>
            <w:tcW w:w="50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525</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34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5080" w:type="dxa"/>
            <w:vAlign w:val="bottom"/>
          </w:tcPr>
          <w:p>
            <w:pPr>
              <w:ind w:left="380"/>
              <w:spacing w:after="0"/>
              <w:rPr>
                <w:sz w:val="20"/>
                <w:szCs w:val="20"/>
                <w:color w:val="auto"/>
              </w:rPr>
            </w:pPr>
            <w:r>
              <w:rPr>
                <w:rFonts w:ascii="Arial" w:cs="Arial" w:eastAsia="Arial" w:hAnsi="Arial"/>
                <w:sz w:val="18"/>
                <w:szCs w:val="18"/>
                <w:color w:val="auto"/>
              </w:rPr>
              <w:t>Hulu</w:t>
            </w:r>
          </w:p>
        </w:tc>
        <w:tc>
          <w:tcPr>
            <w:tcW w:w="346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218</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225</w:t>
            </w:r>
          </w:p>
        </w:tc>
      </w:tr>
      <w:tr>
        <w:trPr>
          <w:trHeight w:val="270"/>
        </w:trPr>
        <w:tc>
          <w:tcPr>
            <w:tcW w:w="5080" w:type="dxa"/>
            <w:vAlign w:val="bottom"/>
          </w:tcPr>
          <w:p>
            <w:pPr>
              <w:ind w:left="380"/>
              <w:spacing w:after="0"/>
              <w:rPr>
                <w:sz w:val="20"/>
                <w:szCs w:val="20"/>
                <w:color w:val="auto"/>
              </w:rPr>
            </w:pPr>
            <w:r>
              <w:rPr>
                <w:rFonts w:ascii="Arial" w:cs="Arial" w:eastAsia="Arial" w:hAnsi="Arial"/>
                <w:sz w:val="18"/>
                <w:szCs w:val="18"/>
                <w:color w:val="auto"/>
              </w:rPr>
              <w:t>Other</w:t>
            </w:r>
          </w:p>
        </w:tc>
        <w:tc>
          <w:tcPr>
            <w:tcW w:w="346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415</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336</w:t>
            </w:r>
          </w:p>
        </w:tc>
      </w:tr>
      <w:tr>
        <w:trPr>
          <w:trHeight w:val="27"/>
        </w:trPr>
        <w:tc>
          <w:tcPr>
            <w:tcW w:w="50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633</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561</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Cost Method:</w:t>
            </w:r>
          </w:p>
        </w:tc>
        <w:tc>
          <w:tcPr>
            <w:tcW w:w="34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5080" w:type="dxa"/>
            <w:vAlign w:val="bottom"/>
          </w:tcPr>
          <w:p>
            <w:pPr>
              <w:ind w:left="380"/>
              <w:spacing w:after="0"/>
              <w:rPr>
                <w:sz w:val="20"/>
                <w:szCs w:val="20"/>
                <w:color w:val="auto"/>
              </w:rPr>
            </w:pPr>
            <w:r>
              <w:rPr>
                <w:rFonts w:ascii="Arial" w:cs="Arial" w:eastAsia="Arial" w:hAnsi="Arial"/>
                <w:sz w:val="18"/>
                <w:szCs w:val="18"/>
                <w:color w:val="auto"/>
              </w:rPr>
              <w:t>BuzzFeed</w:t>
            </w:r>
          </w:p>
        </w:tc>
        <w:tc>
          <w:tcPr>
            <w:tcW w:w="346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400</w:t>
            </w:r>
          </w:p>
        </w:tc>
      </w:tr>
      <w:tr>
        <w:trPr>
          <w:trHeight w:val="270"/>
        </w:trPr>
        <w:tc>
          <w:tcPr>
            <w:tcW w:w="5080" w:type="dxa"/>
            <w:vAlign w:val="bottom"/>
          </w:tcPr>
          <w:p>
            <w:pPr>
              <w:ind w:left="380"/>
              <w:spacing w:after="0"/>
              <w:rPr>
                <w:sz w:val="20"/>
                <w:szCs w:val="20"/>
                <w:color w:val="auto"/>
              </w:rPr>
            </w:pPr>
            <w:r>
              <w:rPr>
                <w:rFonts w:ascii="Arial" w:cs="Arial" w:eastAsia="Arial" w:hAnsi="Arial"/>
                <w:sz w:val="18"/>
                <w:szCs w:val="18"/>
                <w:color w:val="auto"/>
              </w:rPr>
              <w:t>Other</w:t>
            </w:r>
          </w:p>
        </w:tc>
        <w:tc>
          <w:tcPr>
            <w:tcW w:w="346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351</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296</w:t>
            </w:r>
          </w:p>
        </w:tc>
      </w:tr>
      <w:tr>
        <w:trPr>
          <w:trHeight w:val="27"/>
        </w:trPr>
        <w:tc>
          <w:tcPr>
            <w:tcW w:w="50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751</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696</w:t>
            </w:r>
          </w:p>
        </w:tc>
      </w:tr>
      <w:tr>
        <w:trPr>
          <w:trHeight w:val="27"/>
        </w:trPr>
        <w:tc>
          <w:tcPr>
            <w:tcW w:w="50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460" w:type="dxa"/>
            <w:vAlign w:val="bottom"/>
          </w:tcPr>
          <w:p>
            <w:pPr>
              <w:spacing w:after="0"/>
              <w:rPr>
                <w:sz w:val="20"/>
                <w:szCs w:val="20"/>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1,909</w:t>
            </w:r>
          </w:p>
        </w:tc>
        <w:tc>
          <w:tcPr>
            <w:tcW w:w="3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1,263</w:t>
            </w:r>
          </w:p>
        </w:tc>
      </w:tr>
      <w:tr>
        <w:trPr>
          <w:trHeight w:val="270"/>
        </w:trPr>
        <w:tc>
          <w:tcPr>
            <w:tcW w:w="5080" w:type="dxa"/>
            <w:vAlign w:val="bottom"/>
          </w:tcPr>
          <w:p>
            <w:pPr>
              <w:ind w:left="40"/>
              <w:spacing w:after="0"/>
              <w:rPr>
                <w:sz w:val="20"/>
                <w:szCs w:val="20"/>
                <w:color w:val="auto"/>
              </w:rPr>
            </w:pPr>
            <w:r>
              <w:rPr>
                <w:rFonts w:ascii="Arial" w:cs="Arial" w:eastAsia="Arial" w:hAnsi="Arial"/>
                <w:sz w:val="18"/>
                <w:szCs w:val="18"/>
                <w:color w:val="auto"/>
              </w:rPr>
              <w:t>Less: Current investments</w:t>
            </w:r>
          </w:p>
        </w:tc>
        <w:tc>
          <w:tcPr>
            <w:tcW w:w="3460" w:type="dxa"/>
            <w:vAlign w:val="bottom"/>
          </w:tcPr>
          <w:p>
            <w:pPr>
              <w:spacing w:after="0"/>
              <w:rPr>
                <w:sz w:val="23"/>
                <w:szCs w:val="23"/>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3"/>
                <w:szCs w:val="23"/>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r>
      <w:tr>
        <w:trPr>
          <w:trHeight w:val="27"/>
        </w:trPr>
        <w:tc>
          <w:tcPr>
            <w:tcW w:w="50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Noncurrent investments</w:t>
            </w:r>
          </w:p>
        </w:tc>
        <w:tc>
          <w:tcPr>
            <w:tcW w:w="34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93"/>
              <w:spacing w:after="0"/>
              <w:rPr>
                <w:sz w:val="20"/>
                <w:szCs w:val="20"/>
                <w:color w:val="auto"/>
              </w:rPr>
            </w:pPr>
            <w:r>
              <w:rPr>
                <w:rFonts w:ascii="Arial" w:cs="Arial" w:eastAsia="Arial" w:hAnsi="Arial"/>
                <w:sz w:val="18"/>
                <w:szCs w:val="18"/>
                <w:b w:val="1"/>
                <w:bCs w:val="1"/>
                <w:color w:val="auto"/>
              </w:rPr>
              <w:t>1,890</w:t>
            </w: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3"/>
              <w:spacing w:after="0"/>
              <w:rPr>
                <w:sz w:val="20"/>
                <w:szCs w:val="20"/>
                <w:color w:val="auto"/>
              </w:rPr>
            </w:pPr>
            <w:r>
              <w:rPr>
                <w:rFonts w:ascii="Arial" w:cs="Arial" w:eastAsia="Arial" w:hAnsi="Arial"/>
                <w:sz w:val="18"/>
                <w:szCs w:val="18"/>
                <w:b w:val="1"/>
                <w:bCs w:val="1"/>
                <w:color w:val="auto"/>
              </w:rPr>
              <w:t>1,263</w:t>
            </w:r>
          </w:p>
        </w:tc>
      </w:tr>
      <w:tr>
        <w:trPr>
          <w:trHeight w:val="34"/>
        </w:trPr>
        <w:tc>
          <w:tcPr>
            <w:tcW w:w="508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Snap</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March 2017, Comcast acquired an interest in Snap Inc. as part of its initial public offering. On March 31, 2017, Comcast contributed its investment in Snap to us as an equity contribution of $662 million, which was recorded in our condensed consolidated statement of equity based on the fair value of the investment as of March 31, 2017. We have classified our investment as an available-for-sale security. Snap is a camera company whose primary product is Snapchat, a camera app that was created to help people communicate through short videos and images.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Weather Channel</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2016, following a legal restructuring at The Weather Channel, we and the other investors sold the entity holding The Weather Channel’s product and technology businesses to IBM. Following the close of the transaction, we continue to hold an investment in The Weather Channel cable network through a new holding company. As a result of the sale of our investment, we recognized a pretax gain of $108 million in other income (expense), net for the six months ended June 30, 2016.</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Long-Term Debt</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2017, our debt, excluding the note payable to Comcast, had a carrying value of $12.3 billion and an estimated fair value of $13.5 billion. The estimated fair value of our publicly traded debt was primarily based on Level 1 inputs that use quoted market values for the debt. The estimated fair value of debt for which there are no quoted market prices was based on Level 2 inputs that use interest rates available to us for debt with similar terms and remaining maturities.</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2017, Universal Studios Japan entered into a new ¥450 billion ($3.9 billion at issuance) term loan with a final maturity of March 2022. We used the proceeds from this borrowing to repay in full $3.3 billion of Universal Studios Japan’s existing yen-denominated term loans and a portion of amounts outstanding under our revolving credit agreement with Comcast.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Cross-Guarantee Structure</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Comcast and a 100% owned cable holding company subsidiary of Comcast (“CCCL Parent”) have fully and unconditionally guaranteed each other’s debt securities, including the $7 billion Comcast revolving credit facility due 2021. As of June 30, 2017, outstanding debt securities of $46.1 billion of Comcast and CCCL Parent were subject to the guarantee structure.</w:t>
      </w:r>
    </w:p>
    <w:p>
      <w:pPr>
        <w:spacing w:after="0" w:line="3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We do not, however, guarantee the obligations of NBCUniversal Enterprise with respect to its $4.8 billion aggregate principal amount of senior notes, $1.5 billion revolving credit facility, commercial paper program, or $725 million liquidation preference of Series A cumulative preferred stock.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Universal Studios Japan term loan is not subject to the cross-guarantee structure, however it has a separate guarantee from Comcast.</w:t>
      </w:r>
    </w:p>
    <w:p>
      <w:pPr>
        <w:sectPr>
          <w:pgSz w:w="11900" w:h="16838" w:orient="portrait"/>
          <w:cols w:equalWidth="0" w:num="1">
            <w:col w:w="11420"/>
          </w:cols>
          <w:pgMar w:left="240" w:top="121"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1"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Share-Based Compensation</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Comcast maintains share-based compensation plans that consist primarily of awards of restricted share units and stock options to certain employees and directors as part of its approach to long-term incentive compensation. Additionally, through its employee stock purchase plans, employees are able to purchase shares of Comcast common stock at a discount through payroll deductions. Certain of our employees participate in these plans and the expense associated with their participation is settled in cash with Comcast.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w w:val="88"/>
              </w:rPr>
              <w:t>June 30</w:t>
            </w: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w w:val="88"/>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color w:val="auto"/>
              </w:rPr>
              <w:t>2017</w:t>
            </w:r>
          </w:p>
        </w:tc>
        <w:tc>
          <w:tcPr>
            <w:tcW w:w="9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color w:val="auto"/>
              </w:rPr>
              <w:t>2016</w:t>
            </w: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2017</w:t>
            </w:r>
          </w:p>
        </w:tc>
        <w:tc>
          <w:tcPr>
            <w:tcW w:w="8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Restricted share units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90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27</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w:t>
            </w:r>
          </w:p>
        </w:tc>
        <w:tc>
          <w:tcPr>
            <w:tcW w:w="84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45</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900" w:type="dxa"/>
            <w:vAlign w:val="bottom"/>
          </w:tcPr>
          <w:p>
            <w:pPr>
              <w:spacing w:after="0"/>
              <w:rPr>
                <w:sz w:val="23"/>
                <w:szCs w:val="23"/>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84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Employee stock purchase plans</w:t>
            </w:r>
          </w:p>
        </w:tc>
        <w:tc>
          <w:tcPr>
            <w:tcW w:w="3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23"/>
                <w:szCs w:val="23"/>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84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900" w:type="dxa"/>
            <w:vAlign w:val="bottom"/>
          </w:tcPr>
          <w:p>
            <w:pPr>
              <w:jc w:val="right"/>
              <w:ind w:right="356"/>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94"/>
              <w:spacing w:after="0"/>
              <w:rPr>
                <w:sz w:val="20"/>
                <w:szCs w:val="20"/>
                <w:color w:val="auto"/>
              </w:rPr>
            </w:pPr>
            <w:r>
              <w:rPr>
                <w:rFonts w:ascii="Arial" w:cs="Arial" w:eastAsia="Arial" w:hAnsi="Arial"/>
                <w:sz w:val="18"/>
                <w:szCs w:val="18"/>
                <w:b w:val="1"/>
                <w:bCs w:val="1"/>
                <w:color w:val="auto"/>
              </w:rPr>
              <w:t>31</w:t>
            </w:r>
          </w:p>
        </w:tc>
        <w:tc>
          <w:tcPr>
            <w:tcW w:w="5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840" w:type="dxa"/>
            <w:vAlign w:val="bottom"/>
          </w:tcPr>
          <w:p>
            <w:pPr>
              <w:jc w:val="right"/>
              <w:ind w:right="316"/>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b w:val="1"/>
                <w:bCs w:val="1"/>
                <w:color w:val="auto"/>
              </w:rPr>
              <w:t>54</w:t>
            </w:r>
          </w:p>
        </w:tc>
      </w:tr>
      <w:tr>
        <w:trPr>
          <w:trHeight w:val="34"/>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Supplemental Financial Information</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980" w:type="dxa"/>
            <w:vAlign w:val="bottom"/>
          </w:tcPr>
          <w:p>
            <w:pPr>
              <w:jc w:val="center"/>
              <w:ind w:left="378"/>
              <w:spacing w:after="0"/>
              <w:rPr>
                <w:sz w:val="20"/>
                <w:szCs w:val="20"/>
                <w:color w:val="auto"/>
              </w:rPr>
            </w:pPr>
            <w:r>
              <w:rPr>
                <w:rFonts w:ascii="Arial" w:cs="Arial" w:eastAsia="Arial" w:hAnsi="Arial"/>
                <w:sz w:val="14"/>
                <w:szCs w:val="14"/>
                <w:color w:val="auto"/>
                <w:w w:val="89"/>
              </w:rPr>
              <w:t>June 30,</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color w:val="auto"/>
                <w:w w:val="90"/>
              </w:rPr>
              <w:t>December 31,</w:t>
            </w:r>
          </w:p>
        </w:tc>
      </w:tr>
      <w:tr>
        <w:trPr>
          <w:trHeight w:val="188"/>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tcPr>
          <w:p>
            <w:pPr>
              <w:jc w:val="center"/>
              <w:ind w:left="418"/>
              <w:spacing w:after="0"/>
              <w:rPr>
                <w:sz w:val="20"/>
                <w:szCs w:val="20"/>
                <w:color w:val="auto"/>
              </w:rPr>
            </w:pPr>
            <w:r>
              <w:rPr>
                <w:rFonts w:ascii="Arial" w:cs="Arial" w:eastAsia="Arial" w:hAnsi="Arial"/>
                <w:sz w:val="14"/>
                <w:szCs w:val="14"/>
                <w:color w:val="auto"/>
                <w:w w:val="89"/>
              </w:rPr>
              <w:t>2017</w:t>
            </w:r>
          </w:p>
        </w:tc>
        <w:tc>
          <w:tcPr>
            <w:tcW w:w="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89"/>
              </w:rPr>
              <w:t>2016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Receivables, gross</w:t>
            </w:r>
          </w:p>
        </w:tc>
        <w:tc>
          <w:tcPr>
            <w:tcW w:w="980" w:type="dxa"/>
            <w:vAlign w:val="bottom"/>
          </w:tcPr>
          <w:p>
            <w:pPr>
              <w:jc w:val="right"/>
              <w:ind w:right="798"/>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6,738</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6,799</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Less: Allowance for returns and customer incentives</w:t>
            </w:r>
          </w:p>
        </w:tc>
        <w:tc>
          <w:tcPr>
            <w:tcW w:w="980" w:type="dxa"/>
            <w:vAlign w:val="bottom"/>
          </w:tcPr>
          <w:p>
            <w:pPr>
              <w:spacing w:after="0"/>
              <w:rPr>
                <w:sz w:val="23"/>
                <w:szCs w:val="23"/>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341</w:t>
            </w:r>
          </w:p>
        </w:tc>
        <w:tc>
          <w:tcPr>
            <w:tcW w:w="3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413</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980" w:type="dxa"/>
            <w:vAlign w:val="bottom"/>
          </w:tcPr>
          <w:p>
            <w:pPr>
              <w:spacing w:after="0"/>
              <w:rPr>
                <w:sz w:val="23"/>
                <w:szCs w:val="23"/>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84</w:t>
            </w:r>
          </w:p>
        </w:tc>
      </w:tr>
      <w:tr>
        <w:trPr>
          <w:trHeight w:val="27"/>
        </w:trPr>
        <w:tc>
          <w:tcPr>
            <w:tcW w:w="8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Receivables, net</w:t>
            </w:r>
          </w:p>
        </w:tc>
        <w:tc>
          <w:tcPr>
            <w:tcW w:w="980" w:type="dxa"/>
            <w:vAlign w:val="bottom"/>
          </w:tcPr>
          <w:p>
            <w:pPr>
              <w:jc w:val="right"/>
              <w:ind w:right="798"/>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112"/>
              <w:spacing w:after="0"/>
              <w:rPr>
                <w:sz w:val="20"/>
                <w:szCs w:val="20"/>
                <w:color w:val="auto"/>
              </w:rPr>
            </w:pPr>
            <w:r>
              <w:rPr>
                <w:rFonts w:ascii="Arial" w:cs="Arial" w:eastAsia="Arial" w:hAnsi="Arial"/>
                <w:sz w:val="18"/>
                <w:szCs w:val="18"/>
                <w:b w:val="1"/>
                <w:bCs w:val="1"/>
                <w:color w:val="auto"/>
                <w:w w:val="84"/>
              </w:rPr>
              <w:t>6,319</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b w:val="1"/>
                <w:bCs w:val="1"/>
                <w:color w:val="auto"/>
              </w:rPr>
              <w:t>6,302</w:t>
            </w:r>
          </w:p>
        </w:tc>
      </w:tr>
      <w:tr>
        <w:trPr>
          <w:trHeight w:val="34"/>
        </w:trPr>
        <w:tc>
          <w:tcPr>
            <w:tcW w:w="8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4"/>
        </w:trPr>
        <w:tc>
          <w:tcPr>
            <w:tcW w:w="8240" w:type="dxa"/>
            <w:vAlign w:val="bottom"/>
          </w:tcPr>
          <w:p>
            <w:pPr>
              <w:ind w:left="3540"/>
              <w:spacing w:after="0"/>
              <w:rPr>
                <w:sz w:val="20"/>
                <w:szCs w:val="20"/>
                <w:color w:val="auto"/>
              </w:rPr>
            </w:pPr>
            <w:r>
              <w:rPr>
                <w:rFonts w:ascii="Arial" w:cs="Arial" w:eastAsia="Arial" w:hAnsi="Arial"/>
                <w:sz w:val="18"/>
                <w:szCs w:val="18"/>
                <w:b w:val="1"/>
                <w:bCs w:val="1"/>
                <w:color w:val="auto"/>
              </w:rPr>
              <w:t>Accumulated Other Comprehensive Income (Loss)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2"/>
        </w:trPr>
        <w:tc>
          <w:tcPr>
            <w:tcW w:w="8240" w:type="dxa"/>
            <w:vAlign w:val="bottom"/>
          </w:tcPr>
          <w:p>
            <w:pPr>
              <w:spacing w:after="0"/>
              <w:rPr>
                <w:sz w:val="24"/>
                <w:szCs w:val="24"/>
                <w:color w:val="auto"/>
              </w:rPr>
            </w:pPr>
          </w:p>
        </w:tc>
        <w:tc>
          <w:tcPr>
            <w:tcW w:w="980" w:type="dxa"/>
            <w:vAlign w:val="bottom"/>
          </w:tcPr>
          <w:p>
            <w:pPr>
              <w:jc w:val="center"/>
              <w:ind w:left="378"/>
              <w:spacing w:after="0"/>
              <w:rPr>
                <w:sz w:val="20"/>
                <w:szCs w:val="20"/>
                <w:color w:val="auto"/>
              </w:rPr>
            </w:pPr>
            <w:r>
              <w:rPr>
                <w:rFonts w:ascii="Arial" w:cs="Arial" w:eastAsia="Arial" w:hAnsi="Arial"/>
                <w:sz w:val="14"/>
                <w:szCs w:val="14"/>
                <w:color w:val="auto"/>
                <w:w w:val="89"/>
              </w:rPr>
              <w:t>June 30,</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color w:val="auto"/>
                <w:w w:val="89"/>
              </w:rPr>
              <w:t>June 30,</w:t>
            </w:r>
          </w:p>
        </w:tc>
      </w:tr>
      <w:tr>
        <w:trPr>
          <w:trHeight w:val="188"/>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tcPr>
          <w:p>
            <w:pPr>
              <w:jc w:val="center"/>
              <w:ind w:left="418"/>
              <w:spacing w:after="0"/>
              <w:rPr>
                <w:sz w:val="20"/>
                <w:szCs w:val="20"/>
                <w:color w:val="auto"/>
              </w:rPr>
            </w:pPr>
            <w:r>
              <w:rPr>
                <w:rFonts w:ascii="Arial" w:cs="Arial" w:eastAsia="Arial" w:hAnsi="Arial"/>
                <w:sz w:val="14"/>
                <w:szCs w:val="14"/>
                <w:color w:val="auto"/>
                <w:w w:val="89"/>
              </w:rPr>
              <w:t>2017</w:t>
            </w:r>
          </w:p>
        </w:tc>
        <w:tc>
          <w:tcPr>
            <w:tcW w:w="6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89"/>
              </w:rPr>
              <w:t>2016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Unrealized gains (losses) on marketable securities</w:t>
            </w:r>
          </w:p>
        </w:tc>
        <w:tc>
          <w:tcPr>
            <w:tcW w:w="980" w:type="dxa"/>
            <w:vAlign w:val="bottom"/>
          </w:tcPr>
          <w:p>
            <w:pPr>
              <w:jc w:val="right"/>
              <w:ind w:right="798"/>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(139)</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Deferred gains (losses) on cash flow hedges</w:t>
            </w:r>
          </w:p>
        </w:tc>
        <w:tc>
          <w:tcPr>
            <w:tcW w:w="980" w:type="dxa"/>
            <w:vAlign w:val="bottom"/>
          </w:tcPr>
          <w:p>
            <w:pPr>
              <w:spacing w:after="0"/>
              <w:rPr>
                <w:sz w:val="23"/>
                <w:szCs w:val="23"/>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Unrecognized gains (losses) on employee benefit obligations</w:t>
            </w:r>
          </w:p>
        </w:tc>
        <w:tc>
          <w:tcPr>
            <w:tcW w:w="980" w:type="dxa"/>
            <w:vAlign w:val="bottom"/>
          </w:tcPr>
          <w:p>
            <w:pPr>
              <w:spacing w:after="0"/>
              <w:rPr>
                <w:sz w:val="23"/>
                <w:szCs w:val="23"/>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Cumulative translation adjustments</w:t>
            </w:r>
          </w:p>
        </w:tc>
        <w:tc>
          <w:tcPr>
            <w:tcW w:w="980" w:type="dxa"/>
            <w:vAlign w:val="bottom"/>
          </w:tcPr>
          <w:p>
            <w:pPr>
              <w:spacing w:after="0"/>
              <w:rPr>
                <w:sz w:val="23"/>
                <w:szCs w:val="23"/>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105</w:t>
            </w:r>
          </w:p>
        </w:tc>
      </w:tr>
      <w:tr>
        <w:trPr>
          <w:trHeight w:val="27"/>
        </w:trPr>
        <w:tc>
          <w:tcPr>
            <w:tcW w:w="8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income (loss)</w:t>
            </w:r>
          </w:p>
        </w:tc>
        <w:tc>
          <w:tcPr>
            <w:tcW w:w="980" w:type="dxa"/>
            <w:vAlign w:val="bottom"/>
          </w:tcPr>
          <w:p>
            <w:pPr>
              <w:jc w:val="right"/>
              <w:ind w:right="798"/>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112"/>
              <w:spacing w:after="0"/>
              <w:rPr>
                <w:sz w:val="20"/>
                <w:szCs w:val="20"/>
                <w:color w:val="auto"/>
              </w:rPr>
            </w:pPr>
            <w:r>
              <w:rPr>
                <w:rFonts w:ascii="Arial" w:cs="Arial" w:eastAsia="Arial" w:hAnsi="Arial"/>
                <w:sz w:val="18"/>
                <w:szCs w:val="18"/>
                <w:b w:val="1"/>
                <w:bCs w:val="1"/>
                <w:color w:val="auto"/>
              </w:rPr>
              <w:t>56</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b w:val="1"/>
                <w:bCs w:val="1"/>
                <w:color w:val="auto"/>
              </w:rPr>
              <w:t>95</w:t>
            </w:r>
          </w:p>
        </w:tc>
      </w:tr>
      <w:tr>
        <w:trPr>
          <w:trHeight w:val="34"/>
        </w:trPr>
        <w:tc>
          <w:tcPr>
            <w:tcW w:w="8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38"/>
        </w:trPr>
        <w:tc>
          <w:tcPr>
            <w:tcW w:w="8240" w:type="dxa"/>
            <w:vAlign w:val="bottom"/>
          </w:tcPr>
          <w:p>
            <w:pPr>
              <w:ind w:left="3900"/>
              <w:spacing w:after="0"/>
              <w:rPr>
                <w:sz w:val="20"/>
                <w:szCs w:val="20"/>
                <w:color w:val="auto"/>
              </w:rPr>
            </w:pPr>
            <w:r>
              <w:rPr>
                <w:rFonts w:ascii="Arial" w:cs="Arial" w:eastAsia="Arial" w:hAnsi="Arial"/>
                <w:sz w:val="18"/>
                <w:szCs w:val="18"/>
                <w:b w:val="1"/>
                <w:bCs w:val="1"/>
                <w:color w:val="auto"/>
              </w:rPr>
              <w:t>Net Cash Provided by Operating Activities</w:t>
            </w: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3"/>
        </w:trPr>
        <w:tc>
          <w:tcPr>
            <w:tcW w:w="8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0" w:type="dxa"/>
            <w:vAlign w:val="bottom"/>
            <w:gridSpan w:val="3"/>
          </w:tcPr>
          <w:p>
            <w:pPr>
              <w:jc w:val="right"/>
              <w:ind w:right="954"/>
              <w:spacing w:after="0"/>
              <w:rPr>
                <w:sz w:val="20"/>
                <w:szCs w:val="20"/>
                <w:color w:val="auto"/>
              </w:rPr>
            </w:pPr>
            <w:r>
              <w:rPr>
                <w:rFonts w:ascii="Arial" w:cs="Arial" w:eastAsia="Arial" w:hAnsi="Arial"/>
                <w:sz w:val="14"/>
                <w:szCs w:val="14"/>
                <w:color w:val="auto"/>
              </w:rPr>
              <w:t>Six Months Ended</w:t>
            </w:r>
          </w:p>
        </w:tc>
      </w:tr>
      <w:tr>
        <w:trPr>
          <w:trHeight w:val="188"/>
        </w:trPr>
        <w:tc>
          <w:tcPr>
            <w:tcW w:w="82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June 30</w:t>
            </w:r>
          </w:p>
        </w:tc>
        <w:tc>
          <w:tcPr>
            <w:tcW w:w="1260" w:type="dxa"/>
            <w:vAlign w:val="bottom"/>
            <w:tcBorders>
              <w:bottom w:val="single" w:sz="8" w:color="auto"/>
            </w:tcBorders>
          </w:tcPr>
          <w:p>
            <w:pPr>
              <w:spacing w:after="0"/>
              <w:rPr>
                <w:sz w:val="16"/>
                <w:szCs w:val="16"/>
                <w:color w:val="auto"/>
              </w:rPr>
            </w:pPr>
          </w:p>
        </w:tc>
      </w:tr>
      <w:tr>
        <w:trPr>
          <w:trHeight w:val="264"/>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tcPr>
          <w:p>
            <w:pPr>
              <w:jc w:val="center"/>
              <w:ind w:left="418"/>
              <w:spacing w:after="0"/>
              <w:rPr>
                <w:sz w:val="20"/>
                <w:szCs w:val="20"/>
                <w:color w:val="auto"/>
              </w:rPr>
            </w:pPr>
            <w:r>
              <w:rPr>
                <w:rFonts w:ascii="Arial" w:cs="Arial" w:eastAsia="Arial" w:hAnsi="Arial"/>
                <w:sz w:val="14"/>
                <w:szCs w:val="14"/>
                <w:color w:val="auto"/>
                <w:w w:val="89"/>
              </w:rPr>
              <w:t>2017</w:t>
            </w:r>
          </w:p>
        </w:tc>
        <w:tc>
          <w:tcPr>
            <w:tcW w:w="6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89"/>
              </w:rPr>
              <w:t>2016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ind w:right="798"/>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2,561</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2,057</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23"/>
                <w:szCs w:val="23"/>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1,028</w:t>
            </w:r>
          </w:p>
        </w:tc>
        <w:tc>
          <w:tcPr>
            <w:tcW w:w="3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879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Equity in net (income) losses of investees, net</w:t>
            </w:r>
          </w:p>
        </w:tc>
        <w:tc>
          <w:tcPr>
            <w:tcW w:w="980" w:type="dxa"/>
            <w:vAlign w:val="bottom"/>
          </w:tcPr>
          <w:p>
            <w:pPr>
              <w:spacing w:after="0"/>
              <w:rPr>
                <w:sz w:val="23"/>
                <w:szCs w:val="23"/>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21</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Cash received from investees</w:t>
            </w:r>
          </w:p>
        </w:tc>
        <w:tc>
          <w:tcPr>
            <w:tcW w:w="980" w:type="dxa"/>
            <w:vAlign w:val="bottom"/>
          </w:tcPr>
          <w:p>
            <w:pPr>
              <w:spacing w:after="0"/>
              <w:rPr>
                <w:sz w:val="23"/>
                <w:szCs w:val="23"/>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31</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Net (gain) loss on investment activity and other</w:t>
            </w:r>
          </w:p>
        </w:tc>
        <w:tc>
          <w:tcPr>
            <w:tcW w:w="980" w:type="dxa"/>
            <w:vAlign w:val="bottom"/>
          </w:tcPr>
          <w:p>
            <w:pPr>
              <w:spacing w:after="0"/>
              <w:rPr>
                <w:sz w:val="23"/>
                <w:szCs w:val="23"/>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980" w:type="dxa"/>
            <w:vAlign w:val="bottom"/>
          </w:tcPr>
          <w:p>
            <w:pPr>
              <w:spacing w:after="0"/>
              <w:rPr>
                <w:sz w:val="23"/>
                <w:szCs w:val="23"/>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64</w:t>
            </w:r>
          </w:p>
        </w:tc>
      </w:tr>
      <w:tr>
        <w:trPr>
          <w:trHeight w:val="270"/>
        </w:trPr>
        <w:tc>
          <w:tcPr>
            <w:tcW w:w="82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9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Current and noncurrent receivables, net</w:t>
            </w:r>
          </w:p>
        </w:tc>
        <w:tc>
          <w:tcPr>
            <w:tcW w:w="980" w:type="dxa"/>
            <w:vAlign w:val="bottom"/>
          </w:tcPr>
          <w:p>
            <w:pPr>
              <w:spacing w:after="0"/>
              <w:rPr>
                <w:sz w:val="23"/>
                <w:szCs w:val="23"/>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145</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Film and television costs, net</w:t>
            </w:r>
          </w:p>
        </w:tc>
        <w:tc>
          <w:tcPr>
            <w:tcW w:w="980" w:type="dxa"/>
            <w:vAlign w:val="bottom"/>
          </w:tcPr>
          <w:p>
            <w:pPr>
              <w:spacing w:after="0"/>
              <w:rPr>
                <w:sz w:val="23"/>
                <w:szCs w:val="23"/>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275</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Accounts payable and accrued expenses related to trade creditors</w:t>
            </w:r>
          </w:p>
        </w:tc>
        <w:tc>
          <w:tcPr>
            <w:tcW w:w="980" w:type="dxa"/>
            <w:vAlign w:val="bottom"/>
          </w:tcPr>
          <w:p>
            <w:pPr>
              <w:spacing w:after="0"/>
              <w:rPr>
                <w:sz w:val="23"/>
                <w:szCs w:val="23"/>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(220)</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0"/>
        </w:trPr>
        <w:tc>
          <w:tcPr>
            <w:tcW w:w="8240" w:type="dxa"/>
            <w:vAlign w:val="bottom"/>
          </w:tcPr>
          <w:p>
            <w:pPr>
              <w:ind w:left="380"/>
              <w:spacing w:after="0"/>
              <w:rPr>
                <w:sz w:val="20"/>
                <w:szCs w:val="20"/>
                <w:color w:val="auto"/>
              </w:rPr>
            </w:pPr>
            <w:r>
              <w:rPr>
                <w:rFonts w:ascii="Arial" w:cs="Arial" w:eastAsia="Arial" w:hAnsi="Arial"/>
                <w:sz w:val="18"/>
                <w:szCs w:val="18"/>
                <w:color w:val="auto"/>
              </w:rPr>
              <w:t>Other operating assets and liabilities</w:t>
            </w:r>
          </w:p>
        </w:tc>
        <w:tc>
          <w:tcPr>
            <w:tcW w:w="980" w:type="dxa"/>
            <w:vAlign w:val="bottom"/>
          </w:tcPr>
          <w:p>
            <w:pPr>
              <w:spacing w:after="0"/>
              <w:rPr>
                <w:sz w:val="23"/>
                <w:szCs w:val="23"/>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(115)</w:t>
            </w:r>
          </w:p>
        </w:tc>
        <w:tc>
          <w:tcPr>
            <w:tcW w:w="3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7"/>
        </w:trPr>
        <w:tc>
          <w:tcPr>
            <w:tcW w:w="8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980" w:type="dxa"/>
            <w:vAlign w:val="bottom"/>
          </w:tcPr>
          <w:p>
            <w:pPr>
              <w:jc w:val="right"/>
              <w:ind w:right="798"/>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112"/>
              <w:spacing w:after="0"/>
              <w:rPr>
                <w:sz w:val="20"/>
                <w:szCs w:val="20"/>
                <w:color w:val="auto"/>
              </w:rPr>
            </w:pPr>
            <w:r>
              <w:rPr>
                <w:rFonts w:ascii="Arial" w:cs="Arial" w:eastAsia="Arial" w:hAnsi="Arial"/>
                <w:sz w:val="18"/>
                <w:szCs w:val="18"/>
                <w:b w:val="1"/>
                <w:bCs w:val="1"/>
                <w:color w:val="auto"/>
                <w:w w:val="84"/>
              </w:rPr>
              <w:t>3,526</w:t>
            </w: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b w:val="1"/>
                <w:bCs w:val="1"/>
                <w:color w:val="auto"/>
              </w:rPr>
              <w:t>2,478</w:t>
            </w:r>
          </w:p>
        </w:tc>
      </w:tr>
      <w:tr>
        <w:trPr>
          <w:trHeight w:val="34"/>
        </w:trPr>
        <w:tc>
          <w:tcPr>
            <w:tcW w:w="8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1"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1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960" w:type="dxa"/>
            <w:vAlign w:val="bottom"/>
          </w:tcPr>
          <w:p>
            <w:pPr>
              <w:spacing w:after="0"/>
              <w:rPr>
                <w:sz w:val="14"/>
                <w:szCs w:val="14"/>
                <w:color w:val="auto"/>
              </w:rPr>
            </w:pPr>
          </w:p>
        </w:tc>
      </w:tr>
      <w:tr>
        <w:trPr>
          <w:trHeight w:val="188"/>
        </w:trPr>
        <w:tc>
          <w:tcPr>
            <w:tcW w:w="48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w w:val="88"/>
              </w:rPr>
              <w:t>June 30</w:t>
            </w: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w w:val="88"/>
              </w:rPr>
              <w:t>June 30</w:t>
            </w:r>
          </w:p>
        </w:tc>
        <w:tc>
          <w:tcPr>
            <w:tcW w:w="960" w:type="dxa"/>
            <w:vAlign w:val="bottom"/>
            <w:tcBorders>
              <w:bottom w:val="single" w:sz="8" w:color="auto"/>
            </w:tcBorders>
          </w:tcPr>
          <w:p>
            <w:pPr>
              <w:spacing w:after="0"/>
              <w:rPr>
                <w:sz w:val="16"/>
                <w:szCs w:val="16"/>
                <w:color w:val="auto"/>
              </w:rPr>
            </w:pPr>
          </w:p>
        </w:tc>
      </w:tr>
      <w:tr>
        <w:trPr>
          <w:trHeight w:val="264"/>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2017</w:t>
            </w:r>
          </w:p>
        </w:tc>
        <w:tc>
          <w:tcPr>
            <w:tcW w:w="9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color w:val="auto"/>
              </w:rPr>
              <w:t>2016</w:t>
            </w: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2017</w:t>
            </w:r>
          </w:p>
        </w:tc>
        <w:tc>
          <w:tcPr>
            <w:tcW w:w="8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2016</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210</w:t>
            </w:r>
          </w:p>
        </w:tc>
        <w:tc>
          <w:tcPr>
            <w:tcW w:w="90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6"/>
              <w:spacing w:after="0"/>
              <w:rPr>
                <w:sz w:val="20"/>
                <w:szCs w:val="20"/>
                <w:color w:val="auto"/>
              </w:rPr>
            </w:pPr>
            <w:r>
              <w:rPr>
                <w:rFonts w:ascii="Arial" w:cs="Arial" w:eastAsia="Arial" w:hAnsi="Arial"/>
                <w:sz w:val="18"/>
                <w:szCs w:val="18"/>
                <w:color w:val="auto"/>
              </w:rPr>
              <w:t>219</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287</w:t>
            </w:r>
          </w:p>
        </w:tc>
        <w:tc>
          <w:tcPr>
            <w:tcW w:w="84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285</w:t>
            </w:r>
          </w:p>
        </w:tc>
      </w:tr>
      <w:tr>
        <w:trPr>
          <w:trHeight w:val="270"/>
        </w:trPr>
        <w:tc>
          <w:tcPr>
            <w:tcW w:w="48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w:t>
            </w:r>
          </w:p>
        </w:tc>
        <w:tc>
          <w:tcPr>
            <w:tcW w:w="90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6"/>
              <w:spacing w:after="0"/>
              <w:rPr>
                <w:sz w:val="20"/>
                <w:szCs w:val="20"/>
                <w:color w:val="auto"/>
              </w:rPr>
            </w:pPr>
            <w:r>
              <w:rPr>
                <w:rFonts w:ascii="Arial" w:cs="Arial" w:eastAsia="Arial" w:hAnsi="Arial"/>
                <w:sz w:val="18"/>
                <w:szCs w:val="18"/>
                <w:color w:val="auto"/>
              </w:rPr>
              <w:t>63</w:t>
            </w: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c>
          <w:tcPr>
            <w:tcW w:w="84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122</w:t>
            </w:r>
          </w:p>
        </w:tc>
      </w:tr>
      <w:tr>
        <w:trPr>
          <w:trHeight w:val="27"/>
        </w:trPr>
        <w:tc>
          <w:tcPr>
            <w:tcW w:w="4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2017:</w:t>
      </w:r>
    </w:p>
    <w:p>
      <w:pPr>
        <w:spacing w:after="0" w:line="7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acquired $294 million of property and equipment and intangible assets that were accrued but unpaid</w:t>
      </w:r>
    </w:p>
    <w:p>
      <w:pPr>
        <w:spacing w:after="0" w:line="7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Comcast contributed its investment in Snap to us at its fair value as of March 31, 2017, which was a noncash transaction (see Note 6 for additional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Financial Data by Business Segment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four reportable business segments:</w:t>
      </w:r>
    </w:p>
    <w:p>
      <w:pPr>
        <w:spacing w:after="0" w:line="73" w:lineRule="exact"/>
        <w:rPr>
          <w:sz w:val="20"/>
          <w:szCs w:val="20"/>
          <w:color w:val="auto"/>
        </w:rPr>
      </w:pPr>
    </w:p>
    <w:p>
      <w:pPr>
        <w:ind w:left="660" w:hanging="328"/>
        <w:spacing w:after="0" w:line="282"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 and</w:t>
      </w:r>
      <w:r>
        <w:rPr>
          <w:rFonts w:ascii="Arial" w:cs="Arial" w:eastAsia="Arial" w:hAnsi="Arial"/>
          <w:sz w:val="18"/>
          <w:szCs w:val="18"/>
          <w:b w:val="1"/>
          <w:bCs w:val="1"/>
          <w:color w:val="auto"/>
        </w:rPr>
        <w:t xml:space="preserve"> </w:t>
      </w:r>
      <w:r>
        <w:rPr>
          <w:rFonts w:ascii="Arial" w:cs="Arial" w:eastAsia="Arial" w:hAnsi="Arial"/>
          <w:sz w:val="18"/>
          <w:szCs w:val="18"/>
          <w:color w:val="auto"/>
        </w:rPr>
        <w:t>our cable television studio production operations.</w:t>
      </w:r>
    </w:p>
    <w:p>
      <w:pPr>
        <w:spacing w:after="0" w:line="13" w:lineRule="exact"/>
        <w:rPr>
          <w:rFonts w:ascii="Arial" w:cs="Arial" w:eastAsia="Arial" w:hAnsi="Arial"/>
          <w:sz w:val="18"/>
          <w:szCs w:val="18"/>
          <w:b w:val="1"/>
          <w:bCs w:val="1"/>
          <w:color w:val="auto"/>
        </w:rPr>
      </w:pPr>
    </w:p>
    <w:p>
      <w:pPr>
        <w:ind w:left="660" w:hanging="328"/>
        <w:spacing w:after="0" w:line="28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the NBC Universo national cable network, and our broadcast television studio production operations.</w:t>
      </w:r>
    </w:p>
    <w:p>
      <w:pPr>
        <w:spacing w:after="0" w:line="13" w:lineRule="exact"/>
        <w:rPr>
          <w:rFonts w:ascii="Arial" w:cs="Arial" w:eastAsia="Arial" w:hAnsi="Arial"/>
          <w:sz w:val="18"/>
          <w:szCs w:val="18"/>
          <w:color w:val="auto"/>
        </w:rPr>
      </w:pPr>
    </w:p>
    <w:p>
      <w:pPr>
        <w:ind w:left="660" w:hanging="328"/>
        <w:spacing w:after="0" w:line="306"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Filmed Entertainment: </w:t>
      </w:r>
      <w:r>
        <w:rPr>
          <w:rFonts w:ascii="Arial" w:cs="Arial" w:eastAsia="Arial" w:hAnsi="Arial"/>
          <w:sz w:val="17"/>
          <w:szCs w:val="17"/>
          <w:color w:val="auto"/>
        </w:rPr>
        <w:t>Consists primarily of the operations of Universal Pictures, which produces, acquires, markets and distributes filmed</w:t>
      </w:r>
      <w:r>
        <w:rPr>
          <w:rFonts w:ascii="Arial" w:cs="Arial" w:eastAsia="Arial" w:hAnsi="Arial"/>
          <w:sz w:val="17"/>
          <w:szCs w:val="17"/>
          <w:b w:val="1"/>
          <w:bCs w:val="1"/>
          <w:color w:val="auto"/>
        </w:rPr>
        <w:t xml:space="preserve"> </w:t>
      </w:r>
      <w:r>
        <w:rPr>
          <w:rFonts w:ascii="Arial" w:cs="Arial" w:eastAsia="Arial" w:hAnsi="Arial"/>
          <w:sz w:val="17"/>
          <w:szCs w:val="17"/>
          <w:color w:val="auto"/>
        </w:rPr>
        <w:t>entertainment worldwide; our films are also produced under the Illumination, Focus Features and DreamWorks Animation names.</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Hollywood, California; and Osaka, Japan.</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Adjusted EBITDA (formerly operating income before depreciation and amortization) to evaluate the profitability of our operating segments and the components of net income attributable to NBCUniversal below Adjusted EBITDA are not separately evaluated. Our financial data by business segment is presented in the tables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color w:val="auto"/>
                <w:w w:val="96"/>
              </w:rPr>
              <w:t>Three Months Ended June 30, 2017</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35"/>
              <w:spacing w:after="0" w:line="157" w:lineRule="exact"/>
              <w:rPr>
                <w:sz w:val="20"/>
                <w:szCs w:val="20"/>
                <w:color w:val="auto"/>
              </w:rPr>
            </w:pPr>
            <w:r>
              <w:rPr>
                <w:rFonts w:ascii="Arial" w:cs="Arial" w:eastAsia="Arial" w:hAnsi="Arial"/>
                <w:sz w:val="14"/>
                <w:szCs w:val="14"/>
                <w:color w:val="auto"/>
                <w:w w:val="94"/>
              </w:rPr>
              <w:t>Depreciation</w:t>
            </w:r>
          </w:p>
        </w:tc>
        <w:tc>
          <w:tcPr>
            <w:tcW w:w="200" w:type="dxa"/>
            <w:vAlign w:val="bottom"/>
          </w:tcPr>
          <w:p>
            <w:pPr>
              <w:spacing w:after="0"/>
              <w:rPr>
                <w:sz w:val="13"/>
                <w:szCs w:val="13"/>
                <w:color w:val="auto"/>
              </w:rPr>
            </w:pPr>
          </w:p>
        </w:tc>
        <w:tc>
          <w:tcPr>
            <w:tcW w:w="1080" w:type="dxa"/>
            <w:vAlign w:val="bottom"/>
          </w:tcPr>
          <w:p>
            <w:pPr>
              <w:jc w:val="right"/>
              <w:ind w:right="274"/>
              <w:spacing w:after="0" w:line="157" w:lineRule="exact"/>
              <w:rPr>
                <w:sz w:val="20"/>
                <w:szCs w:val="20"/>
                <w:color w:val="auto"/>
              </w:rPr>
            </w:pPr>
            <w:r>
              <w:rPr>
                <w:rFonts w:ascii="Arial" w:cs="Arial" w:eastAsia="Arial" w:hAnsi="Arial"/>
                <w:sz w:val="14"/>
                <w:szCs w:val="14"/>
                <w:color w:val="auto"/>
              </w:rPr>
              <w:t>Operating</w:t>
            </w:r>
          </w:p>
        </w:tc>
        <w:tc>
          <w:tcPr>
            <w:tcW w:w="200" w:type="dxa"/>
            <w:vAlign w:val="bottom"/>
          </w:tcPr>
          <w:p>
            <w:pPr>
              <w:spacing w:after="0"/>
              <w:rPr>
                <w:sz w:val="13"/>
                <w:szCs w:val="13"/>
                <w:color w:val="auto"/>
              </w:rPr>
            </w:pPr>
          </w:p>
        </w:tc>
        <w:tc>
          <w:tcPr>
            <w:tcW w:w="1020" w:type="dxa"/>
            <w:vAlign w:val="bottom"/>
          </w:tcPr>
          <w:p>
            <w:pPr>
              <w:jc w:val="center"/>
              <w:ind w:right="74"/>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4"/>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(c)</w:t>
            </w: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(d)</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color w:val="auto"/>
                <w:w w:val="95"/>
              </w:rPr>
              <w:t>and Amortization</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w w:val="96"/>
              </w:rPr>
              <w:t>Income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1"/>
              </w:rPr>
              <w:t>Intangible Assets</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2,696</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1,055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874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Broadcast Television</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2,241</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2,155</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259</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1,314</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365</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26</w:t>
            </w:r>
          </w:p>
        </w:tc>
      </w:tr>
      <w:tr>
        <w:trPr>
          <w:trHeight w:val="310"/>
        </w:trPr>
        <w:tc>
          <w:tcPr>
            <w:tcW w:w="388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33</w:t>
            </w:r>
          </w:p>
        </w:tc>
      </w:tr>
      <w:tr>
        <w:trPr>
          <w:trHeight w:val="257"/>
        </w:trPr>
        <w:tc>
          <w:tcPr>
            <w:tcW w:w="388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8,331</w:t>
            </w:r>
          </w:p>
        </w:tc>
        <w:tc>
          <w:tcPr>
            <w:tcW w:w="4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2,071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520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b w:val="1"/>
                <w:bCs w:val="1"/>
                <w:color w:val="auto"/>
              </w:rPr>
              <w:t>1,551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338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73</w:t>
            </w:r>
          </w:p>
        </w:tc>
      </w:tr>
      <w:tr>
        <w:trPr>
          <w:trHeight w:val="34"/>
        </w:trPr>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94"/>
        </w:trPr>
        <w:tc>
          <w:tcPr>
            <w:tcW w:w="3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color w:val="auto"/>
                <w:w w:val="96"/>
              </w:rPr>
              <w:t>Three Months Ended June 30, 2016</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35"/>
              <w:spacing w:after="0" w:line="157" w:lineRule="exact"/>
              <w:rPr>
                <w:sz w:val="20"/>
                <w:szCs w:val="20"/>
                <w:color w:val="auto"/>
              </w:rPr>
            </w:pPr>
            <w:r>
              <w:rPr>
                <w:rFonts w:ascii="Arial" w:cs="Arial" w:eastAsia="Arial" w:hAnsi="Arial"/>
                <w:sz w:val="14"/>
                <w:szCs w:val="14"/>
                <w:color w:val="auto"/>
                <w:w w:val="94"/>
              </w:rPr>
              <w:t>Depreciation</w:t>
            </w:r>
          </w:p>
        </w:tc>
        <w:tc>
          <w:tcPr>
            <w:tcW w:w="200" w:type="dxa"/>
            <w:vAlign w:val="bottom"/>
          </w:tcPr>
          <w:p>
            <w:pPr>
              <w:spacing w:after="0"/>
              <w:rPr>
                <w:sz w:val="13"/>
                <w:szCs w:val="13"/>
                <w:color w:val="auto"/>
              </w:rPr>
            </w:pPr>
          </w:p>
        </w:tc>
        <w:tc>
          <w:tcPr>
            <w:tcW w:w="1080" w:type="dxa"/>
            <w:vAlign w:val="bottom"/>
          </w:tcPr>
          <w:p>
            <w:pPr>
              <w:jc w:val="right"/>
              <w:ind w:right="274"/>
              <w:spacing w:after="0" w:line="157" w:lineRule="exact"/>
              <w:rPr>
                <w:sz w:val="20"/>
                <w:szCs w:val="20"/>
                <w:color w:val="auto"/>
              </w:rPr>
            </w:pPr>
            <w:r>
              <w:rPr>
                <w:rFonts w:ascii="Arial" w:cs="Arial" w:eastAsia="Arial" w:hAnsi="Arial"/>
                <w:sz w:val="14"/>
                <w:szCs w:val="14"/>
                <w:color w:val="auto"/>
              </w:rPr>
              <w:t>Operating</w:t>
            </w:r>
          </w:p>
        </w:tc>
        <w:tc>
          <w:tcPr>
            <w:tcW w:w="200" w:type="dxa"/>
            <w:vAlign w:val="bottom"/>
          </w:tcPr>
          <w:p>
            <w:pPr>
              <w:spacing w:after="0"/>
              <w:rPr>
                <w:sz w:val="13"/>
                <w:szCs w:val="13"/>
                <w:color w:val="auto"/>
              </w:rPr>
            </w:pPr>
          </w:p>
        </w:tc>
        <w:tc>
          <w:tcPr>
            <w:tcW w:w="1020" w:type="dxa"/>
            <w:vAlign w:val="bottom"/>
          </w:tcPr>
          <w:p>
            <w:pPr>
              <w:jc w:val="center"/>
              <w:ind w:right="74"/>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4"/>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(c)</w:t>
            </w: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(d)</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color w:val="auto"/>
                <w:w w:val="95"/>
              </w:rPr>
              <w:t>and Amortization</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w w:val="96"/>
              </w:rPr>
              <w:t>Income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1"/>
              </w:rPr>
              <w:t>Intangible Assets</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2,566</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944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757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Broadcast Television</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2,128</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1,351</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1,136</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20</w:t>
            </w:r>
          </w:p>
        </w:tc>
      </w:tr>
      <w:tr>
        <w:trPr>
          <w:trHeight w:val="310"/>
        </w:trPr>
        <w:tc>
          <w:tcPr>
            <w:tcW w:w="388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33</w:t>
            </w:r>
          </w:p>
        </w:tc>
      </w:tr>
      <w:tr>
        <w:trPr>
          <w:trHeight w:val="257"/>
        </w:trPr>
        <w:tc>
          <w:tcPr>
            <w:tcW w:w="388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7,103</w:t>
            </w:r>
          </w:p>
        </w:tc>
        <w:tc>
          <w:tcPr>
            <w:tcW w:w="4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1,689</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465</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b w:val="1"/>
                <w:bCs w:val="1"/>
                <w:color w:val="auto"/>
              </w:rPr>
              <w:t>1,224</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360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62</w:t>
            </w:r>
          </w:p>
        </w:tc>
      </w:tr>
      <w:tr>
        <w:trPr>
          <w:trHeight w:val="34"/>
        </w:trPr>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121"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color w:val="auto"/>
        </w:rPr>
        <w:t>NBCUniversal Media, LLC</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color w:val="auto"/>
              </w:rPr>
              <w:t>Six Months Ended June 30, 2017</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6"/>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35"/>
              <w:spacing w:after="0" w:line="157" w:lineRule="exact"/>
              <w:rPr>
                <w:sz w:val="20"/>
                <w:szCs w:val="20"/>
                <w:color w:val="auto"/>
              </w:rPr>
            </w:pPr>
            <w:r>
              <w:rPr>
                <w:rFonts w:ascii="Arial" w:cs="Arial" w:eastAsia="Arial" w:hAnsi="Arial"/>
                <w:sz w:val="14"/>
                <w:szCs w:val="14"/>
                <w:color w:val="auto"/>
                <w:w w:val="94"/>
              </w:rPr>
              <w:t>Depreciation</w:t>
            </w:r>
          </w:p>
        </w:tc>
        <w:tc>
          <w:tcPr>
            <w:tcW w:w="200" w:type="dxa"/>
            <w:vAlign w:val="bottom"/>
          </w:tcPr>
          <w:p>
            <w:pPr>
              <w:spacing w:after="0"/>
              <w:rPr>
                <w:sz w:val="13"/>
                <w:szCs w:val="13"/>
                <w:color w:val="auto"/>
              </w:rPr>
            </w:pPr>
          </w:p>
        </w:tc>
        <w:tc>
          <w:tcPr>
            <w:tcW w:w="1080" w:type="dxa"/>
            <w:vAlign w:val="bottom"/>
          </w:tcPr>
          <w:p>
            <w:pPr>
              <w:jc w:val="center"/>
              <w:ind w:right="114"/>
              <w:spacing w:after="0" w:line="157" w:lineRule="exact"/>
              <w:rPr>
                <w:sz w:val="20"/>
                <w:szCs w:val="20"/>
                <w:color w:val="auto"/>
              </w:rPr>
            </w:pPr>
            <w:r>
              <w:rPr>
                <w:rFonts w:ascii="Arial" w:cs="Arial" w:eastAsia="Arial" w:hAnsi="Arial"/>
                <w:sz w:val="14"/>
                <w:szCs w:val="14"/>
                <w:color w:val="auto"/>
                <w:w w:val="91"/>
              </w:rPr>
              <w:t>Operating</w:t>
            </w:r>
          </w:p>
        </w:tc>
        <w:tc>
          <w:tcPr>
            <w:tcW w:w="200" w:type="dxa"/>
            <w:vAlign w:val="bottom"/>
          </w:tcPr>
          <w:p>
            <w:pPr>
              <w:spacing w:after="0"/>
              <w:rPr>
                <w:sz w:val="13"/>
                <w:szCs w:val="13"/>
                <w:color w:val="auto"/>
              </w:rPr>
            </w:pPr>
          </w:p>
        </w:tc>
        <w:tc>
          <w:tcPr>
            <w:tcW w:w="1020" w:type="dxa"/>
            <w:vAlign w:val="bottom"/>
          </w:tcPr>
          <w:p>
            <w:pPr>
              <w:jc w:val="center"/>
              <w:ind w:right="74"/>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4"/>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(c)</w:t>
            </w: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(d)</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color w:val="auto"/>
                <w:w w:val="95"/>
              </w:rPr>
              <w:t>and Amortization</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w w:val="94"/>
              </w:rPr>
              <w:t>Income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1"/>
              </w:rPr>
              <w:t>Intangible Assets</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5,337</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2,171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1,776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Broadcast Television</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4,449</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675</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4,136</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606</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2,432</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620</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39</w:t>
            </w:r>
          </w:p>
        </w:tc>
      </w:tr>
      <w:tr>
        <w:trPr>
          <w:trHeight w:val="310"/>
        </w:trPr>
        <w:tc>
          <w:tcPr>
            <w:tcW w:w="388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(615)</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64</w:t>
            </w:r>
          </w:p>
        </w:tc>
      </w:tr>
      <w:tr>
        <w:trPr>
          <w:trHeight w:val="257"/>
        </w:trPr>
        <w:tc>
          <w:tcPr>
            <w:tcW w:w="388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16,199</w:t>
            </w:r>
          </w:p>
        </w:tc>
        <w:tc>
          <w:tcPr>
            <w:tcW w:w="4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4,088</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1,028</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b w:val="1"/>
                <w:bCs w:val="1"/>
                <w:color w:val="auto"/>
              </w:rPr>
              <w:t>3,060</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623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128</w:t>
            </w:r>
          </w:p>
        </w:tc>
      </w:tr>
      <w:tr>
        <w:trPr>
          <w:trHeight w:val="34"/>
        </w:trPr>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615"/>
        </w:trPr>
        <w:tc>
          <w:tcPr>
            <w:tcW w:w="3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color w:val="auto"/>
              </w:rPr>
              <w:t>Six Months Ended June 30, 2016</w:t>
            </w: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right="35"/>
              <w:spacing w:after="0" w:line="157" w:lineRule="exact"/>
              <w:rPr>
                <w:sz w:val="20"/>
                <w:szCs w:val="20"/>
                <w:color w:val="auto"/>
              </w:rPr>
            </w:pPr>
            <w:r>
              <w:rPr>
                <w:rFonts w:ascii="Arial" w:cs="Arial" w:eastAsia="Arial" w:hAnsi="Arial"/>
                <w:sz w:val="14"/>
                <w:szCs w:val="14"/>
                <w:color w:val="auto"/>
                <w:w w:val="94"/>
              </w:rPr>
              <w:t>Depreciation</w:t>
            </w:r>
          </w:p>
        </w:tc>
        <w:tc>
          <w:tcPr>
            <w:tcW w:w="200" w:type="dxa"/>
            <w:vAlign w:val="bottom"/>
          </w:tcPr>
          <w:p>
            <w:pPr>
              <w:spacing w:after="0"/>
              <w:rPr>
                <w:sz w:val="13"/>
                <w:szCs w:val="13"/>
                <w:color w:val="auto"/>
              </w:rPr>
            </w:pPr>
          </w:p>
        </w:tc>
        <w:tc>
          <w:tcPr>
            <w:tcW w:w="1080" w:type="dxa"/>
            <w:vAlign w:val="bottom"/>
          </w:tcPr>
          <w:p>
            <w:pPr>
              <w:jc w:val="center"/>
              <w:ind w:right="114"/>
              <w:spacing w:after="0" w:line="157" w:lineRule="exact"/>
              <w:rPr>
                <w:sz w:val="20"/>
                <w:szCs w:val="20"/>
                <w:color w:val="auto"/>
              </w:rPr>
            </w:pPr>
            <w:r>
              <w:rPr>
                <w:rFonts w:ascii="Arial" w:cs="Arial" w:eastAsia="Arial" w:hAnsi="Arial"/>
                <w:sz w:val="14"/>
                <w:szCs w:val="14"/>
                <w:color w:val="auto"/>
                <w:w w:val="91"/>
              </w:rPr>
              <w:t>Operating</w:t>
            </w:r>
          </w:p>
        </w:tc>
        <w:tc>
          <w:tcPr>
            <w:tcW w:w="200" w:type="dxa"/>
            <w:vAlign w:val="bottom"/>
          </w:tcPr>
          <w:p>
            <w:pPr>
              <w:spacing w:after="0"/>
              <w:rPr>
                <w:sz w:val="13"/>
                <w:szCs w:val="13"/>
                <w:color w:val="auto"/>
              </w:rPr>
            </w:pPr>
          </w:p>
        </w:tc>
        <w:tc>
          <w:tcPr>
            <w:tcW w:w="1020" w:type="dxa"/>
            <w:vAlign w:val="bottom"/>
          </w:tcPr>
          <w:p>
            <w:pPr>
              <w:jc w:val="center"/>
              <w:ind w:right="74"/>
              <w:spacing w:after="0" w:line="157"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3"/>
                <w:szCs w:val="13"/>
                <w:color w:val="auto"/>
              </w:rPr>
            </w:pPr>
          </w:p>
        </w:tc>
        <w:tc>
          <w:tcPr>
            <w:tcW w:w="1140" w:type="dxa"/>
            <w:vAlign w:val="bottom"/>
          </w:tcPr>
          <w:p>
            <w:pPr>
              <w:jc w:val="center"/>
              <w:ind w:right="34"/>
              <w:spacing w:after="0" w:line="157" w:lineRule="exact"/>
              <w:rPr>
                <w:sz w:val="20"/>
                <w:szCs w:val="20"/>
                <w:color w:val="auto"/>
              </w:rPr>
            </w:pPr>
            <w:r>
              <w:rPr>
                <w:rFonts w:ascii="Arial" w:cs="Arial" w:eastAsia="Arial" w:hAnsi="Arial"/>
                <w:sz w:val="14"/>
                <w:szCs w:val="14"/>
                <w:color w:val="auto"/>
                <w:w w:val="91"/>
              </w:rPr>
              <w:t>Cash Paid for</w:t>
            </w:r>
          </w:p>
        </w:tc>
      </w:tr>
      <w:tr>
        <w:trPr>
          <w:trHeight w:val="188"/>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Revenue</w:t>
            </w:r>
            <w:r>
              <w:rPr>
                <w:rFonts w:ascii="Arial" w:cs="Arial" w:eastAsia="Arial" w:hAnsi="Arial"/>
                <w:sz w:val="8"/>
                <w:szCs w:val="8"/>
                <w:color w:val="auto"/>
              </w:rPr>
              <w:t>(c)</w:t>
            </w:r>
          </w:p>
        </w:tc>
        <w:tc>
          <w:tcPr>
            <w:tcW w:w="12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Adjusted EBITDA</w:t>
            </w:r>
            <w:r>
              <w:rPr>
                <w:rFonts w:ascii="Arial" w:cs="Arial" w:eastAsia="Arial" w:hAnsi="Arial"/>
                <w:sz w:val="8"/>
                <w:szCs w:val="8"/>
                <w:color w:val="auto"/>
              </w:rPr>
              <w:t>(d)</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color w:val="auto"/>
                <w:w w:val="95"/>
              </w:rPr>
              <w:t>and Amortization</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w w:val="94"/>
              </w:rPr>
              <w:t>Income (Loss)</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92"/>
              </w:rPr>
              <w:t>Expenditures</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1"/>
              </w:rPr>
              <w:t>Intangible Assets</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5,019</w:t>
            </w:r>
          </w:p>
        </w:tc>
        <w:tc>
          <w:tcPr>
            <w:tcW w:w="46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1,900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Broadcast Television</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4,212</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616</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Filmed Entertainment</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2,734</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w:t>
            </w:r>
          </w:p>
        </w:tc>
      </w:tr>
      <w:tr>
        <w:trPr>
          <w:trHeight w:val="270"/>
        </w:trPr>
        <w:tc>
          <w:tcPr>
            <w:tcW w:w="3880" w:type="dxa"/>
            <w:vAlign w:val="bottom"/>
          </w:tcPr>
          <w:p>
            <w:pPr>
              <w:ind w:left="40"/>
              <w:spacing w:after="0"/>
              <w:rPr>
                <w:sz w:val="20"/>
                <w:szCs w:val="20"/>
                <w:color w:val="auto"/>
              </w:rPr>
            </w:pPr>
            <w:r>
              <w:rPr>
                <w:rFonts w:ascii="Arial" w:cs="Arial" w:eastAsia="Arial" w:hAnsi="Arial"/>
                <w:sz w:val="18"/>
                <w:szCs w:val="18"/>
                <w:color w:val="auto"/>
              </w:rPr>
              <w:t>Theme Parks</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2,162</w:t>
            </w:r>
          </w:p>
        </w:tc>
        <w:tc>
          <w:tcPr>
            <w:tcW w:w="46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601</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29</w:t>
            </w:r>
          </w:p>
        </w:tc>
      </w:tr>
      <w:tr>
        <w:trPr>
          <w:trHeight w:val="310"/>
        </w:trPr>
        <w:tc>
          <w:tcPr>
            <w:tcW w:w="3880" w:type="dxa"/>
            <w:vAlign w:val="bottom"/>
          </w:tcPr>
          <w:p>
            <w:pPr>
              <w:ind w:left="4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25"/>
                <w:szCs w:val="25"/>
                <w:color w:val="auto"/>
                <w:vertAlign w:val="superscript"/>
              </w:rPr>
              <w:t>(a)</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(512)</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69</w:t>
            </w:r>
          </w:p>
        </w:tc>
      </w:tr>
      <w:tr>
        <w:trPr>
          <w:trHeight w:val="257"/>
        </w:trPr>
        <w:tc>
          <w:tcPr>
            <w:tcW w:w="388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Eliminations</w:t>
            </w:r>
            <w:r>
              <w:rPr>
                <w:rFonts w:ascii="Arial" w:cs="Arial" w:eastAsia="Arial" w:hAnsi="Arial"/>
                <w:sz w:val="25"/>
                <w:szCs w:val="25"/>
                <w:color w:val="auto"/>
                <w:vertAlign w:val="superscript"/>
              </w:rPr>
              <w:t>(b)</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13,964</w:t>
            </w:r>
          </w:p>
        </w:tc>
        <w:tc>
          <w:tcPr>
            <w:tcW w:w="4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3,311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879</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b w:val="1"/>
                <w:bCs w:val="1"/>
                <w:color w:val="auto"/>
              </w:rPr>
              <w:t>2,432</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655</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b w:val="1"/>
                <w:bCs w:val="1"/>
                <w:color w:val="auto"/>
              </w:rPr>
              <w:t>114</w:t>
            </w:r>
          </w:p>
        </w:tc>
      </w:tr>
      <w:tr>
        <w:trPr>
          <w:trHeight w:val="34"/>
        </w:trPr>
        <w:tc>
          <w:tcPr>
            <w:tcW w:w="3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4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Headquarters and Other activities include costs associated with overhead, allocations, personnel costs and headquarter initiatives.</w:t>
      </w:r>
    </w:p>
    <w:p>
      <w:pPr>
        <w:spacing w:after="0" w:line="68" w:lineRule="exact"/>
        <w:rPr>
          <w:rFonts w:ascii="Arial" w:cs="Arial" w:eastAsia="Arial" w:hAnsi="Arial"/>
          <w:sz w:val="14"/>
          <w:szCs w:val="14"/>
          <w:color w:val="auto"/>
        </w:rPr>
      </w:pPr>
    </w:p>
    <w:p>
      <w:pPr>
        <w:ind w:left="340" w:right="20" w:hanging="332"/>
        <w:spacing w:after="0" w:line="273"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Included in Eliminations are transactions that our segments enter into with one another, which consist primarily of the licensing of film and television content from our Filmed Entertainment and Broadcast Television segments to our Cable Networks segment.</w:t>
      </w:r>
    </w:p>
    <w:p>
      <w:pPr>
        <w:spacing w:after="0" w:line="25" w:lineRule="exact"/>
        <w:rPr>
          <w:rFonts w:ascii="Arial" w:cs="Arial" w:eastAsia="Arial" w:hAnsi="Arial"/>
          <w:sz w:val="14"/>
          <w:szCs w:val="14"/>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revenue in any period.</w:t>
      </w:r>
    </w:p>
    <w:p>
      <w:pPr>
        <w:spacing w:after="0" w:line="68" w:lineRule="exact"/>
        <w:rPr>
          <w:rFonts w:ascii="Arial" w:cs="Arial" w:eastAsia="Arial" w:hAnsi="Arial"/>
          <w:sz w:val="14"/>
          <w:szCs w:val="14"/>
          <w:color w:val="auto"/>
        </w:rPr>
      </w:pPr>
    </w:p>
    <w:p>
      <w:pPr>
        <w:jc w:val="both"/>
        <w:ind w:left="340" w:hanging="332"/>
        <w:spacing w:after="0" w:line="244"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use Adjusted EBITDA as the measure of profit or loss for our operating segments. Adjusted EBITDA is defined as net income attributable to NBCUniversal before net (income) loss attributable to noncontrolling interests, income tax expense, other income (expense) items, net, and depreciation and amortization, and excluding impairment charges related to fixed and intangible assets and gains or losses on the sale of long-lived assets, if any. Other income (expense) items, net include interest expense, investment income (loss), equity in net income (losses) of investees, and other income (expense), net (as stated in our condensed consolidated statement of income). This measure eliminates the significant level of noncash amortization expense that results from intangible assets recognized in business combinations. Additionally, it is unaffected by our capital and tax structures and by our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that of other companies in our industries, although our measure may not be directly comparable to similar measures used by other companies. This measure should not be considered a substitute for operating income (loss), net income (loss), net income (loss) attributable to NBCUniversal, net cash provided by operating activities, or other measures of performance or liquidity we have reported in accordance with GAAP. Our reconciliation of the aggregate amount of Adjusted EBITDA for our reportable segments to consolidated income before income taxes is presented in the table below.</w:t>
      </w:r>
    </w:p>
    <w:p>
      <w:pPr>
        <w:spacing w:after="0" w:line="19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Six Months Ended</w:t>
            </w:r>
          </w:p>
        </w:tc>
        <w:tc>
          <w:tcPr>
            <w:tcW w:w="880" w:type="dxa"/>
            <w:vAlign w:val="bottom"/>
          </w:tcPr>
          <w:p>
            <w:pPr>
              <w:spacing w:after="0"/>
              <w:rPr>
                <w:sz w:val="14"/>
                <w:szCs w:val="14"/>
                <w:color w:val="auto"/>
              </w:rPr>
            </w:pPr>
          </w:p>
        </w:tc>
      </w:tr>
      <w:tr>
        <w:trPr>
          <w:trHeight w:val="188"/>
        </w:trPr>
        <w:tc>
          <w:tcPr>
            <w:tcW w:w="4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color w:val="auto"/>
              </w:rPr>
              <w:t>June 30</w:t>
            </w: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color w:val="auto"/>
              </w:rPr>
              <w:t>June 30</w:t>
            </w:r>
          </w:p>
        </w:tc>
        <w:tc>
          <w:tcPr>
            <w:tcW w:w="880" w:type="dxa"/>
            <w:vAlign w:val="bottom"/>
            <w:tcBorders>
              <w:bottom w:val="single" w:sz="8" w:color="auto"/>
            </w:tcBorders>
          </w:tcPr>
          <w:p>
            <w:pPr>
              <w:spacing w:after="0"/>
              <w:rPr>
                <w:sz w:val="16"/>
                <w:szCs w:val="16"/>
                <w:color w:val="auto"/>
              </w:rPr>
            </w:pPr>
          </w:p>
        </w:tc>
      </w:tr>
      <w:tr>
        <w:trPr>
          <w:trHeight w:val="264"/>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2017</w:t>
            </w:r>
          </w:p>
        </w:tc>
        <w:tc>
          <w:tcPr>
            <w:tcW w:w="6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w w:val="89"/>
              </w:rPr>
              <w:t>2016</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2017</w:t>
            </w: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2016</w:t>
            </w:r>
          </w:p>
        </w:tc>
      </w:tr>
      <w:tr>
        <w:trPr>
          <w:trHeight w:val="258"/>
        </w:trPr>
        <w:tc>
          <w:tcPr>
            <w:tcW w:w="448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2,071</w:t>
            </w:r>
          </w:p>
        </w:tc>
        <w:tc>
          <w:tcPr>
            <w:tcW w:w="66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1,689</w:t>
            </w:r>
          </w:p>
        </w:tc>
        <w:tc>
          <w:tcPr>
            <w:tcW w:w="4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4,088</w:t>
            </w:r>
          </w:p>
        </w:tc>
        <w:tc>
          <w:tcPr>
            <w:tcW w:w="6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3,311</w:t>
            </w:r>
          </w:p>
        </w:tc>
      </w:tr>
      <w:tr>
        <w:trPr>
          <w:trHeight w:val="270"/>
        </w:trPr>
        <w:tc>
          <w:tcPr>
            <w:tcW w:w="448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340" w:type="dxa"/>
            <w:vAlign w:val="bottom"/>
          </w:tcPr>
          <w:p>
            <w:pPr>
              <w:spacing w:after="0"/>
              <w:rPr>
                <w:sz w:val="23"/>
                <w:szCs w:val="23"/>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(265)</w:t>
            </w:r>
          </w:p>
        </w:tc>
        <w:tc>
          <w:tcPr>
            <w:tcW w:w="66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(223)</w:t>
            </w:r>
          </w:p>
        </w:tc>
        <w:tc>
          <w:tcPr>
            <w:tcW w:w="44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(496)</w:t>
            </w:r>
          </w:p>
        </w:tc>
        <w:tc>
          <w:tcPr>
            <w:tcW w:w="6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(415)</w:t>
            </w:r>
          </w:p>
        </w:tc>
      </w:tr>
      <w:tr>
        <w:trPr>
          <w:trHeight w:val="270"/>
        </w:trPr>
        <w:tc>
          <w:tcPr>
            <w:tcW w:w="448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340" w:type="dxa"/>
            <w:vAlign w:val="bottom"/>
          </w:tcPr>
          <w:p>
            <w:pPr>
              <w:spacing w:after="0"/>
              <w:rPr>
                <w:sz w:val="23"/>
                <w:szCs w:val="23"/>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(255)</w:t>
            </w:r>
          </w:p>
        </w:tc>
        <w:tc>
          <w:tcPr>
            <w:tcW w:w="660" w:type="dxa"/>
            <w:vAlign w:val="bottom"/>
          </w:tcPr>
          <w:p>
            <w:pPr>
              <w:spacing w:after="0"/>
              <w:rPr>
                <w:sz w:val="23"/>
                <w:szCs w:val="23"/>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(242)</w:t>
            </w:r>
          </w:p>
        </w:tc>
        <w:tc>
          <w:tcPr>
            <w:tcW w:w="44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(532)</w:t>
            </w:r>
          </w:p>
        </w:tc>
        <w:tc>
          <w:tcPr>
            <w:tcW w:w="6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(464)</w:t>
            </w:r>
          </w:p>
        </w:tc>
      </w:tr>
      <w:tr>
        <w:trPr>
          <w:trHeight w:val="276"/>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income (expense) items, net</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(164)</w:t>
            </w:r>
          </w:p>
        </w:tc>
        <w:tc>
          <w:tcPr>
            <w:tcW w:w="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(175)</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(308)</w:t>
            </w: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r>
      <w:tr>
        <w:trPr>
          <w:trHeight w:val="277"/>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before income taxes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1,387</w:t>
            </w:r>
          </w:p>
        </w:tc>
        <w:tc>
          <w:tcPr>
            <w:tcW w:w="6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1,049</w:t>
            </w:r>
          </w:p>
        </w:tc>
        <w:tc>
          <w:tcPr>
            <w:tcW w:w="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2,752</w:t>
            </w:r>
          </w:p>
        </w:tc>
        <w:tc>
          <w:tcPr>
            <w:tcW w:w="6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2,229</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1"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color w:val="auto"/>
        </w:rPr>
        <w:t>Exhibit 10.1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18 TO EMPLOYMENT AGREEMENT</w:t>
      </w:r>
    </w:p>
    <w:p>
      <w:pPr>
        <w:spacing w:after="0" w:line="201" w:lineRule="exact"/>
        <w:rPr>
          <w:sz w:val="20"/>
          <w:szCs w:val="20"/>
          <w:color w:val="auto"/>
        </w:rPr>
      </w:pPr>
    </w:p>
    <w:p>
      <w:pPr>
        <w:ind w:right="340" w:firstLine="1297"/>
        <w:spacing w:after="0" w:line="231" w:lineRule="auto"/>
        <w:rPr>
          <w:sz w:val="20"/>
          <w:szCs w:val="20"/>
          <w:color w:val="auto"/>
        </w:rPr>
      </w:pPr>
      <w:r>
        <w:rPr>
          <w:rFonts w:ascii="Arial" w:cs="Arial" w:eastAsia="Arial" w:hAnsi="Arial"/>
          <w:sz w:val="22"/>
          <w:szCs w:val="22"/>
          <w:color w:val="auto"/>
        </w:rPr>
        <w:t>This AMENDMENT NO. 18 TO EMPLOYMENT AGREEMENT is entered as of 5:00 p.m. on the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June, 2017, between COMCAST CORPORATION, a Pennsylvania corporation (together with its subsidiaries, the “Company”), and BRIAN L. ROBERTS (“Employee”).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BACKGROUND</w:t>
      </w:r>
    </w:p>
    <w:p>
      <w:pPr>
        <w:spacing w:after="0" w:line="206" w:lineRule="exact"/>
        <w:rPr>
          <w:sz w:val="20"/>
          <w:szCs w:val="20"/>
          <w:color w:val="auto"/>
        </w:rPr>
      </w:pPr>
    </w:p>
    <w:p>
      <w:pPr>
        <w:ind w:right="900" w:firstLine="1297"/>
        <w:spacing w:after="0" w:line="343" w:lineRule="auto"/>
        <w:rPr>
          <w:sz w:val="20"/>
          <w:szCs w:val="20"/>
          <w:color w:val="auto"/>
        </w:rPr>
      </w:pPr>
      <w:r>
        <w:rPr>
          <w:rFonts w:ascii="Arial" w:cs="Arial" w:eastAsia="Arial" w:hAnsi="Arial"/>
          <w:sz w:val="19"/>
          <w:szCs w:val="19"/>
          <w:color w:val="auto"/>
        </w:rPr>
        <w:t>WHEREAS, the parties entered into an Employment Agreement dated as of June 1, 2005, as amended (the “Agreement”), that sets forth the terms and conditions of Employee’s employment with the Company, and</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WHEREAS, the parties desire to amend the Agreement on the terms and conditions contained herein.</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the parties hereto, intending to be legally bound hereby, agree as follows: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1.  Subparagraph 2(ii) of the Agreement is hereby deleted and replaced in its entirety by the following: “(ii) July 31,</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2017.”</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  Except as modified hereby, the Agreement shall continue unmodified and in full force and effect.</w:t>
      </w:r>
    </w:p>
    <w:p>
      <w:pPr>
        <w:spacing w:after="0" w:line="220" w:lineRule="exact"/>
        <w:rPr>
          <w:sz w:val="20"/>
          <w:szCs w:val="20"/>
          <w:color w:val="auto"/>
        </w:rPr>
      </w:pPr>
    </w:p>
    <w:p>
      <w:pPr>
        <w:ind w:right="360" w:firstLine="1297"/>
        <w:spacing w:after="0" w:line="263" w:lineRule="auto"/>
        <w:rPr>
          <w:sz w:val="20"/>
          <w:szCs w:val="20"/>
          <w:color w:val="auto"/>
        </w:rPr>
      </w:pPr>
      <w:r>
        <w:rPr>
          <w:rFonts w:ascii="Arial" w:cs="Arial" w:eastAsia="Arial" w:hAnsi="Arial"/>
          <w:sz w:val="22"/>
          <w:szCs w:val="22"/>
          <w:color w:val="auto"/>
        </w:rPr>
        <w:t>IN WITNESS WHEREOF, the parties hereto have executed and delivered this Amendment No. 18 as of the time and date first-above written.</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COMCAST CORPORATION</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4979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497965" cy="8890"/>
                    </a:xfrm>
                    <a:prstGeom prst="rect">
                      <a:avLst/>
                    </a:prstGeom>
                    <a:noFill/>
                  </pic:spPr>
                </pic:pic>
              </a:graphicData>
            </a:graphic>
          </wp:anchor>
        </w:drawing>
      </w:r>
    </w:p>
    <w:p>
      <w:pPr>
        <w:spacing w:after="0" w:line="20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 June 30,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EMPLOYEE:</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-17780</wp:posOffset>
            </wp:positionV>
            <wp:extent cx="16313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63131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Brian L. Roberts</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 June 30, 2017</w:t>
      </w:r>
    </w:p>
    <w:p>
      <w:pPr>
        <w:sectPr>
          <w:pgSz w:w="11900" w:h="16838" w:orient="portrait"/>
          <w:cols w:equalWidth="0" w:num="1">
            <w:col w:w="11420"/>
          </w:cols>
          <w:pgMar w:left="240" w:top="122"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color w:val="auto"/>
        </w:rPr>
        <w:t>Exhibit 10.2</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374" w:lineRule="exact"/>
        <w:rPr>
          <w:sz w:val="20"/>
          <w:szCs w:val="20"/>
          <w:color w:val="auto"/>
        </w:rPr>
      </w:pPr>
    </w:p>
    <w:p>
      <w:pPr>
        <w:ind w:right="260" w:firstLine="648"/>
        <w:spacing w:after="0" w:line="343" w:lineRule="auto"/>
        <w:rPr>
          <w:sz w:val="20"/>
          <w:szCs w:val="20"/>
          <w:color w:val="auto"/>
        </w:rPr>
      </w:pPr>
      <w:r>
        <w:rPr>
          <w:rFonts w:ascii="Arial" w:cs="Arial" w:eastAsia="Arial" w:hAnsi="Arial"/>
          <w:sz w:val="19"/>
          <w:szCs w:val="19"/>
          <w:color w:val="auto"/>
        </w:rPr>
        <w:t>This EMPLOYMENT AGREEMENT is made as of the 26th day of July, 2017, between COMCAST CORPORATION, a Pennsylvania corporation (together with its subsidiaries, the "Company"), and BRIAN L. ROBERTS ("Employee").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BACKGROUND</w:t>
      </w:r>
    </w:p>
    <w:p>
      <w:pPr>
        <w:spacing w:after="0" w:line="374" w:lineRule="exact"/>
        <w:rPr>
          <w:sz w:val="20"/>
          <w:szCs w:val="20"/>
          <w:color w:val="auto"/>
        </w:rPr>
      </w:pPr>
    </w:p>
    <w:p>
      <w:pPr>
        <w:ind w:right="160" w:firstLine="648"/>
        <w:spacing w:after="0" w:line="248" w:lineRule="auto"/>
        <w:rPr>
          <w:sz w:val="20"/>
          <w:szCs w:val="20"/>
          <w:color w:val="auto"/>
        </w:rPr>
      </w:pPr>
      <w:r>
        <w:rPr>
          <w:rFonts w:ascii="Arial" w:cs="Arial" w:eastAsia="Arial" w:hAnsi="Arial"/>
          <w:sz w:val="22"/>
          <w:szCs w:val="22"/>
          <w:color w:val="auto"/>
        </w:rPr>
        <w:t>The Company and Employee are parties to an Employment Agreement dated as of June 1, 2005, as amended (the “2005 Agreement”). Employee desires to have Employee’s employment relationship with the Company continue and be governed by the terms and conditions of this Agreement, which include material benefits favorable to Employee. In return for such favorable benefits, Employee is agreeing to the terms and conditions contained in this Agreement which include material obligations on Employee.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Intending to be legally bound, the Company and Employee agree as follows:</w:t>
      </w:r>
    </w:p>
    <w:p>
      <w:pPr>
        <w:spacing w:after="0" w:line="368"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Position and Duties; Company Property</w:t>
      </w:r>
      <w:r>
        <w:rPr>
          <w:rFonts w:ascii="Arial" w:cs="Arial" w:eastAsia="Arial" w:hAnsi="Arial"/>
          <w:sz w:val="22"/>
          <w:szCs w:val="22"/>
          <w:color w:val="auto"/>
        </w:rPr>
        <w:t>.</w:t>
      </w:r>
    </w:p>
    <w:p>
      <w:pPr>
        <w:spacing w:after="0" w:line="368" w:lineRule="exact"/>
        <w:rPr>
          <w:rFonts w:ascii="Arial" w:cs="Arial" w:eastAsia="Arial" w:hAnsi="Arial"/>
          <w:sz w:val="22"/>
          <w:szCs w:val="22"/>
          <w:color w:val="auto"/>
        </w:rPr>
      </w:pPr>
    </w:p>
    <w:p>
      <w:pPr>
        <w:ind w:right="160" w:firstLine="1305"/>
        <w:spacing w:after="0" w:line="265" w:lineRule="auto"/>
        <w:tabs>
          <w:tab w:leader="none" w:pos="1752" w:val="left"/>
        </w:tabs>
        <w:numPr>
          <w:ilvl w:val="1"/>
          <w:numId w:val="15"/>
        </w:numPr>
        <w:rPr>
          <w:rFonts w:ascii="Arial" w:cs="Arial" w:eastAsia="Arial" w:hAnsi="Arial"/>
          <w:sz w:val="21"/>
          <w:szCs w:val="21"/>
          <w:color w:val="auto"/>
        </w:rPr>
      </w:pPr>
      <w:r>
        <w:rPr>
          <w:rFonts w:ascii="Arial" w:cs="Arial" w:eastAsia="Arial" w:hAnsi="Arial"/>
          <w:sz w:val="21"/>
          <w:szCs w:val="21"/>
          <w:color w:val="auto"/>
        </w:rPr>
        <w:t>Employee shall continue to serve and the Company shall continue to employ Employee in the positions of Chairman of the Board of Directors, President and Chief Executive Officer. The duties of Employee from time to time hereunder will be those assigned by the Board of Directors commensurate with Employee’s education, skills and experience. Employee shall be based at the Company’s principal executive offices in Philadelphia, Pennsylvania.</w:t>
      </w:r>
    </w:p>
    <w:p>
      <w:pPr>
        <w:spacing w:after="0" w:line="283" w:lineRule="exact"/>
        <w:rPr>
          <w:rFonts w:ascii="Arial" w:cs="Arial" w:eastAsia="Arial" w:hAnsi="Arial"/>
          <w:sz w:val="21"/>
          <w:szCs w:val="21"/>
          <w:color w:val="auto"/>
        </w:rPr>
      </w:pPr>
    </w:p>
    <w:p>
      <w:pPr>
        <w:ind w:right="20" w:firstLine="1305"/>
        <w:spacing w:after="0" w:line="259" w:lineRule="auto"/>
        <w:tabs>
          <w:tab w:leader="none" w:pos="1765" w:val="left"/>
        </w:tabs>
        <w:numPr>
          <w:ilvl w:val="1"/>
          <w:numId w:val="15"/>
        </w:numPr>
        <w:rPr>
          <w:rFonts w:ascii="Arial" w:cs="Arial" w:eastAsia="Arial" w:hAnsi="Arial"/>
          <w:sz w:val="21"/>
          <w:szCs w:val="21"/>
          <w:color w:val="auto"/>
        </w:rPr>
      </w:pPr>
      <w:r>
        <w:rPr>
          <w:rFonts w:ascii="Arial" w:cs="Arial" w:eastAsia="Arial" w:hAnsi="Arial"/>
          <w:sz w:val="21"/>
          <w:szCs w:val="21"/>
          <w:color w:val="auto"/>
        </w:rPr>
        <w:t>Employee shall work full-time and devote Employee’s reasonable best efforts to the business of the Company in a manner which will further the interests of the Company. Without the prior written consent of the Company, Employee shall not, directly or indirectly, work for or on behalf of any person or business, other than the Company. Nothing herein shall restrict Employee from engaging in non-compensatory civic and charitable activities with the consent of the Company, which consent shall not be unreasonably withheld or delayed. In this connection, the Company recognizes that it may be in the best interests of the Company for Employee to serve as a director on the board of directors of other companies or serve in various capacities for civic and charitable organizations, and that Employee may (subject to the foregoing consent requirements) devote a reasonable amount of time to such activities.</w:t>
      </w:r>
    </w:p>
    <w:p>
      <w:pPr>
        <w:spacing w:after="0" w:line="332" w:lineRule="exact"/>
        <w:rPr>
          <w:rFonts w:ascii="Arial" w:cs="Arial" w:eastAsia="Arial" w:hAnsi="Arial"/>
          <w:sz w:val="21"/>
          <w:szCs w:val="21"/>
          <w:color w:val="auto"/>
        </w:rPr>
      </w:pPr>
    </w:p>
    <w:p>
      <w:pPr>
        <w:ind w:firstLine="1305"/>
        <w:spacing w:after="0" w:line="265" w:lineRule="auto"/>
        <w:tabs>
          <w:tab w:leader="none" w:pos="1803" w:val="left"/>
        </w:tabs>
        <w:numPr>
          <w:ilvl w:val="1"/>
          <w:numId w:val="15"/>
        </w:numPr>
        <w:rPr>
          <w:rFonts w:ascii="Arial" w:cs="Arial" w:eastAsia="Arial" w:hAnsi="Arial"/>
          <w:sz w:val="21"/>
          <w:szCs w:val="21"/>
          <w:color w:val="auto"/>
        </w:rPr>
      </w:pPr>
      <w:r>
        <w:rPr>
          <w:rFonts w:ascii="Arial" w:cs="Arial" w:eastAsia="Arial" w:hAnsi="Arial"/>
          <w:sz w:val="21"/>
          <w:szCs w:val="21"/>
          <w:color w:val="auto"/>
        </w:rPr>
        <w:t>The Company shall own, and be entitled to receive all of the results and proceeds of, items produced or created by Employee (including, without limitation, inventions, patents, copyrights, trademarks, literary material and any other intellectual property) that: (i) relates to the Company’s businesses, whether produced or created during employment or within one year following termination of employment; or (ii) relates to any business, if produced or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32" w:right="239" w:bottom="1440" w:gutter="0" w:footer="0" w:header="0"/>
        </w:sectPr>
      </w:pPr>
    </w:p>
    <w:bookmarkStart w:id="60" w:name="page61"/>
    <w:bookmarkEnd w:id="60"/>
    <w:p>
      <w:pPr>
        <w:ind w:left="10360"/>
        <w:spacing w:after="0"/>
        <w:rPr>
          <w:sz w:val="20"/>
          <w:szCs w:val="20"/>
          <w:color w:val="auto"/>
        </w:rPr>
      </w:pPr>
      <w:r>
        <w:rPr>
          <w:rFonts w:ascii="Arial" w:cs="Arial" w:eastAsia="Arial" w:hAnsi="Arial"/>
          <w:sz w:val="19"/>
          <w:szCs w:val="19"/>
          <w:color w:val="auto"/>
        </w:rPr>
        <w:t>Exhibit 10.2</w:t>
      </w:r>
    </w:p>
    <w:p>
      <w:pPr>
        <w:spacing w:after="0" w:line="335" w:lineRule="exact"/>
        <w:rPr>
          <w:sz w:val="20"/>
          <w:szCs w:val="20"/>
          <w:color w:val="auto"/>
        </w:rPr>
      </w:pPr>
    </w:p>
    <w:p>
      <w:pPr>
        <w:ind w:right="280"/>
        <w:spacing w:after="0" w:line="271" w:lineRule="auto"/>
        <w:rPr>
          <w:sz w:val="20"/>
          <w:szCs w:val="20"/>
          <w:color w:val="auto"/>
        </w:rPr>
      </w:pPr>
      <w:r>
        <w:rPr>
          <w:rFonts w:ascii="Arial" w:cs="Arial" w:eastAsia="Arial" w:hAnsi="Arial"/>
          <w:sz w:val="21"/>
          <w:szCs w:val="21"/>
          <w:color w:val="auto"/>
        </w:rPr>
        <w:t>created during working hours or using the Company’s information, materials or facilities. Employee will, at the request of the Company, execute such instruments as the Company may from time to time reasonably deem necessary or desirable to evidence, establish, maintain, protect, enforce and defend its title in and right to any such items.</w:t>
      </w:r>
    </w:p>
    <w:p>
      <w:pPr>
        <w:spacing w:after="0" w:line="316" w:lineRule="exact"/>
        <w:rPr>
          <w:sz w:val="20"/>
          <w:szCs w:val="20"/>
          <w:color w:val="auto"/>
        </w:rPr>
      </w:pPr>
    </w:p>
    <w:p>
      <w:pPr>
        <w:ind w:right="160" w:firstLine="8"/>
        <w:spacing w:after="0" w:line="290" w:lineRule="auto"/>
        <w:tabs>
          <w:tab w:leader="none" w:pos="378"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(the "Term”) shall be from August 1, 2017 (the “Commencement Date”) through July 31, 2020 (the “Last Day”), provided that the Last Day shall be extended automatically for one (1) additional day for each day that elapses after August 1, 2017 (so that the Term is always three (3) years), unless, either party gives the other party written notice (a “Non-Renewal Notice”) that the Term shall end (</w:t>
      </w:r>
      <w:r>
        <w:rPr>
          <w:rFonts w:ascii="Arial" w:cs="Arial" w:eastAsia="Arial" w:hAnsi="Arial"/>
          <w:sz w:val="19"/>
          <w:szCs w:val="19"/>
          <w:i w:val="1"/>
          <w:iCs w:val="1"/>
          <w:u w:val="single" w:color="auto"/>
          <w:color w:val="auto"/>
        </w:rPr>
        <w:t>i.e.</w:t>
      </w:r>
      <w:r>
        <w:rPr>
          <w:rFonts w:ascii="Arial" w:cs="Arial" w:eastAsia="Arial" w:hAnsi="Arial"/>
          <w:sz w:val="19"/>
          <w:szCs w:val="19"/>
          <w:color w:val="auto"/>
        </w:rPr>
        <w:t>, shall no longer be extended) on a date (the “Non-Renewal Date”) that is at least ninety (90) days following the date of the Non-Renewal Notice. Notwithstanding the foregoing, the Term shall be earlier terminated on the date, if any, that Employee’s employment is terminated in accordance with Paragraph 10. Notwithstanding the end of the Term, certain provisions of this Agreement, including, but not limited to, any payments to be made after the Term and the covenants contained in Paragraphs 12 and 13, shall be enforceable after the end of the Term.</w:t>
      </w:r>
    </w:p>
    <w:p>
      <w:pPr>
        <w:spacing w:after="0" w:line="305" w:lineRule="exact"/>
        <w:rPr>
          <w:rFonts w:ascii="Arial" w:cs="Arial" w:eastAsia="Arial" w:hAnsi="Arial"/>
          <w:sz w:val="19"/>
          <w:szCs w:val="19"/>
          <w:color w:val="auto"/>
        </w:rPr>
      </w:pPr>
    </w:p>
    <w:p>
      <w:pPr>
        <w:ind w:left="380" w:hanging="372"/>
        <w:spacing w:after="0"/>
        <w:tabs>
          <w:tab w:leader="none" w:pos="38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Cash Compensation</w:t>
      </w:r>
      <w:r>
        <w:rPr>
          <w:rFonts w:ascii="Arial" w:cs="Arial" w:eastAsia="Arial" w:hAnsi="Arial"/>
          <w:sz w:val="22"/>
          <w:szCs w:val="22"/>
          <w:color w:val="auto"/>
        </w:rPr>
        <w:t>.</w:t>
      </w:r>
    </w:p>
    <w:p>
      <w:pPr>
        <w:spacing w:after="0" w:line="368" w:lineRule="exact"/>
        <w:rPr>
          <w:rFonts w:ascii="Arial" w:cs="Arial" w:eastAsia="Arial" w:hAnsi="Arial"/>
          <w:sz w:val="22"/>
          <w:szCs w:val="22"/>
          <w:color w:val="auto"/>
        </w:rPr>
      </w:pPr>
    </w:p>
    <w:p>
      <w:pPr>
        <w:ind w:right="60" w:firstLine="1305"/>
        <w:spacing w:after="0" w:line="297" w:lineRule="auto"/>
        <w:tabs>
          <w:tab w:leader="none" w:pos="1752"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Employee’s base salary from the Commencement Date through February 28, 2018 shall be at Employee’s current annual rate (“Base Salary”). Base Salary, less normal deductions, shall be paid to Employee in accordance with the Company’s regular payroll practices in effect from time to time. Base Salary shall be reviewed for increase for each subsequent calendar year (or portion thereof) in the Term. Once established at an increased annual rate, Base Salary shall not thereafter be reduced unless such reduction is pursuant to an overall plan to reduce the salaries of all senior executive officers of the Company.</w:t>
      </w:r>
    </w:p>
    <w:p>
      <w:pPr>
        <w:spacing w:after="0" w:line="295" w:lineRule="exact"/>
        <w:rPr>
          <w:rFonts w:ascii="Arial" w:cs="Arial" w:eastAsia="Arial" w:hAnsi="Arial"/>
          <w:sz w:val="19"/>
          <w:szCs w:val="19"/>
          <w:color w:val="auto"/>
        </w:rPr>
      </w:pPr>
    </w:p>
    <w:p>
      <w:pPr>
        <w:ind w:right="60" w:firstLine="1305"/>
        <w:spacing w:after="0" w:line="297" w:lineRule="auto"/>
        <w:tabs>
          <w:tab w:leader="none" w:pos="1765"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Cash Bonuses</w:t>
      </w:r>
      <w:r>
        <w:rPr>
          <w:rFonts w:ascii="Arial" w:cs="Arial" w:eastAsia="Arial" w:hAnsi="Arial"/>
          <w:sz w:val="19"/>
          <w:szCs w:val="19"/>
          <w:color w:val="auto"/>
        </w:rPr>
        <w:t>. Employee shall be entitled to participate in the Company’s cash bonus plans with respect to 2017 and each subsequent calendar year in the Term, with a target bonus potential (assuming achievement of 100% of performance goals) expressed as a percentage of Base Salary, as may be determined by the Compensation Committee of the Company’s Board of Directors, provided that in no event will such percentage be less than 300%. The performance goals applicable to such cash bonus will be the same as those applicable to other senior executive officers, taking into account Employee’s positions and duties.</w:t>
      </w:r>
    </w:p>
    <w:p>
      <w:pPr>
        <w:spacing w:after="0" w:line="295" w:lineRule="exact"/>
        <w:rPr>
          <w:rFonts w:ascii="Arial" w:cs="Arial" w:eastAsia="Arial" w:hAnsi="Arial"/>
          <w:sz w:val="19"/>
          <w:szCs w:val="19"/>
          <w:color w:val="auto"/>
        </w:rPr>
      </w:pPr>
    </w:p>
    <w:p>
      <w:pPr>
        <w:ind w:left="1760" w:hanging="455"/>
        <w:spacing w:after="0"/>
        <w:tabs>
          <w:tab w:leader="none" w:pos="1760"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All compensation under this Agreement is subject to applicable tax withholding requirements.</w:t>
      </w:r>
    </w:p>
    <w:p>
      <w:pPr>
        <w:spacing w:after="0" w:line="146" w:lineRule="exact"/>
        <w:rPr>
          <w:rFonts w:ascii="Arial" w:cs="Arial" w:eastAsia="Arial" w:hAnsi="Arial"/>
          <w:sz w:val="19"/>
          <w:szCs w:val="19"/>
          <w:color w:val="auto"/>
        </w:rPr>
      </w:pPr>
    </w:p>
    <w:p>
      <w:pPr>
        <w:ind w:right="200" w:firstLine="8"/>
        <w:spacing w:after="0" w:line="271" w:lineRule="auto"/>
        <w:tabs>
          <w:tab w:leader="none" w:pos="378" w:val="left"/>
        </w:tabs>
        <w:numPr>
          <w:ilvl w:val="0"/>
          <w:numId w:val="16"/>
        </w:numPr>
        <w:rPr>
          <w:rFonts w:ascii="Arial" w:cs="Arial" w:eastAsia="Arial" w:hAnsi="Arial"/>
          <w:sz w:val="21"/>
          <w:szCs w:val="21"/>
          <w:color w:val="auto"/>
        </w:rPr>
      </w:pPr>
      <w:r>
        <w:rPr>
          <w:rFonts w:ascii="Arial" w:cs="Arial" w:eastAsia="Arial" w:hAnsi="Arial"/>
          <w:sz w:val="21"/>
          <w:szCs w:val="21"/>
          <w:u w:val="single" w:color="auto"/>
          <w:color w:val="auto"/>
        </w:rPr>
        <w:t>Stock Option/Restricted Stock Grants</w:t>
      </w:r>
      <w:r>
        <w:rPr>
          <w:rFonts w:ascii="Arial" w:cs="Arial" w:eastAsia="Arial" w:hAnsi="Arial"/>
          <w:sz w:val="21"/>
          <w:szCs w:val="21"/>
          <w:color w:val="auto"/>
        </w:rPr>
        <w:t>. Employee shall be entitled to participate in any annual (or other) broad-based grant programs under the Company’s Stock Option Plans and/or Restricted Stock Plan on the same basis as is applicable to other senior executive officers, taking into account Employee’s positions, duties and performance.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32"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color w:val="auto"/>
        </w:rPr>
        <w:t>Exhibit 10.2</w:t>
      </w:r>
    </w:p>
    <w:p>
      <w:pPr>
        <w:spacing w:after="0" w:line="301"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Deferred Compensation</w:t>
      </w:r>
      <w:r>
        <w:rPr>
          <w:rFonts w:ascii="Arial" w:cs="Arial" w:eastAsia="Arial" w:hAnsi="Arial"/>
          <w:sz w:val="22"/>
          <w:szCs w:val="22"/>
          <w:color w:val="auto"/>
        </w:rPr>
        <w:t>.</w:t>
      </w:r>
    </w:p>
    <w:p>
      <w:pPr>
        <w:spacing w:after="0" w:line="57" w:lineRule="exact"/>
        <w:rPr>
          <w:rFonts w:ascii="Arial" w:cs="Arial" w:eastAsia="Arial" w:hAnsi="Arial"/>
          <w:sz w:val="22"/>
          <w:szCs w:val="22"/>
          <w:color w:val="auto"/>
        </w:rPr>
      </w:pPr>
    </w:p>
    <w:p>
      <w:pPr>
        <w:ind w:right="240" w:firstLine="1305"/>
        <w:spacing w:after="0" w:line="263" w:lineRule="auto"/>
        <w:tabs>
          <w:tab w:leader="none" w:pos="1752" w:val="left"/>
        </w:tabs>
        <w:numPr>
          <w:ilvl w:val="1"/>
          <w:numId w:val="17"/>
        </w:numPr>
        <w:rPr>
          <w:rFonts w:ascii="Arial" w:cs="Arial" w:eastAsia="Arial" w:hAnsi="Arial"/>
          <w:sz w:val="22"/>
          <w:szCs w:val="22"/>
          <w:color w:val="auto"/>
        </w:rPr>
      </w:pPr>
      <w:r>
        <w:rPr>
          <w:rFonts w:ascii="Arial" w:cs="Arial" w:eastAsia="Arial" w:hAnsi="Arial"/>
          <w:sz w:val="22"/>
          <w:szCs w:val="22"/>
          <w:color w:val="auto"/>
        </w:rPr>
        <w:t>Employee shall be entitled to participate in the Company’s deferred compensation plans and programs on the same terms as the Company’s other senior executive officers.</w:t>
      </w:r>
    </w:p>
    <w:p>
      <w:pPr>
        <w:spacing w:after="0" w:line="323" w:lineRule="exact"/>
        <w:rPr>
          <w:rFonts w:ascii="Arial" w:cs="Arial" w:eastAsia="Arial" w:hAnsi="Arial"/>
          <w:sz w:val="22"/>
          <w:szCs w:val="22"/>
          <w:color w:val="auto"/>
        </w:rPr>
      </w:pPr>
    </w:p>
    <w:p>
      <w:pPr>
        <w:ind w:right="40" w:firstLine="1305"/>
        <w:spacing w:after="0" w:line="259" w:lineRule="auto"/>
        <w:tabs>
          <w:tab w:leader="none" w:pos="1765" w:val="left"/>
        </w:tabs>
        <w:numPr>
          <w:ilvl w:val="1"/>
          <w:numId w:val="17"/>
        </w:numPr>
        <w:rPr>
          <w:rFonts w:ascii="Arial" w:cs="Arial" w:eastAsia="Arial" w:hAnsi="Arial"/>
          <w:sz w:val="20"/>
          <w:szCs w:val="20"/>
          <w:color w:val="auto"/>
        </w:rPr>
      </w:pPr>
      <w:r>
        <w:rPr>
          <w:rFonts w:ascii="Arial" w:cs="Arial" w:eastAsia="Arial" w:hAnsi="Arial"/>
          <w:sz w:val="20"/>
          <w:szCs w:val="20"/>
          <w:color w:val="auto"/>
        </w:rPr>
        <w:t>In addition, the Company shall credit to Employee’s account under, and pursuant to the terms and conditions of, the Company’s 2005 Deferred Compensation Plan (or any successor plan) (the “Deferred Compensation Plan”), as of January 1, 2018, the following amount: $4,432,366. The Company shall also credit to such account on each January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of each calendar year in the Term following 2018 an amount equal to the prior year’s credit amount multiplied by 1.05.</w:t>
      </w:r>
    </w:p>
    <w:p>
      <w:pPr>
        <w:spacing w:after="0" w:line="323" w:lineRule="exact"/>
        <w:rPr>
          <w:rFonts w:ascii="Arial" w:cs="Arial" w:eastAsia="Arial" w:hAnsi="Arial"/>
          <w:sz w:val="20"/>
          <w:szCs w:val="20"/>
          <w:color w:val="auto"/>
        </w:rPr>
      </w:pPr>
    </w:p>
    <w:p>
      <w:pPr>
        <w:ind w:right="40" w:firstLine="8"/>
        <w:spacing w:after="0" w:line="253" w:lineRule="auto"/>
        <w:tabs>
          <w:tab w:leader="none" w:pos="378"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Vacation and Other Paid Time Off</w:t>
      </w:r>
      <w:r>
        <w:rPr>
          <w:rFonts w:ascii="Arial" w:cs="Arial" w:eastAsia="Arial" w:hAnsi="Arial"/>
          <w:sz w:val="22"/>
          <w:szCs w:val="22"/>
          <w:color w:val="auto"/>
        </w:rPr>
        <w:t>. Employee shall be entitled to not fewer than the same number of paid vacation days in each calendar year as he is currently entitled. Employee shall also be entitled to all paid time off given by the Company to its senior executive officers.</w:t>
      </w:r>
    </w:p>
    <w:p>
      <w:pPr>
        <w:spacing w:after="0" w:line="293" w:lineRule="exact"/>
        <w:rPr>
          <w:rFonts w:ascii="Arial" w:cs="Arial" w:eastAsia="Arial" w:hAnsi="Arial"/>
          <w:sz w:val="22"/>
          <w:szCs w:val="22"/>
          <w:color w:val="auto"/>
        </w:rPr>
      </w:pPr>
    </w:p>
    <w:p>
      <w:pPr>
        <w:ind w:right="60" w:firstLine="8"/>
        <w:spacing w:after="0" w:line="253" w:lineRule="auto"/>
        <w:tabs>
          <w:tab w:leader="none" w:pos="378"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Perquisites</w:t>
      </w:r>
      <w:r>
        <w:rPr>
          <w:rFonts w:ascii="Arial" w:cs="Arial" w:eastAsia="Arial" w:hAnsi="Arial"/>
          <w:sz w:val="22"/>
          <w:szCs w:val="22"/>
          <w:color w:val="auto"/>
        </w:rPr>
        <w:t>. Employee shall be entitled to continue to receive not less than the perquisites and other fringe benefits he currently receives in accordance with the Company’s present policies and practices, including without limitation the Company’s Aviation Policy.</w:t>
      </w:r>
    </w:p>
    <w:p>
      <w:pPr>
        <w:spacing w:after="0" w:line="334" w:lineRule="exact"/>
        <w:rPr>
          <w:rFonts w:ascii="Arial" w:cs="Arial" w:eastAsia="Arial" w:hAnsi="Arial"/>
          <w:sz w:val="22"/>
          <w:szCs w:val="22"/>
          <w:color w:val="auto"/>
        </w:rPr>
      </w:pPr>
    </w:p>
    <w:p>
      <w:pPr>
        <w:ind w:right="20" w:firstLine="8"/>
        <w:spacing w:after="0" w:line="288" w:lineRule="auto"/>
        <w:tabs>
          <w:tab w:leader="none" w:pos="378"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Other Benefits</w:t>
      </w:r>
      <w:r>
        <w:rPr>
          <w:rFonts w:ascii="Arial" w:cs="Arial" w:eastAsia="Arial" w:hAnsi="Arial"/>
          <w:sz w:val="19"/>
          <w:szCs w:val="19"/>
          <w:color w:val="auto"/>
        </w:rPr>
        <w:t>. Employee shall be entitled to receive and participate in all of the Company’s existing and future compensation and benefit plans and programs and employment agreement provisions (including group insurance programs, vacation benefits, acceleration of vesting provisions, tax gross-up benefits, and applicable directors and officers liability insurance and indemnification and advancement of expenses provisions relating to claims made by third parties against Employee in Employee’s role as an employee, officer or director of the Company), in each case on the same terms and at the same cost to the Company and Employee as are made available to the Company’s other senior executive officers, in accordance with the terms of such plans, programs and agreements. Nothing in this Agreement shall limit the Company’s right to modify or discontinue any plans or programs at any time, provided no such action may adversely affect any vested rights of Employee thereunder or disproportionately affect Employee as compared to other senior executive officers. The provisions of this Paragraph 8 shall not apply to compensation and benefits (including, without limitation, salary and cash bonus continuation) addressed in this Agreement, in which case the applicable terms of this Agreement shall apply.</w:t>
      </w:r>
    </w:p>
    <w:p>
      <w:pPr>
        <w:spacing w:after="0" w:line="200" w:lineRule="exact"/>
        <w:rPr>
          <w:rFonts w:ascii="Arial" w:cs="Arial" w:eastAsia="Arial" w:hAnsi="Arial"/>
          <w:sz w:val="19"/>
          <w:szCs w:val="19"/>
          <w:color w:val="auto"/>
        </w:rPr>
      </w:pPr>
    </w:p>
    <w:p>
      <w:pPr>
        <w:spacing w:after="0" w:line="365" w:lineRule="exact"/>
        <w:rPr>
          <w:rFonts w:ascii="Arial" w:cs="Arial" w:eastAsia="Arial" w:hAnsi="Arial"/>
          <w:sz w:val="19"/>
          <w:szCs w:val="19"/>
          <w:color w:val="auto"/>
        </w:rPr>
      </w:pPr>
    </w:p>
    <w:p>
      <w:pPr>
        <w:ind w:right="100" w:firstLine="8"/>
        <w:spacing w:after="0" w:line="250" w:lineRule="auto"/>
        <w:tabs>
          <w:tab w:leader="none" w:pos="378"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Business Expenses</w:t>
      </w:r>
      <w:r>
        <w:rPr>
          <w:rFonts w:ascii="Arial" w:cs="Arial" w:eastAsia="Arial" w:hAnsi="Arial"/>
          <w:sz w:val="22"/>
          <w:szCs w:val="22"/>
          <w:color w:val="auto"/>
        </w:rPr>
        <w:t>. The Company shall pay or reimburse Employee for reasonable travel, entertainment and other expenses incurred by Employee in connection with the performance of Employee’s duties upon receipt of vouchers therefor submitted to the Company on a timely basis and in accordance with the Company’s procedures and practices in effect from time to time for its senior executive officers.</w:t>
      </w:r>
    </w:p>
    <w:p>
      <w:pPr>
        <w:spacing w:after="0" w:line="337" w:lineRule="exact"/>
        <w:rPr>
          <w:rFonts w:ascii="Arial" w:cs="Arial" w:eastAsia="Arial" w:hAnsi="Arial"/>
          <w:sz w:val="22"/>
          <w:szCs w:val="22"/>
          <w:color w:val="auto"/>
        </w:rPr>
      </w:pPr>
    </w:p>
    <w:p>
      <w:pPr>
        <w:ind w:right="240" w:firstLine="8"/>
        <w:spacing w:after="0" w:line="263" w:lineRule="auto"/>
        <w:tabs>
          <w:tab w:leader="none" w:pos="486"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Employee’s employment, and the Company's obligations under this Agreement (excluding any obligations the Company may have under Paragraph 11, any other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32" w:right="239" w:bottom="1440" w:gutter="0" w:footer="0" w:header="0"/>
        </w:sectPr>
      </w:pPr>
    </w:p>
    <w:bookmarkStart w:id="62" w:name="page63"/>
    <w:bookmarkEnd w:id="62"/>
    <w:p>
      <w:pPr>
        <w:ind w:left="10360"/>
        <w:spacing w:after="0"/>
        <w:rPr>
          <w:sz w:val="20"/>
          <w:szCs w:val="20"/>
          <w:color w:val="auto"/>
        </w:rPr>
      </w:pPr>
      <w:r>
        <w:rPr>
          <w:rFonts w:ascii="Arial" w:cs="Arial" w:eastAsia="Arial" w:hAnsi="Arial"/>
          <w:sz w:val="19"/>
          <w:szCs w:val="19"/>
          <w:color w:val="auto"/>
        </w:rPr>
        <w:t>Exhibit 10.2</w:t>
      </w:r>
    </w:p>
    <w:p>
      <w:pPr>
        <w:spacing w:after="0" w:line="335" w:lineRule="exact"/>
        <w:rPr>
          <w:sz w:val="20"/>
          <w:szCs w:val="20"/>
          <w:color w:val="auto"/>
        </w:rPr>
      </w:pPr>
    </w:p>
    <w:p>
      <w:pPr>
        <w:ind w:right="600"/>
        <w:spacing w:after="0" w:line="263" w:lineRule="auto"/>
        <w:rPr>
          <w:sz w:val="20"/>
          <w:szCs w:val="20"/>
          <w:color w:val="auto"/>
        </w:rPr>
      </w:pPr>
      <w:r>
        <w:rPr>
          <w:rFonts w:ascii="Arial" w:cs="Arial" w:eastAsia="Arial" w:hAnsi="Arial"/>
          <w:sz w:val="22"/>
          <w:szCs w:val="22"/>
          <w:color w:val="auto"/>
        </w:rPr>
        <w:t>obligations expressly set forth herein as surviving termination of employment, and any obligations with respect to any vested benefits of Employee), shall or may be terminated in the circumstances set forth below.</w:t>
      </w:r>
    </w:p>
    <w:p>
      <w:pPr>
        <w:spacing w:after="0" w:line="323" w:lineRule="exact"/>
        <w:rPr>
          <w:sz w:val="20"/>
          <w:szCs w:val="20"/>
          <w:color w:val="auto"/>
        </w:rPr>
      </w:pPr>
    </w:p>
    <w:p>
      <w:pPr>
        <w:ind w:left="1760" w:hanging="455"/>
        <w:spacing w:after="0"/>
        <w:tabs>
          <w:tab w:leader="none" w:pos="176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Employee’s employment shall terminate automatically in the event of Employee's death.</w:t>
      </w:r>
    </w:p>
    <w:p>
      <w:pPr>
        <w:spacing w:after="0" w:line="368" w:lineRule="exact"/>
        <w:rPr>
          <w:rFonts w:ascii="Arial" w:cs="Arial" w:eastAsia="Arial" w:hAnsi="Arial"/>
          <w:sz w:val="22"/>
          <w:szCs w:val="22"/>
          <w:color w:val="auto"/>
        </w:rPr>
      </w:pPr>
    </w:p>
    <w:p>
      <w:pPr>
        <w:ind w:right="80" w:firstLine="1305"/>
        <w:spacing w:after="0" w:line="265" w:lineRule="auto"/>
        <w:tabs>
          <w:tab w:leader="none" w:pos="1765" w:val="left"/>
        </w:tabs>
        <w:numPr>
          <w:ilvl w:val="0"/>
          <w:numId w:val="18"/>
        </w:numPr>
        <w:rPr>
          <w:rFonts w:ascii="Arial" w:cs="Arial" w:eastAsia="Arial" w:hAnsi="Arial"/>
          <w:sz w:val="21"/>
          <w:szCs w:val="21"/>
          <w:color w:val="auto"/>
        </w:rPr>
      </w:pPr>
      <w:r>
        <w:rPr>
          <w:rFonts w:ascii="Arial" w:cs="Arial" w:eastAsia="Arial" w:hAnsi="Arial"/>
          <w:sz w:val="21"/>
          <w:szCs w:val="21"/>
          <w:u w:val="single" w:color="auto"/>
          <w:color w:val="auto"/>
        </w:rPr>
        <w:t>Disability</w:t>
      </w:r>
      <w:r>
        <w:rPr>
          <w:rFonts w:ascii="Arial" w:cs="Arial" w:eastAsia="Arial" w:hAnsi="Arial"/>
          <w:sz w:val="21"/>
          <w:szCs w:val="21"/>
          <w:color w:val="auto"/>
        </w:rPr>
        <w:t>. The Company may terminate Employee’s employment in accordance with the provisions of applicable law, in the event Employee becomes substantially unable to perform Employee’s duties hereunder due to partial or total disability or incapacity resulting from a mental or physical illness, injury or other health-related cause ("Disability") for a period of nine (9) consecutive months or for a cumulative period of fifty-two (52) weeks during the Term.</w:t>
      </w:r>
    </w:p>
    <w:p>
      <w:pPr>
        <w:spacing w:after="0" w:line="283" w:lineRule="exact"/>
        <w:rPr>
          <w:rFonts w:ascii="Arial" w:cs="Arial" w:eastAsia="Arial" w:hAnsi="Arial"/>
          <w:sz w:val="21"/>
          <w:szCs w:val="21"/>
          <w:color w:val="auto"/>
        </w:rPr>
      </w:pPr>
    </w:p>
    <w:p>
      <w:pPr>
        <w:ind w:left="1760" w:hanging="455"/>
        <w:spacing w:after="0"/>
        <w:tabs>
          <w:tab w:leader="none" w:pos="176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Discharge With Cause by the Company or Termination by Employee Without Good Reason</w:t>
      </w:r>
      <w:r>
        <w:rPr>
          <w:rFonts w:ascii="Arial" w:cs="Arial" w:eastAsia="Arial" w:hAnsi="Arial"/>
          <w:sz w:val="22"/>
          <w:szCs w:val="22"/>
          <w:color w:val="auto"/>
        </w:rPr>
        <w:t>.</w:t>
      </w:r>
    </w:p>
    <w:p>
      <w:pPr>
        <w:spacing w:after="0" w:line="57" w:lineRule="exact"/>
        <w:rPr>
          <w:rFonts w:ascii="Arial" w:cs="Arial" w:eastAsia="Arial" w:hAnsi="Arial"/>
          <w:sz w:val="22"/>
          <w:szCs w:val="22"/>
          <w:color w:val="auto"/>
        </w:rPr>
      </w:pPr>
    </w:p>
    <w:p>
      <w:pPr>
        <w:ind w:right="20" w:firstLine="1953"/>
        <w:spacing w:after="0" w:line="286" w:lineRule="auto"/>
        <w:tabs>
          <w:tab w:leader="none" w:pos="2365" w:val="left"/>
        </w:tabs>
        <w:numPr>
          <w:ilvl w:val="1"/>
          <w:numId w:val="18"/>
        </w:numPr>
        <w:rPr>
          <w:rFonts w:ascii="Arial" w:cs="Arial" w:eastAsia="Arial" w:hAnsi="Arial"/>
          <w:sz w:val="19"/>
          <w:szCs w:val="19"/>
          <w:color w:val="auto"/>
        </w:rPr>
      </w:pPr>
      <w:r>
        <w:rPr>
          <w:rFonts w:ascii="Arial" w:cs="Arial" w:eastAsia="Arial" w:hAnsi="Arial"/>
          <w:sz w:val="19"/>
          <w:szCs w:val="19"/>
          <w:color w:val="auto"/>
        </w:rPr>
        <w:t>Subject to the last sentence of this subparagraph, the Company may terminate Employee’s employment in any of the following events (“Discharge With Cause”): Employee’s willful engagement in misconduct that is materially injurious to the Company, monetarily or otherwise (including without limitation Employee’s fraud, misappropriation, embezzlement, self-dealing, dishonesty, misrepresentation and conviction of a crime of a felony); Employee’s willful material violation of any material Company policy; Employee’s willful material violation of the Company’s Code of Conduct; or Employee’s willful material breach of any provision of this Agreement (which, as to the last three items, if capable of being cured, shall remain uncured following thirty (30) days after written notice thereof). For purposes of this subparagraph, no act, or failure to act, on Employee’s part shall be considered “willful” unless done, or omitted to be done, by him not in good faith and without reasonable belief that his action or omission was in the best interests of the Company. Notwithstanding the foregoing, Employee shall not be deemed to have been Discharged With Cause unless and until there shall have been delivered to Employee a copy of a resolution, duly adopted by the affirmative vote of at least 75% of the Board of Directors at a meeting of the Board called and held for such purpose (after reasonable notice to Employee and an opportunity for him, together with his counsel, to be heard before the Board), finding that in the good faith opinion of the Board the Employee was guilty of the acts or failures to act that are the basis for the Discharge With Cause, and specifying the particulars thereof in detail.</w:t>
      </w:r>
    </w:p>
    <w:p>
      <w:pPr>
        <w:spacing w:after="0" w:line="261" w:lineRule="exact"/>
        <w:rPr>
          <w:rFonts w:ascii="Arial" w:cs="Arial" w:eastAsia="Arial" w:hAnsi="Arial"/>
          <w:sz w:val="19"/>
          <w:szCs w:val="19"/>
          <w:color w:val="auto"/>
        </w:rPr>
      </w:pPr>
    </w:p>
    <w:p>
      <w:pPr>
        <w:ind w:right="420" w:firstLine="1953"/>
        <w:spacing w:after="0" w:line="263" w:lineRule="auto"/>
        <w:tabs>
          <w:tab w:leader="none" w:pos="2425" w:val="left"/>
        </w:tabs>
        <w:numPr>
          <w:ilvl w:val="1"/>
          <w:numId w:val="18"/>
        </w:numPr>
        <w:rPr>
          <w:rFonts w:ascii="Arial" w:cs="Arial" w:eastAsia="Arial" w:hAnsi="Arial"/>
          <w:sz w:val="22"/>
          <w:szCs w:val="22"/>
          <w:color w:val="auto"/>
        </w:rPr>
      </w:pPr>
      <w:r>
        <w:rPr>
          <w:rFonts w:ascii="Arial" w:cs="Arial" w:eastAsia="Arial" w:hAnsi="Arial"/>
          <w:sz w:val="22"/>
          <w:szCs w:val="22"/>
          <w:color w:val="auto"/>
        </w:rPr>
        <w:t>Employee may terminate his employment without Good Reason (as defined in subparagraph (d)(ii) below) at any time during the Term (“Without Good Reason”).</w:t>
      </w:r>
    </w:p>
    <w:p>
      <w:pPr>
        <w:spacing w:after="0" w:line="323" w:lineRule="exact"/>
        <w:rPr>
          <w:rFonts w:ascii="Arial" w:cs="Arial" w:eastAsia="Arial" w:hAnsi="Arial"/>
          <w:sz w:val="22"/>
          <w:szCs w:val="22"/>
          <w:color w:val="auto"/>
        </w:rPr>
      </w:pPr>
    </w:p>
    <w:p>
      <w:pPr>
        <w:ind w:right="860" w:firstLine="1305"/>
        <w:spacing w:after="0" w:line="263" w:lineRule="auto"/>
        <w:tabs>
          <w:tab w:leader="none" w:pos="1765"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Discharge Without Cause or Deemed Termination Without Cause by the Company, or Termination by Employee With Good Reason</w:t>
      </w:r>
      <w:r>
        <w:rPr>
          <w:rFonts w:ascii="Arial" w:cs="Arial" w:eastAsia="Arial" w:hAnsi="Arial"/>
          <w:sz w:val="22"/>
          <w:szCs w:val="22"/>
          <w:color w:val="auto"/>
        </w:rPr>
        <w: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32"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color w:val="auto"/>
        </w:rPr>
        <w:t>Exhibit 10.2</w:t>
      </w:r>
    </w:p>
    <w:p>
      <w:pPr>
        <w:spacing w:after="0" w:line="301" w:lineRule="exact"/>
        <w:rPr>
          <w:sz w:val="20"/>
          <w:szCs w:val="20"/>
          <w:color w:val="auto"/>
        </w:rPr>
      </w:pPr>
    </w:p>
    <w:p>
      <w:pPr>
        <w:ind w:right="20" w:firstLine="1953"/>
        <w:spacing w:after="0" w:line="263" w:lineRule="auto"/>
        <w:tabs>
          <w:tab w:leader="none" w:pos="2361" w:val="left"/>
        </w:tabs>
        <w:numPr>
          <w:ilvl w:val="1"/>
          <w:numId w:val="19"/>
        </w:numPr>
        <w:rPr>
          <w:rFonts w:ascii="Arial" w:cs="Arial" w:eastAsia="Arial" w:hAnsi="Arial"/>
          <w:sz w:val="22"/>
          <w:szCs w:val="22"/>
          <w:color w:val="auto"/>
        </w:rPr>
      </w:pPr>
      <w:r>
        <w:rPr>
          <w:rFonts w:ascii="Arial" w:cs="Arial" w:eastAsia="Arial" w:hAnsi="Arial"/>
          <w:sz w:val="22"/>
          <w:szCs w:val="22"/>
          <w:color w:val="auto"/>
        </w:rPr>
        <w:t>The Company may terminate Employee’s employment other than on account of a Discharge With Cause at any time during or after the Term (“Discharge Without Cause”).</w:t>
      </w:r>
    </w:p>
    <w:p>
      <w:pPr>
        <w:spacing w:after="0" w:line="323" w:lineRule="exact"/>
        <w:rPr>
          <w:rFonts w:ascii="Arial" w:cs="Arial" w:eastAsia="Arial" w:hAnsi="Arial"/>
          <w:sz w:val="22"/>
          <w:szCs w:val="22"/>
          <w:color w:val="auto"/>
        </w:rPr>
      </w:pPr>
    </w:p>
    <w:p>
      <w:pPr>
        <w:ind w:right="420" w:firstLine="1953"/>
        <w:spacing w:after="0" w:line="263" w:lineRule="auto"/>
        <w:tabs>
          <w:tab w:leader="none" w:pos="2425" w:val="left"/>
        </w:tabs>
        <w:numPr>
          <w:ilvl w:val="1"/>
          <w:numId w:val="19"/>
        </w:numPr>
        <w:rPr>
          <w:rFonts w:ascii="Arial" w:cs="Arial" w:eastAsia="Arial" w:hAnsi="Arial"/>
          <w:sz w:val="22"/>
          <w:szCs w:val="22"/>
          <w:color w:val="auto"/>
        </w:rPr>
      </w:pPr>
      <w:r>
        <w:rPr>
          <w:rFonts w:ascii="Arial" w:cs="Arial" w:eastAsia="Arial" w:hAnsi="Arial"/>
          <w:sz w:val="22"/>
          <w:szCs w:val="22"/>
          <w:color w:val="auto"/>
        </w:rPr>
        <w:t>In the event the Company gives Employee a Non-Renewal Notice, Employee will automatically be terminated (a “Deemed Termination Without Cause”) on the Non-Renewal Date.</w:t>
      </w:r>
    </w:p>
    <w:p>
      <w:pPr>
        <w:spacing w:after="0" w:line="26" w:lineRule="exact"/>
        <w:rPr>
          <w:rFonts w:ascii="Arial" w:cs="Arial" w:eastAsia="Arial" w:hAnsi="Arial"/>
          <w:sz w:val="22"/>
          <w:szCs w:val="22"/>
          <w:color w:val="auto"/>
        </w:rPr>
      </w:pPr>
    </w:p>
    <w:p>
      <w:pPr>
        <w:ind w:right="120" w:firstLine="1953"/>
        <w:spacing w:after="0" w:line="292" w:lineRule="auto"/>
        <w:tabs>
          <w:tab w:leader="none" w:pos="2485" w:val="left"/>
        </w:tabs>
        <w:numPr>
          <w:ilvl w:val="1"/>
          <w:numId w:val="19"/>
        </w:numPr>
        <w:rPr>
          <w:rFonts w:ascii="Arial" w:cs="Arial" w:eastAsia="Arial" w:hAnsi="Arial"/>
          <w:sz w:val="19"/>
          <w:szCs w:val="19"/>
          <w:color w:val="auto"/>
        </w:rPr>
      </w:pPr>
      <w:r>
        <w:rPr>
          <w:rFonts w:ascii="Arial" w:cs="Arial" w:eastAsia="Arial" w:hAnsi="Arial"/>
          <w:sz w:val="19"/>
          <w:szCs w:val="19"/>
          <w:color w:val="auto"/>
        </w:rPr>
        <w:t>Employee may terminate this Agreement in any of the following events during or after the Term (“With Good Reason”), provided Employee has provided Company written notice thereof within sixty (60) days of the occurrence thereof: (A) the failure of Employee to be elected Chairman of the Board or retained as Chief Executive Officer and President; (B) assignment to Employee of any duties inconsistent in any material respect with Employee’s positions, education, skills and experience, or any other action by the Company that results in substantial diminution in Employee’s duties; or (C) the Company’s material breach of any provision of this Agreement (which, as to any such items, if capable of being cured, shall remain uncured following thirty (30) days after written notice thereof) (“Good Reason”).</w:t>
      </w:r>
    </w:p>
    <w:p>
      <w:pPr>
        <w:spacing w:after="0" w:line="259" w:lineRule="exact"/>
        <w:rPr>
          <w:rFonts w:ascii="Arial" w:cs="Arial" w:eastAsia="Arial" w:hAnsi="Arial"/>
          <w:sz w:val="19"/>
          <w:szCs w:val="19"/>
          <w:color w:val="auto"/>
        </w:rPr>
      </w:pPr>
    </w:p>
    <w:p>
      <w:pPr>
        <w:ind w:right="100" w:firstLine="1305"/>
        <w:spacing w:after="0" w:line="263" w:lineRule="auto"/>
        <w:tabs>
          <w:tab w:leader="none" w:pos="1752"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Other than as a result of Employee’s death or by Deemed Termination Without Cause, any termination of Employee’s employment shall be communicated by written “Notice of Termination.” For purposes of this Agreement, a “Notice of Termination” shall mean a notice which indicates the specific termination provision in this Agreement relied upon and shall set forth in reasonable detail the facts and circumstances claimed by the party giving notice to provide a basis for termination of Employee’s employment under the provision so indicated.</w:t>
      </w:r>
    </w:p>
    <w:p>
      <w:pPr>
        <w:spacing w:after="0" w:line="324" w:lineRule="exact"/>
        <w:rPr>
          <w:rFonts w:ascii="Arial" w:cs="Arial" w:eastAsia="Arial" w:hAnsi="Arial"/>
          <w:sz w:val="21"/>
          <w:szCs w:val="21"/>
          <w:color w:val="auto"/>
        </w:rPr>
      </w:pPr>
    </w:p>
    <w:p>
      <w:pPr>
        <w:ind w:right="40" w:firstLine="1305"/>
        <w:spacing w:after="0" w:line="286" w:lineRule="auto"/>
        <w:tabs>
          <w:tab w:leader="none" w:pos="1728"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Date of Termination</w:t>
      </w:r>
      <w:r>
        <w:rPr>
          <w:rFonts w:ascii="Arial" w:cs="Arial" w:eastAsia="Arial" w:hAnsi="Arial"/>
          <w:sz w:val="19"/>
          <w:szCs w:val="19"/>
          <w:color w:val="auto"/>
        </w:rPr>
        <w:t>. “Date of Termination” shall mean: (i) if Employee’s employment is terminated by his death, the date of his death; (ii) if Employee’s employment is terminated as a result of his Disability, thirty (30) days after Notice of Termination is given (provided that Employee shall not have returned to the performance of his duties on the basis provided for in subparagraph 1(a) during such thirty (30) day period); (iii) if Employee’s employment is terminated by Discharge With Cause or Without Good Reason, the date specified in the Notice of Termination; provided that if within thirty (30) days after a Notice of Termination is given by the Company (in the event of a termination by Discharge With Cause), Employee notifies the Company that a dispute exists concerning the termination, the Date of Termination shall be the date on which the dispute is finally determined, either by mutual written agreement of the parties, by an arbitration award (pursuant to the provisions set forth below) or by a final judgment, order or decree of a court of competent jurisdiction (the time of appeal therefrom having expired and no appeal having been perfected); (iv) if the Employee’s employment is terminated by Discharge Without Cause or for Good Reason, the date specified in the Notice of Termination; provided that if within thirty (30) days after a Notice of Termination is given by Employee (in the event of a termination for Good Reason) Company notifies Employee that a dispute exists concerning the termination, the Date of Termination shall be the date on which the dispute is finally determined, either by mutual written agreement of the parties, by an arbitration award or by a final judgment, order or decree of a court of competent jurisdiction (the time of appeal therefrom having expired and no appeal having been perfected);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32" w:right="239" w:bottom="1440" w:gutter="0" w:footer="0" w:header="0"/>
        </w:sectPr>
      </w:pPr>
    </w:p>
    <w:bookmarkStart w:id="64" w:name="page65"/>
    <w:bookmarkEnd w:id="64"/>
    <w:p>
      <w:pPr>
        <w:ind w:left="10360"/>
        <w:spacing w:after="0"/>
        <w:rPr>
          <w:sz w:val="20"/>
          <w:szCs w:val="20"/>
          <w:color w:val="auto"/>
        </w:rPr>
      </w:pPr>
      <w:r>
        <w:rPr>
          <w:rFonts w:ascii="Arial" w:cs="Arial" w:eastAsia="Arial" w:hAnsi="Arial"/>
          <w:sz w:val="19"/>
          <w:szCs w:val="19"/>
          <w:color w:val="auto"/>
        </w:rPr>
        <w:t>Exhibit 10.2</w:t>
      </w:r>
    </w:p>
    <w:p>
      <w:pPr>
        <w:spacing w:after="0" w:line="335" w:lineRule="exact"/>
        <w:rPr>
          <w:sz w:val="20"/>
          <w:szCs w:val="20"/>
          <w:color w:val="auto"/>
        </w:rPr>
      </w:pPr>
    </w:p>
    <w:p>
      <w:pPr>
        <w:ind w:right="100"/>
        <w:spacing w:after="0" w:line="248" w:lineRule="auto"/>
        <w:rPr>
          <w:sz w:val="20"/>
          <w:szCs w:val="20"/>
          <w:color w:val="auto"/>
        </w:rPr>
      </w:pPr>
      <w:r>
        <w:rPr>
          <w:rFonts w:ascii="Arial" w:cs="Arial" w:eastAsia="Arial" w:hAnsi="Arial"/>
          <w:sz w:val="22"/>
          <w:szCs w:val="22"/>
          <w:color w:val="auto"/>
        </w:rPr>
        <w:t>or (v) if the Employee’s employment is terminated by Deemed Termination Without Cause, the Non-Renewal Date. Either party may elect arbitration with respect to such dispute. Such arbitration shall be conducted by the American Arbitration Association (“AAA”) in Philadelphia, Pennsylvania, and shall be initiated and conducted in accordance with the Commercial Arbitration Rules of the AAA, as such rules shall be in effect on the date of the Notice of Termination, except to the extent that such rules are inconsistent with the provisions set forth in this Agreement.</w:t>
      </w:r>
    </w:p>
    <w:p>
      <w:pPr>
        <w:spacing w:after="0" w:line="341" w:lineRule="exact"/>
        <w:rPr>
          <w:sz w:val="20"/>
          <w:szCs w:val="20"/>
          <w:color w:val="auto"/>
        </w:rPr>
      </w:pPr>
    </w:p>
    <w:p>
      <w:pPr>
        <w:ind w:left="480" w:hanging="472"/>
        <w:spacing w:after="0"/>
        <w:tabs>
          <w:tab w:leader="none" w:pos="48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Payments Prior to and Upon Termination</w:t>
      </w:r>
      <w:r>
        <w:rPr>
          <w:rFonts w:ascii="Arial" w:cs="Arial" w:eastAsia="Arial" w:hAnsi="Arial"/>
          <w:sz w:val="22"/>
          <w:szCs w:val="22"/>
          <w:color w:val="auto"/>
        </w:rPr>
        <w:t>.</w:t>
      </w:r>
    </w:p>
    <w:p>
      <w:pPr>
        <w:spacing w:after="0" w:line="368" w:lineRule="exact"/>
        <w:rPr>
          <w:rFonts w:ascii="Arial" w:cs="Arial" w:eastAsia="Arial" w:hAnsi="Arial"/>
          <w:sz w:val="22"/>
          <w:szCs w:val="22"/>
          <w:color w:val="auto"/>
        </w:rPr>
      </w:pPr>
    </w:p>
    <w:p>
      <w:pPr>
        <w:ind w:left="1760" w:hanging="455"/>
        <w:spacing w:after="0"/>
        <w:tabs>
          <w:tab w:leader="none" w:pos="1760"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w:t>
      </w:r>
    </w:p>
    <w:p>
      <w:pPr>
        <w:spacing w:after="0" w:line="368" w:lineRule="exact"/>
        <w:rPr>
          <w:rFonts w:ascii="Arial" w:cs="Arial" w:eastAsia="Arial" w:hAnsi="Arial"/>
          <w:sz w:val="22"/>
          <w:szCs w:val="22"/>
          <w:color w:val="auto"/>
        </w:rPr>
      </w:pPr>
    </w:p>
    <w:p>
      <w:pPr>
        <w:ind w:right="300" w:firstLine="1953"/>
        <w:spacing w:after="0" w:line="253" w:lineRule="auto"/>
        <w:tabs>
          <w:tab w:leader="none" w:pos="2365" w:val="left"/>
        </w:tabs>
        <w:numPr>
          <w:ilvl w:val="2"/>
          <w:numId w:val="21"/>
        </w:numPr>
        <w:rPr>
          <w:rFonts w:ascii="Arial" w:cs="Arial" w:eastAsia="Arial" w:hAnsi="Arial"/>
          <w:sz w:val="22"/>
          <w:szCs w:val="22"/>
          <w:color w:val="auto"/>
        </w:rPr>
      </w:pPr>
      <w:r>
        <w:rPr>
          <w:rFonts w:ascii="Arial" w:cs="Arial" w:eastAsia="Arial" w:hAnsi="Arial"/>
          <w:sz w:val="22"/>
          <w:szCs w:val="22"/>
          <w:color w:val="auto"/>
        </w:rPr>
        <w:t>Following termination due to death, the Company shall continue, at its expense, for the benefit of Employee’s spouse during her lifetime, all health and welfare benefits and benefit plans which are available from time to time to the Company’s highest paid employee.</w:t>
      </w:r>
    </w:p>
    <w:p>
      <w:pPr>
        <w:spacing w:after="0" w:line="293" w:lineRule="exact"/>
        <w:rPr>
          <w:rFonts w:ascii="Arial" w:cs="Arial" w:eastAsia="Arial" w:hAnsi="Arial"/>
          <w:sz w:val="22"/>
          <w:szCs w:val="22"/>
          <w:color w:val="auto"/>
        </w:rPr>
      </w:pPr>
    </w:p>
    <w:p>
      <w:pPr>
        <w:ind w:right="40" w:firstLine="1953"/>
        <w:spacing w:after="0" w:line="248" w:lineRule="auto"/>
        <w:tabs>
          <w:tab w:leader="none" w:pos="2421" w:val="left"/>
        </w:tabs>
        <w:numPr>
          <w:ilvl w:val="2"/>
          <w:numId w:val="21"/>
        </w:numPr>
        <w:rPr>
          <w:rFonts w:ascii="Arial" w:cs="Arial" w:eastAsia="Arial" w:hAnsi="Arial"/>
          <w:sz w:val="22"/>
          <w:szCs w:val="22"/>
          <w:color w:val="auto"/>
        </w:rPr>
      </w:pPr>
      <w:r>
        <w:rPr>
          <w:rFonts w:ascii="Arial" w:cs="Arial" w:eastAsia="Arial" w:hAnsi="Arial"/>
          <w:sz w:val="22"/>
          <w:szCs w:val="22"/>
          <w:color w:val="auto"/>
        </w:rPr>
        <w:t>This death benefit shall be in addition to any other payments Employee’s spouse, beneficiaries or estate may be entitled to receive pursuant to this Agreement and any benefit plans and programs (including, but not limited to, Employee’s cash bonuses with respect to the portion of the calendar year during which Employee had lived prior to his death, amounts accrued and payable under any benefit plans and programs, any accrued but unused vacation time, and amounts payable on account of any unreimbursed business expenses).</w:t>
      </w:r>
    </w:p>
    <w:p>
      <w:pPr>
        <w:spacing w:after="0" w:line="300" w:lineRule="exact"/>
        <w:rPr>
          <w:rFonts w:ascii="Arial" w:cs="Arial" w:eastAsia="Arial" w:hAnsi="Arial"/>
          <w:sz w:val="22"/>
          <w:szCs w:val="22"/>
          <w:color w:val="auto"/>
        </w:rPr>
      </w:pPr>
    </w:p>
    <w:p>
      <w:pPr>
        <w:ind w:left="1780" w:hanging="475"/>
        <w:spacing w:after="0"/>
        <w:tabs>
          <w:tab w:leader="none" w:pos="1780"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Disability</w:t>
      </w:r>
      <w:r>
        <w:rPr>
          <w:rFonts w:ascii="Arial" w:cs="Arial" w:eastAsia="Arial" w:hAnsi="Arial"/>
          <w:sz w:val="22"/>
          <w:szCs w:val="22"/>
          <w:color w:val="auto"/>
        </w:rPr>
        <w:t>.</w:t>
      </w:r>
    </w:p>
    <w:p>
      <w:pPr>
        <w:spacing w:after="0" w:line="368" w:lineRule="exact"/>
        <w:rPr>
          <w:rFonts w:ascii="Arial" w:cs="Arial" w:eastAsia="Arial" w:hAnsi="Arial"/>
          <w:sz w:val="22"/>
          <w:szCs w:val="22"/>
          <w:color w:val="auto"/>
        </w:rPr>
      </w:pPr>
    </w:p>
    <w:p>
      <w:pPr>
        <w:ind w:firstLine="1953"/>
        <w:spacing w:after="0" w:line="247" w:lineRule="auto"/>
        <w:tabs>
          <w:tab w:leader="none" w:pos="2365" w:val="left"/>
        </w:tabs>
        <w:numPr>
          <w:ilvl w:val="2"/>
          <w:numId w:val="21"/>
        </w:numPr>
        <w:rPr>
          <w:rFonts w:ascii="Arial" w:cs="Arial" w:eastAsia="Arial" w:hAnsi="Arial"/>
          <w:sz w:val="22"/>
          <w:szCs w:val="22"/>
          <w:color w:val="auto"/>
        </w:rPr>
      </w:pPr>
      <w:r>
        <w:rPr>
          <w:rFonts w:ascii="Arial" w:cs="Arial" w:eastAsia="Arial" w:hAnsi="Arial"/>
          <w:sz w:val="22"/>
          <w:szCs w:val="22"/>
          <w:color w:val="auto"/>
        </w:rPr>
        <w:t>During any period that Employee is unable to perform his duties hereunder as a result of disability or incapacity due to mental or physical illness prior to a termination due to Disability: Employee shall: (A) continue to receive Base Salary until his employment is terminated due to Disability; (B) receive his cash bonuses with respect to the portion of the calendar year prior to the Date of Termination; (C) continue to participate in all health and welfare benefit plans and programs maintained by the Company; and (D) continue to have his Deferred Compensation Plan account credited with the amounts as and on the dates specified in subparagraph 5(b).</w:t>
      </w:r>
    </w:p>
    <w:p>
      <w:pPr>
        <w:spacing w:after="0" w:line="342" w:lineRule="exact"/>
        <w:rPr>
          <w:rFonts w:ascii="Arial" w:cs="Arial" w:eastAsia="Arial" w:hAnsi="Arial"/>
          <w:sz w:val="22"/>
          <w:szCs w:val="22"/>
          <w:color w:val="auto"/>
        </w:rPr>
      </w:pPr>
    </w:p>
    <w:p>
      <w:pPr>
        <w:ind w:right="20" w:firstLine="1953"/>
        <w:spacing w:after="0" w:line="259" w:lineRule="auto"/>
        <w:tabs>
          <w:tab w:leader="none" w:pos="2425" w:val="left"/>
        </w:tabs>
        <w:numPr>
          <w:ilvl w:val="2"/>
          <w:numId w:val="21"/>
        </w:numPr>
        <w:rPr>
          <w:rFonts w:ascii="Arial" w:cs="Arial" w:eastAsia="Arial" w:hAnsi="Arial"/>
          <w:sz w:val="21"/>
          <w:szCs w:val="21"/>
          <w:color w:val="auto"/>
        </w:rPr>
      </w:pPr>
      <w:r>
        <w:rPr>
          <w:rFonts w:ascii="Arial" w:cs="Arial" w:eastAsia="Arial" w:hAnsi="Arial"/>
          <w:sz w:val="21"/>
          <w:szCs w:val="21"/>
          <w:color w:val="auto"/>
        </w:rPr>
        <w:t>Following termination due to Disability: (A) Employee shall be paid for three (3) years: (1) on a monthly basis, Employee’s Base Salary at the time the Notice of Termination is given; and (2) on an annual basis (appropriately pro-rated for partial calendar years), Employee’s cash bonuses (assuming 100% achievement of performance goals, as if Employee’s employment had continued during this time period, and based on Employee’s participation levels therein at the time of his Disability); (B) the Company shall continue to credit Employee’s Deferred Compensation Plan account with the amounts as and on the dates specified in subparagraph 5(b) through the date on which the Term would have expired, without any further automatic extensions, had no termination occurred on the Date of Termination (the “End Date”); and (C) Employee shall be entitled to receive amounts accrued and payable under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32" w:right="239" w:bottom="1440" w:gutter="0" w:footer="0" w:header="0"/>
        </w:sectPr>
      </w:pPr>
    </w:p>
    <w:bookmarkStart w:id="65" w:name="page66"/>
    <w:bookmarkEnd w:id="65"/>
    <w:p>
      <w:pPr>
        <w:ind w:left="10360"/>
        <w:spacing w:after="0"/>
        <w:rPr>
          <w:sz w:val="20"/>
          <w:szCs w:val="20"/>
          <w:color w:val="auto"/>
        </w:rPr>
      </w:pPr>
      <w:r>
        <w:rPr>
          <w:rFonts w:ascii="Arial" w:cs="Arial" w:eastAsia="Arial" w:hAnsi="Arial"/>
          <w:sz w:val="19"/>
          <w:szCs w:val="19"/>
          <w:color w:val="auto"/>
        </w:rPr>
        <w:t>Exhibit 10.2</w:t>
      </w:r>
    </w:p>
    <w:p>
      <w:pPr>
        <w:spacing w:after="0" w:line="335" w:lineRule="exact"/>
        <w:rPr>
          <w:sz w:val="20"/>
          <w:szCs w:val="20"/>
          <w:color w:val="auto"/>
        </w:rPr>
      </w:pPr>
    </w:p>
    <w:p>
      <w:pPr>
        <w:ind w:right="400"/>
        <w:spacing w:after="0" w:line="253" w:lineRule="auto"/>
        <w:rPr>
          <w:sz w:val="20"/>
          <w:szCs w:val="20"/>
          <w:color w:val="auto"/>
        </w:rPr>
      </w:pPr>
      <w:r>
        <w:rPr>
          <w:rFonts w:ascii="Arial" w:cs="Arial" w:eastAsia="Arial" w:hAnsi="Arial"/>
          <w:sz w:val="22"/>
          <w:szCs w:val="22"/>
          <w:color w:val="auto"/>
        </w:rPr>
        <w:t>any benefit plans and programs, any accrued but unused vacation time, and amounts payable on account of any unreimbursed business expenses. In the event Employee dies before the end of such three (3) year period, the remaining payments and credits under subparagraph (A) and (B) of this subparagraph (ii) shall not be made.</w:t>
      </w:r>
    </w:p>
    <w:p>
      <w:pPr>
        <w:spacing w:after="0" w:line="294" w:lineRule="exact"/>
        <w:rPr>
          <w:sz w:val="20"/>
          <w:szCs w:val="20"/>
          <w:color w:val="auto"/>
        </w:rPr>
      </w:pPr>
    </w:p>
    <w:p>
      <w:pPr>
        <w:ind w:right="40" w:firstLine="1305"/>
        <w:spacing w:after="0" w:line="302" w:lineRule="auto"/>
        <w:tabs>
          <w:tab w:leader="none" w:pos="1752"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Discharge With Cause by the Company or Termination by Employee Without Good Reason</w:t>
      </w:r>
      <w:r>
        <w:rPr>
          <w:rFonts w:ascii="Arial" w:cs="Arial" w:eastAsia="Arial" w:hAnsi="Arial"/>
          <w:sz w:val="19"/>
          <w:szCs w:val="19"/>
          <w:color w:val="auto"/>
        </w:rPr>
        <w:t>. If Employee is Discharged With Cause or Employee terminates Without Good Reason, Employee will be entitled only to payment of Employee’s then-current Base Salary through the Date of Termination, amounts accrued and payable under any benefit plans and programs, any accrued but unused vacation time, and amounts payable on account of any unreimbursed business expenses.</w:t>
      </w:r>
    </w:p>
    <w:p>
      <w:pPr>
        <w:spacing w:after="0" w:line="291" w:lineRule="exact"/>
        <w:rPr>
          <w:rFonts w:ascii="Arial" w:cs="Arial" w:eastAsia="Arial" w:hAnsi="Arial"/>
          <w:sz w:val="19"/>
          <w:szCs w:val="19"/>
          <w:color w:val="auto"/>
        </w:rPr>
      </w:pPr>
    </w:p>
    <w:p>
      <w:pPr>
        <w:jc w:val="both"/>
        <w:ind w:right="860" w:firstLine="1305"/>
        <w:spacing w:after="0" w:line="253" w:lineRule="auto"/>
        <w:tabs>
          <w:tab w:leader="none" w:pos="1765"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Discharge Without Cause or Deemed Termination Without Cause by the Company, or Termination by Employee With Good Reason</w:t>
      </w:r>
      <w:r>
        <w:rPr>
          <w:rFonts w:ascii="Arial" w:cs="Arial" w:eastAsia="Arial" w:hAnsi="Arial"/>
          <w:sz w:val="22"/>
          <w:szCs w:val="22"/>
          <w:color w:val="auto"/>
        </w:rPr>
        <w:t>. If Employee is Discharged Without Cause or is Deemed Terminated Without Cause by the Company, or Employee terminates With Good Reason:</w:t>
      </w:r>
    </w:p>
    <w:p>
      <w:pPr>
        <w:spacing w:after="0" w:line="334" w:lineRule="exact"/>
        <w:rPr>
          <w:rFonts w:ascii="Arial" w:cs="Arial" w:eastAsia="Arial" w:hAnsi="Arial"/>
          <w:sz w:val="22"/>
          <w:szCs w:val="22"/>
          <w:color w:val="auto"/>
        </w:rPr>
      </w:pPr>
    </w:p>
    <w:p>
      <w:pPr>
        <w:jc w:val="both"/>
        <w:ind w:firstLine="1953"/>
        <w:spacing w:after="0" w:line="253" w:lineRule="auto"/>
        <w:tabs>
          <w:tab w:leader="none" w:pos="2361" w:val="left"/>
        </w:tabs>
        <w:numPr>
          <w:ilvl w:val="1"/>
          <w:numId w:val="22"/>
        </w:numPr>
        <w:rPr>
          <w:rFonts w:ascii="Arial" w:cs="Arial" w:eastAsia="Arial" w:hAnsi="Arial"/>
          <w:sz w:val="22"/>
          <w:szCs w:val="22"/>
          <w:color w:val="auto"/>
        </w:rPr>
      </w:pPr>
      <w:r>
        <w:rPr>
          <w:rFonts w:ascii="Arial" w:cs="Arial" w:eastAsia="Arial" w:hAnsi="Arial"/>
          <w:sz w:val="22"/>
          <w:szCs w:val="22"/>
          <w:color w:val="auto"/>
        </w:rPr>
        <w:t>The Company shall pay Employee his Base Salary through the Date of Termination and (within 30 days of the Date of Termination) his cash bonuses with respect to the portion of the calendar year period through the Date of Termination (assuming 100% achievement of performance goals).</w:t>
      </w:r>
    </w:p>
    <w:p>
      <w:pPr>
        <w:spacing w:after="0" w:line="200" w:lineRule="exact"/>
        <w:rPr>
          <w:rFonts w:ascii="Arial" w:cs="Arial" w:eastAsia="Arial" w:hAnsi="Arial"/>
          <w:sz w:val="22"/>
          <w:szCs w:val="22"/>
          <w:color w:val="auto"/>
        </w:rPr>
      </w:pPr>
    </w:p>
    <w:p>
      <w:pPr>
        <w:spacing w:after="0" w:line="364" w:lineRule="exact"/>
        <w:rPr>
          <w:rFonts w:ascii="Arial" w:cs="Arial" w:eastAsia="Arial" w:hAnsi="Arial"/>
          <w:sz w:val="22"/>
          <w:szCs w:val="22"/>
          <w:color w:val="auto"/>
        </w:rPr>
      </w:pPr>
    </w:p>
    <w:p>
      <w:pPr>
        <w:ind w:right="60" w:firstLine="1953"/>
        <w:spacing w:after="0" w:line="258" w:lineRule="auto"/>
        <w:tabs>
          <w:tab w:leader="none" w:pos="2479" w:val="left"/>
        </w:tabs>
        <w:numPr>
          <w:ilvl w:val="1"/>
          <w:numId w:val="22"/>
        </w:numPr>
        <w:rPr>
          <w:rFonts w:ascii="Arial" w:cs="Arial" w:eastAsia="Arial" w:hAnsi="Arial"/>
          <w:sz w:val="21"/>
          <w:szCs w:val="21"/>
          <w:color w:val="auto"/>
        </w:rPr>
      </w:pPr>
      <w:r>
        <w:rPr>
          <w:rFonts w:ascii="Arial" w:cs="Arial" w:eastAsia="Arial" w:hAnsi="Arial"/>
          <w:sz w:val="21"/>
          <w:szCs w:val="21"/>
          <w:color w:val="auto"/>
        </w:rPr>
        <w:t>Following the Date of Termination, in exchange for Employee’s entering into the Company’s standard agreement containing mutual releases with respect to matters relating to Employee’s employment (other than with respect to Employee’s rights under this Agreement and vested benefits under benefit plans and programs): (A) the Company shall pay to Employee: (1) for the period through the End Date, on a monthly basis, Employee’s Base Salary at the highest annual rate in effect at any time during the Term; and (2) for the period through the End Date, on an annual basis (appropriately pro-rated for partial calendar years), Employee’s cash bonuses (assuming 100% achievement of performance goals, as if Employee’s employment had continued through the End Date, and based on Employee’s highest participation levels therein at any time during the Term); (B) the Company shall continue to credit Employee’s Deferred Compensation Plan account with the amounts as and on the dates specified in subparagraph 5(b) through the End Date; and (C) Employee shall be entitled to receive amounts accrued and payable under any benefit plans and programs, any accrued but unused vacation time, and amounts payable on account of any unreimbursed business expenses.</w:t>
      </w:r>
    </w:p>
    <w:p>
      <w:pPr>
        <w:spacing w:after="0" w:line="331" w:lineRule="exact"/>
        <w:rPr>
          <w:rFonts w:ascii="Arial" w:cs="Arial" w:eastAsia="Arial" w:hAnsi="Arial"/>
          <w:sz w:val="21"/>
          <w:szCs w:val="21"/>
          <w:color w:val="auto"/>
        </w:rPr>
      </w:pPr>
    </w:p>
    <w:p>
      <w:pPr>
        <w:ind w:right="260" w:firstLine="1953"/>
        <w:spacing w:after="0" w:line="253" w:lineRule="auto"/>
        <w:tabs>
          <w:tab w:leader="none" w:pos="2481" w:val="left"/>
        </w:tabs>
        <w:numPr>
          <w:ilvl w:val="1"/>
          <w:numId w:val="22"/>
        </w:numPr>
        <w:rPr>
          <w:rFonts w:ascii="Arial" w:cs="Arial" w:eastAsia="Arial" w:hAnsi="Arial"/>
          <w:sz w:val="22"/>
          <w:szCs w:val="22"/>
          <w:color w:val="auto"/>
        </w:rPr>
      </w:pPr>
      <w:r>
        <w:rPr>
          <w:rFonts w:ascii="Arial" w:cs="Arial" w:eastAsia="Arial" w:hAnsi="Arial"/>
          <w:sz w:val="22"/>
          <w:szCs w:val="22"/>
          <w:color w:val="auto"/>
        </w:rPr>
        <w:t>The Company shall continue through the End Date (at the same cost to Employee as is paid by other employees), for the benefit of Employee, all health and welfare benefit plans and programs available from time to time to the Company’s highest paid employee.</w:t>
      </w:r>
    </w:p>
    <w:p>
      <w:pPr>
        <w:spacing w:after="0" w:line="334" w:lineRule="exact"/>
        <w:rPr>
          <w:rFonts w:ascii="Arial" w:cs="Arial" w:eastAsia="Arial" w:hAnsi="Arial"/>
          <w:sz w:val="22"/>
          <w:szCs w:val="22"/>
          <w:color w:val="auto"/>
        </w:rPr>
      </w:pPr>
    </w:p>
    <w:p>
      <w:pPr>
        <w:ind w:right="540" w:firstLine="1953"/>
        <w:spacing w:after="0" w:line="263" w:lineRule="auto"/>
        <w:tabs>
          <w:tab w:leader="none" w:pos="2461" w:val="left"/>
        </w:tabs>
        <w:numPr>
          <w:ilvl w:val="1"/>
          <w:numId w:val="22"/>
        </w:numPr>
        <w:rPr>
          <w:rFonts w:ascii="Arial" w:cs="Arial" w:eastAsia="Arial" w:hAnsi="Arial"/>
          <w:sz w:val="22"/>
          <w:szCs w:val="22"/>
          <w:color w:val="auto"/>
        </w:rPr>
      </w:pPr>
      <w:r>
        <w:rPr>
          <w:rFonts w:ascii="Arial" w:cs="Arial" w:eastAsia="Arial" w:hAnsi="Arial"/>
          <w:sz w:val="22"/>
          <w:szCs w:val="22"/>
          <w:color w:val="auto"/>
        </w:rPr>
        <w:t>All of Employee’s unvested stock options shall continue to vest pursuant to their terms, and all of Employee’s vested stock options shall remain exercisable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32" w:right="239" w:bottom="1440" w:gutter="0" w:footer="0" w:header="0"/>
        </w:sectPr>
      </w:pPr>
    </w:p>
    <w:bookmarkStart w:id="66" w:name="page67"/>
    <w:bookmarkEnd w:id="66"/>
    <w:p>
      <w:pPr>
        <w:ind w:left="10360"/>
        <w:spacing w:after="0"/>
        <w:rPr>
          <w:sz w:val="20"/>
          <w:szCs w:val="20"/>
          <w:color w:val="auto"/>
        </w:rPr>
      </w:pPr>
      <w:r>
        <w:rPr>
          <w:rFonts w:ascii="Arial" w:cs="Arial" w:eastAsia="Arial" w:hAnsi="Arial"/>
          <w:sz w:val="19"/>
          <w:szCs w:val="19"/>
          <w:color w:val="auto"/>
        </w:rPr>
        <w:t>Exhibit 10.2</w:t>
      </w:r>
    </w:p>
    <w:p>
      <w:pPr>
        <w:spacing w:after="0" w:line="335"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pursuant to their terms, in each case as if Employee’s employment had continued. All of Employee’s unvested restricted stock units shall continue to vest pursuant to their terms, as if Employee’s employment had continued.</w:t>
      </w:r>
    </w:p>
    <w:p>
      <w:pPr>
        <w:spacing w:after="0" w:line="13" w:lineRule="exact"/>
        <w:rPr>
          <w:sz w:val="20"/>
          <w:szCs w:val="20"/>
          <w:color w:val="auto"/>
        </w:rPr>
      </w:pPr>
    </w:p>
    <w:p>
      <w:pPr>
        <w:ind w:right="180" w:firstLine="1305"/>
        <w:spacing w:after="0" w:line="301" w:lineRule="auto"/>
        <w:tabs>
          <w:tab w:leader="none" w:pos="1752" w:val="left"/>
        </w:tabs>
        <w:numPr>
          <w:ilvl w:val="1"/>
          <w:numId w:val="23"/>
        </w:numPr>
        <w:rPr>
          <w:rFonts w:ascii="Arial" w:cs="Arial" w:eastAsia="Arial" w:hAnsi="Arial"/>
          <w:sz w:val="19"/>
          <w:szCs w:val="19"/>
          <w:color w:val="auto"/>
        </w:rPr>
      </w:pPr>
      <w:r>
        <w:rPr>
          <w:rFonts w:ascii="Arial" w:cs="Arial" w:eastAsia="Arial" w:hAnsi="Arial"/>
          <w:sz w:val="19"/>
          <w:szCs w:val="19"/>
          <w:color w:val="auto"/>
        </w:rPr>
        <w:t>Employee shall not be required to mitigate the amount of any payment provided for in this Paragraph 11 by seeking other employment or otherwise, nor shall the amount of any payment provided for in this Paragraph 11 be reduced by any compensation earned by Employee as a result of employment by another employer after the Date of Termination, or otherwise.</w:t>
      </w:r>
    </w:p>
    <w:p>
      <w:pPr>
        <w:spacing w:after="0" w:line="1" w:lineRule="exact"/>
        <w:rPr>
          <w:rFonts w:ascii="Arial" w:cs="Arial" w:eastAsia="Arial" w:hAnsi="Arial"/>
          <w:sz w:val="19"/>
          <w:szCs w:val="19"/>
          <w:color w:val="auto"/>
        </w:rPr>
      </w:pPr>
    </w:p>
    <w:p>
      <w:pPr>
        <w:ind w:right="20" w:firstLine="1305"/>
        <w:spacing w:after="0" w:line="250" w:lineRule="auto"/>
        <w:tabs>
          <w:tab w:leader="none" w:pos="1728" w:val="left"/>
        </w:tabs>
        <w:numPr>
          <w:ilvl w:val="1"/>
          <w:numId w:val="23"/>
        </w:numPr>
        <w:rPr>
          <w:rFonts w:ascii="Arial" w:cs="Arial" w:eastAsia="Arial" w:hAnsi="Arial"/>
          <w:sz w:val="22"/>
          <w:szCs w:val="22"/>
          <w:color w:val="auto"/>
        </w:rPr>
      </w:pPr>
      <w:r>
        <w:rPr>
          <w:rFonts w:ascii="Arial" w:cs="Arial" w:eastAsia="Arial" w:hAnsi="Arial"/>
          <w:sz w:val="22"/>
          <w:szCs w:val="22"/>
          <w:color w:val="auto"/>
        </w:rPr>
        <w:t>Notwithstanding anything herein to the contrary, in the event Employee’s employment is terminated by the Company on or after the occurrence of a change of control (as the term “control” is defined in Rule 405 under the Securities Act of 1933), such termination shall be treated as a Discharge Without Cause, and Employee shall be entitled to the benefits payable under the provisions of subparagraph (d) above.</w:t>
      </w:r>
    </w:p>
    <w:p>
      <w:pPr>
        <w:spacing w:after="0" w:line="337" w:lineRule="exact"/>
        <w:rPr>
          <w:rFonts w:ascii="Arial" w:cs="Arial" w:eastAsia="Arial" w:hAnsi="Arial"/>
          <w:sz w:val="22"/>
          <w:szCs w:val="22"/>
          <w:color w:val="auto"/>
        </w:rPr>
      </w:pPr>
    </w:p>
    <w:p>
      <w:pPr>
        <w:ind w:right="160" w:firstLine="1305"/>
        <w:spacing w:after="0" w:line="263" w:lineRule="auto"/>
        <w:tabs>
          <w:tab w:leader="none" w:pos="1819"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COBRA Rights</w:t>
      </w:r>
      <w:r>
        <w:rPr>
          <w:rFonts w:ascii="Arial" w:cs="Arial" w:eastAsia="Arial" w:hAnsi="Arial"/>
          <w:sz w:val="22"/>
          <w:szCs w:val="22"/>
          <w:color w:val="auto"/>
        </w:rPr>
        <w:t>. Nothing herein shall constitute a waiver by Employee of "COBRA" rights under federal law in connection with termination of employment.</w:t>
      </w:r>
    </w:p>
    <w:p>
      <w:pPr>
        <w:spacing w:after="0" w:line="323" w:lineRule="exact"/>
        <w:rPr>
          <w:rFonts w:ascii="Arial" w:cs="Arial" w:eastAsia="Arial" w:hAnsi="Arial"/>
          <w:sz w:val="22"/>
          <w:szCs w:val="22"/>
          <w:color w:val="auto"/>
        </w:rPr>
      </w:pPr>
    </w:p>
    <w:p>
      <w:pPr>
        <w:ind w:left="340" w:hanging="332"/>
        <w:spacing w:after="0"/>
        <w:tabs>
          <w:tab w:leader="none" w:pos="34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Non-Solicitation, Non-Competition and Confidentiality</w:t>
      </w:r>
      <w:r>
        <w:rPr>
          <w:rFonts w:ascii="Arial" w:cs="Arial" w:eastAsia="Arial" w:hAnsi="Arial"/>
          <w:sz w:val="22"/>
          <w:szCs w:val="22"/>
          <w:color w:val="auto"/>
        </w:rPr>
        <w:t>.</w:t>
      </w:r>
    </w:p>
    <w:p>
      <w:pPr>
        <w:spacing w:after="0" w:line="368" w:lineRule="exact"/>
        <w:rPr>
          <w:rFonts w:ascii="Arial" w:cs="Arial" w:eastAsia="Arial" w:hAnsi="Arial"/>
          <w:sz w:val="22"/>
          <w:szCs w:val="22"/>
          <w:color w:val="auto"/>
        </w:rPr>
      </w:pPr>
    </w:p>
    <w:p>
      <w:pPr>
        <w:ind w:firstLine="1305"/>
        <w:spacing w:after="0" w:line="248" w:lineRule="auto"/>
        <w:tabs>
          <w:tab w:leader="none" w:pos="1752" w:val="left"/>
        </w:tabs>
        <w:numPr>
          <w:ilvl w:val="1"/>
          <w:numId w:val="24"/>
        </w:numPr>
        <w:rPr>
          <w:rFonts w:ascii="Arial" w:cs="Arial" w:eastAsia="Arial" w:hAnsi="Arial"/>
          <w:sz w:val="22"/>
          <w:szCs w:val="22"/>
          <w:color w:val="auto"/>
        </w:rPr>
      </w:pPr>
      <w:r>
        <w:rPr>
          <w:rFonts w:ascii="Arial" w:cs="Arial" w:eastAsia="Arial" w:hAnsi="Arial"/>
          <w:sz w:val="22"/>
          <w:szCs w:val="22"/>
          <w:color w:val="auto"/>
        </w:rPr>
        <w:t>During the Term and Employee’s continued employment by the Company, and for a period of one (1) year after termination of Employee’s employment by the Company for any reason (whether during or after the Term), Employee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340" w:lineRule="exact"/>
        <w:rPr>
          <w:rFonts w:ascii="Arial" w:cs="Arial" w:eastAsia="Arial" w:hAnsi="Arial"/>
          <w:sz w:val="22"/>
          <w:szCs w:val="22"/>
          <w:color w:val="auto"/>
        </w:rPr>
      </w:pPr>
    </w:p>
    <w:p>
      <w:pPr>
        <w:ind w:right="100" w:firstLine="1305"/>
        <w:spacing w:after="0" w:line="257" w:lineRule="auto"/>
        <w:tabs>
          <w:tab w:leader="none" w:pos="1765" w:val="left"/>
        </w:tabs>
        <w:numPr>
          <w:ilvl w:val="1"/>
          <w:numId w:val="24"/>
        </w:numPr>
        <w:rPr>
          <w:rFonts w:ascii="Arial" w:cs="Arial" w:eastAsia="Arial" w:hAnsi="Arial"/>
          <w:sz w:val="21"/>
          <w:szCs w:val="21"/>
          <w:color w:val="auto"/>
        </w:rPr>
      </w:pPr>
      <w:r>
        <w:rPr>
          <w:rFonts w:ascii="Arial" w:cs="Arial" w:eastAsia="Arial" w:hAnsi="Arial"/>
          <w:sz w:val="21"/>
          <w:szCs w:val="21"/>
          <w:color w:val="auto"/>
        </w:rPr>
        <w:t>(i) WHILE EMPLOYED BY THE COMPANY (WHETHER DURING THE TERM OR THEREAFTER), AND FOR A PERIOD OF ONE (1) YEAR AFTER TERMINATION OF EMPLOYEE’S EMPLOYMENT DURING OR AFTER THE TERM FOR ANY REASON (OTHER THAN (A) AS A RESULT OF A DISCHARGE WITHOUT CAUSE OR (B) AS A RESULT OF TERMINATION BY EMPLOYEE WITH GOOD REASON, EMPLOYEE SHALL NOT, DIRECTLY OR INDIRECTLY, ENGAGE OR BE FINANCIALLY INTERESTED IN (AS AN AGENT, CONSULTANT, DIRECTOR, EMPLOYEE, INDEPENDENT CONTRACTOR, OFFICER, OWNER, PARTNER, PRINCIPAL OR OTHERWISE), ANY ACTIVITIES FOR A COMPETITIVE BUSINESS. A “COMPETITIVE BUSINESS” SHALL BE DEFINED AS A BUSINESS (WHETHER CONDUCTED BY AN ENTITY OR INDIVIDUALS, INCLUDING EMPLOYEE IN SELF-EMPLOYMENT) THAT IS ENGAGED IN COMPETITION, DIRECTLY OR INDIRECTLY THROUGH ANY ENTITY CONTROLLING, CONTROLLED BY OR UNDER COMMON CONTROL WITH SUCH BUSINESS, WITH ANY OF THE BUSINESS ACTIVITIES CARRIED ON BY THE COMPANY OR ANY DIVISION OR OTHER BUSINESS UNIT OF THE COMPANY, OR BEING PLANNED BY THE COMPANY OR SUCH BUSINESS UNIT (AS THE CASE MAY BE) WITH EMPLOYEE’S KNOWLEDGE AT THE TIME OF EMPLOYEE’S TERMINATION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132"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color w:val="auto"/>
        </w:rPr>
        <w:t>Exhibit 10.2</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OF EMPLOYMENT.</w:t>
      </w:r>
    </w:p>
    <w:p>
      <w:pPr>
        <w:spacing w:after="0" w:line="58" w:lineRule="exact"/>
        <w:rPr>
          <w:sz w:val="20"/>
          <w:szCs w:val="20"/>
          <w:color w:val="auto"/>
        </w:rPr>
      </w:pPr>
    </w:p>
    <w:p>
      <w:pPr>
        <w:ind w:right="480" w:firstLine="1953"/>
        <w:spacing w:after="0" w:line="265" w:lineRule="auto"/>
        <w:tabs>
          <w:tab w:leader="none" w:pos="2421" w:val="left"/>
        </w:tabs>
        <w:numPr>
          <w:ilvl w:val="1"/>
          <w:numId w:val="25"/>
        </w:numPr>
        <w:rPr>
          <w:rFonts w:ascii="Arial" w:cs="Arial" w:eastAsia="Arial" w:hAnsi="Arial"/>
          <w:sz w:val="21"/>
          <w:szCs w:val="21"/>
          <w:color w:val="auto"/>
        </w:rPr>
      </w:pPr>
      <w:r>
        <w:rPr>
          <w:rFonts w:ascii="Arial" w:cs="Arial" w:eastAsia="Arial" w:hAnsi="Arial"/>
          <w:sz w:val="21"/>
          <w:szCs w:val="21"/>
          <w:color w:val="auto"/>
        </w:rPr>
        <w:t>THIS RESTRICTION SHALL APPLY IN ANY GEOGRAPHICAL AREA OF THE WORLD IN WHICH THE COMPANY CARRIES OUT BUSINESS ACTIVITIES. EMPLOYEE AGREES THAT THE LACK OF ANY MORE SPECIFIC GEOGRAPHICAL LIMITATION HEREIN IS REASONABLE IN LIGHT OF THE BROAD GEOGRAPHICAL SCOPE OF THE ACTIVITIES CARRIED OUT BY THE COMPANY IN THE WORLD.</w:t>
      </w:r>
    </w:p>
    <w:p>
      <w:pPr>
        <w:spacing w:after="0" w:line="27" w:lineRule="exact"/>
        <w:rPr>
          <w:rFonts w:ascii="Arial" w:cs="Arial" w:eastAsia="Arial" w:hAnsi="Arial"/>
          <w:sz w:val="21"/>
          <w:szCs w:val="21"/>
          <w:color w:val="auto"/>
        </w:rPr>
      </w:pPr>
    </w:p>
    <w:p>
      <w:pPr>
        <w:ind w:right="20" w:firstLine="1953"/>
        <w:spacing w:after="0" w:line="290" w:lineRule="auto"/>
        <w:tabs>
          <w:tab w:leader="none" w:pos="2527" w:val="left"/>
        </w:tabs>
        <w:numPr>
          <w:ilvl w:val="1"/>
          <w:numId w:val="25"/>
        </w:numPr>
        <w:rPr>
          <w:rFonts w:ascii="Arial" w:cs="Arial" w:eastAsia="Arial" w:hAnsi="Arial"/>
          <w:sz w:val="19"/>
          <w:szCs w:val="19"/>
          <w:color w:val="auto"/>
        </w:rPr>
      </w:pPr>
      <w:r>
        <w:rPr>
          <w:rFonts w:ascii="Arial" w:cs="Arial" w:eastAsia="Arial" w:hAnsi="Arial"/>
          <w:sz w:val="19"/>
          <w:szCs w:val="19"/>
          <w:color w:val="auto"/>
        </w:rPr>
        <w:t>As a limited exception to the foregoing, Employee shall not be prohibited from engaging in activities for a Competitive Business if all of the following conditions are met: (A) Employee is engaged to perform activities which are materially inferior as to skill level and scope of responsibility to the skill level and scope of responsibility involved in the Employee’s employment hereunder; (B) the activities engaged in by Employee are not directly competitive with the activities engaged in by the Company or such division or business unit (as the case may be); (C) Employee provides the Company with at least thirty (30) days written notice prior to commencing performance of activities for the Competitive Business; and (D) Employee provides the Competitive Business with a copy of this Paragraph 12, and the Competitive Business gives the Company written assurance that it will not allow Employee to engage in any activities which would cause Employee to violate this Agreement.</w:t>
      </w:r>
    </w:p>
    <w:p>
      <w:pPr>
        <w:spacing w:after="0" w:line="305" w:lineRule="exact"/>
        <w:rPr>
          <w:rFonts w:ascii="Arial" w:cs="Arial" w:eastAsia="Arial" w:hAnsi="Arial"/>
          <w:sz w:val="19"/>
          <w:szCs w:val="19"/>
          <w:color w:val="auto"/>
        </w:rPr>
      </w:pPr>
    </w:p>
    <w:p>
      <w:pPr>
        <w:ind w:right="340" w:firstLine="1953"/>
        <w:spacing w:after="0" w:line="287" w:lineRule="auto"/>
        <w:tabs>
          <w:tab w:leader="none" w:pos="2527" w:val="left"/>
        </w:tabs>
        <w:numPr>
          <w:ilvl w:val="1"/>
          <w:numId w:val="25"/>
        </w:numPr>
        <w:rPr>
          <w:rFonts w:ascii="Arial" w:cs="Arial" w:eastAsia="Arial" w:hAnsi="Arial"/>
          <w:sz w:val="21"/>
          <w:szCs w:val="21"/>
          <w:color w:val="auto"/>
        </w:rPr>
      </w:pPr>
      <w:r>
        <w:rPr>
          <w:rFonts w:ascii="Arial" w:cs="Arial" w:eastAsia="Arial" w:hAnsi="Arial"/>
          <w:sz w:val="21"/>
          <w:szCs w:val="21"/>
          <w:color w:val="auto"/>
        </w:rPr>
        <w:t>Nothing herein shall prevent Employee from owning for investment up to five percent (5%) of any class of equity security of an entity whose securities are traded on a national securities exchange or market.</w:t>
      </w:r>
    </w:p>
    <w:p>
      <w:pPr>
        <w:spacing w:after="0" w:line="259" w:lineRule="exact"/>
        <w:rPr>
          <w:rFonts w:ascii="Arial" w:cs="Arial" w:eastAsia="Arial" w:hAnsi="Arial"/>
          <w:sz w:val="21"/>
          <w:szCs w:val="21"/>
          <w:color w:val="auto"/>
        </w:rPr>
      </w:pPr>
    </w:p>
    <w:p>
      <w:pPr>
        <w:ind w:right="40" w:firstLine="1305"/>
        <w:spacing w:after="0" w:line="260" w:lineRule="auto"/>
        <w:tabs>
          <w:tab w:leader="none" w:pos="1752" w:val="left"/>
        </w:tabs>
        <w:numPr>
          <w:ilvl w:val="0"/>
          <w:numId w:val="26"/>
        </w:numPr>
        <w:rPr>
          <w:rFonts w:ascii="Arial" w:cs="Arial" w:eastAsia="Arial" w:hAnsi="Arial"/>
          <w:sz w:val="21"/>
          <w:szCs w:val="21"/>
          <w:color w:val="auto"/>
        </w:rPr>
      </w:pPr>
      <w:r>
        <w:rPr>
          <w:rFonts w:ascii="Arial" w:cs="Arial" w:eastAsia="Arial" w:hAnsi="Arial"/>
          <w:sz w:val="21"/>
          <w:szCs w:val="21"/>
          <w:color w:val="auto"/>
        </w:rPr>
        <w:t>Nothing contained in this Agreement (including, without limitation, subparagraph 12(d) and Paragraph 13) or otherwise limits Employee’s ability to communicate directly with and provide information, including documents, not otherwise protected from disclosure by any applicable law or privilege, to the Securities and Exchange Commission (the “SEC”), the Occupational Safety and Health Administration (“OSHA”) or any other federal, state or local governmental agency or commission regarding possible legal violations, without disclosure to the Company. The Company may not retaliate against Employee for any of these activities, and nothing in this Agreement requires Employee to waive any monetary award or other payment that Employee might become entitled to from the SEC or OSHA.</w:t>
      </w:r>
    </w:p>
    <w:p>
      <w:pPr>
        <w:spacing w:after="0" w:line="275" w:lineRule="exact"/>
        <w:rPr>
          <w:rFonts w:ascii="Arial" w:cs="Arial" w:eastAsia="Arial" w:hAnsi="Arial"/>
          <w:sz w:val="21"/>
          <w:szCs w:val="21"/>
          <w:color w:val="auto"/>
        </w:rPr>
      </w:pPr>
    </w:p>
    <w:p>
      <w:pPr>
        <w:ind w:right="60" w:firstLine="1305"/>
        <w:spacing w:after="0" w:line="259" w:lineRule="auto"/>
        <w:tabs>
          <w:tab w:leader="none" w:pos="1765" w:val="left"/>
        </w:tabs>
        <w:numPr>
          <w:ilvl w:val="0"/>
          <w:numId w:val="26"/>
        </w:numPr>
        <w:rPr>
          <w:rFonts w:ascii="Arial" w:cs="Arial" w:eastAsia="Arial" w:hAnsi="Arial"/>
          <w:sz w:val="21"/>
          <w:szCs w:val="21"/>
          <w:color w:val="auto"/>
        </w:rPr>
      </w:pPr>
      <w:r>
        <w:rPr>
          <w:rFonts w:ascii="Arial" w:cs="Arial" w:eastAsia="Arial" w:hAnsi="Arial"/>
          <w:sz w:val="21"/>
          <w:szCs w:val="21"/>
          <w:color w:val="auto"/>
        </w:rPr>
        <w:t>Except as provided in subparagraph 12(c), during the Term and at all times thereafter, Employee shall not, directly or indirectly, use for Employee’s personal benefit, or disclose to or use for the direct or indirect benefit of anyone other than the Company (except as may be required within the scope of Employee’s duties hereunder), any secret, confidential or non-public information, knowledge or data of the Company or any of its subsidiaries, affiliates, employees, officers, directors or agents, which Employee acquires in the course of Employee’s employment, and which is not otherwise lawfully known by the general public. This information includes, but is not limited to: business, marketing and accounting methods; policies, plans, procedures, strategies and techniques; research and development projects and results; software and firmware; trade secrets, know-how, processes and other intellectual property; names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132" w:right="239" w:bottom="1440" w:gutter="0" w:footer="0" w:header="0"/>
        </w:sectPr>
      </w:pPr>
    </w:p>
    <w:bookmarkStart w:id="68" w:name="page69"/>
    <w:bookmarkEnd w:id="68"/>
    <w:p>
      <w:pPr>
        <w:ind w:left="10360"/>
        <w:spacing w:after="0"/>
        <w:rPr>
          <w:sz w:val="20"/>
          <w:szCs w:val="20"/>
          <w:color w:val="auto"/>
        </w:rPr>
      </w:pPr>
      <w:r>
        <w:rPr>
          <w:rFonts w:ascii="Arial" w:cs="Arial" w:eastAsia="Arial" w:hAnsi="Arial"/>
          <w:sz w:val="19"/>
          <w:szCs w:val="19"/>
          <w:color w:val="auto"/>
        </w:rPr>
        <w:t>Exhibit 10.2</w:t>
      </w:r>
    </w:p>
    <w:p>
      <w:pPr>
        <w:spacing w:after="0" w:line="335"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addresses of employees and suppliers; any data on or relating to past, present and prospective customers, including customer lists; and personal information. Employee confirms that such information is the exclusive property of the Company, and agrees that, immediately upon Employee’s termination of employment for any reason (whether during or after the Term), Employee shall deliver to the Company all correspondence, documents, books, records, lists and other materials containing such information that are within Employee’s possession or control, regardless of the medium in which such materials are maintained; and Employee shall retain no copies in any medium, regardless of where or by whom such materials were kept or prepared. As part of this restriction, and except as provided in subparagraph 12(c), Employee agrees neither to prepare, participate in or assist in the preparation of any article, book, speech or other writing or communication relating to the business, operations, personnel or prospects of the Company, its subsidiaries and affiliates, nor to encourage or assist others to do any of the foregoing, without the prior written consent of the Company (which may be withheld in the Company’s sole discretion). Nothing herein shall prevent Employee from: (i) complying with a valid subpoena or other legal requirement for disclosure of confidential information, provided that, except as provided in subparagraph 12(c), Employee shall use good faith efforts to notify the Company promptly and in advance of disclosure if Employee believes Employee is under a legal requirement to disclose confidential information otherwise protected from disclosure under this subparagraph; or (ii) disclosing the terms and conditions of this Agreement to Employee’s spouse or tax, accounting, financial or legal advisors, or as necessary to enforce this Agreement. Notwithstanding the foregoing, pursuant to the Defend Trade Secrets Act of 2016 (18 U.S.C. § 1833(b)), Employee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and without limiting the preceding sentence, if Employee files a lawsuit for retaliation by the Company for reporting a suspected violation of law, Employee may disclose the trade secret to his or her attorney and use the trade secret information in the court proceeding, if Employee files any document containing the trade secret under seal and does not disclose the trade secret except pursuant to court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1305"/>
        <w:spacing w:after="0" w:line="259" w:lineRule="auto"/>
        <w:tabs>
          <w:tab w:leader="none" w:pos="1752" w:val="left"/>
        </w:tabs>
        <w:numPr>
          <w:ilvl w:val="0"/>
          <w:numId w:val="27"/>
        </w:numPr>
        <w:rPr>
          <w:rFonts w:ascii="Arial" w:cs="Arial" w:eastAsia="Arial" w:hAnsi="Arial"/>
          <w:sz w:val="21"/>
          <w:szCs w:val="21"/>
          <w:color w:val="auto"/>
        </w:rPr>
      </w:pPr>
      <w:r>
        <w:rPr>
          <w:rFonts w:ascii="Arial" w:cs="Arial" w:eastAsia="Arial" w:hAnsi="Arial"/>
          <w:sz w:val="21"/>
          <w:szCs w:val="21"/>
          <w:color w:val="auto"/>
        </w:rPr>
        <w:t>Employee acknowledges that the restrictions contained in this Paragraph 12, in light of the nature of the business in which the Company is engaged and Employee’s position with the Company, are reasonable and necessary to protect the legitimate interests of the Company, and that any violation of these restrictions would result in irreparable injury to the Company. Employee therefore agrees that, in the event of Employee’s violation of any of these restrictions, the Company shall be entitled to seek from any court of competent jurisdiction: (i) preliminary and permanent injunctive relief against Employee; (ii) damages from Employee; and (iii) an equitable accounting of all compensation, commissions, earnings, profits and other benefits to Employee arising from such violation; all of which rights shall be cumulative and in addition to any other rights and remedies to which the Company may be entitled as set forth herein or as a matter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132"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color w:val="auto"/>
        </w:rPr>
        <w:t>Exhibit 10.2</w:t>
      </w:r>
    </w:p>
    <w:p>
      <w:pPr>
        <w:spacing w:after="0" w:line="301" w:lineRule="exact"/>
        <w:rPr>
          <w:sz w:val="20"/>
          <w:szCs w:val="20"/>
          <w:color w:val="auto"/>
        </w:rPr>
      </w:pPr>
    </w:p>
    <w:p>
      <w:pPr>
        <w:ind w:firstLine="1305"/>
        <w:spacing w:after="0" w:line="261" w:lineRule="auto"/>
        <w:tabs>
          <w:tab w:leader="none" w:pos="1728" w:val="left"/>
        </w:tabs>
        <w:numPr>
          <w:ilvl w:val="1"/>
          <w:numId w:val="28"/>
        </w:numPr>
        <w:rPr>
          <w:rFonts w:ascii="Arial" w:cs="Arial" w:eastAsia="Arial" w:hAnsi="Arial"/>
          <w:sz w:val="21"/>
          <w:szCs w:val="21"/>
          <w:color w:val="auto"/>
        </w:rPr>
      </w:pPr>
      <w:r>
        <w:rPr>
          <w:rFonts w:ascii="Arial" w:cs="Arial" w:eastAsia="Arial" w:hAnsi="Arial"/>
          <w:sz w:val="21"/>
          <w:szCs w:val="21"/>
          <w:color w:val="auto"/>
        </w:rPr>
        <w:t>Employee agrees that if any portion of the restrictions contained in this Paragraph 12, or the application thereof, is construed to be invalid or unenforceable, the remainder of such restrictions or the application thereof shall not be affected and the remaining restrictions will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17" w:lineRule="exact"/>
        <w:rPr>
          <w:rFonts w:ascii="Arial" w:cs="Arial" w:eastAsia="Arial" w:hAnsi="Arial"/>
          <w:sz w:val="21"/>
          <w:szCs w:val="21"/>
          <w:color w:val="auto"/>
        </w:rPr>
      </w:pPr>
    </w:p>
    <w:p>
      <w:pPr>
        <w:ind w:right="200" w:firstLine="1305"/>
        <w:spacing w:after="0" w:line="253" w:lineRule="auto"/>
        <w:tabs>
          <w:tab w:leader="none" w:pos="1765" w:val="left"/>
        </w:tabs>
        <w:numPr>
          <w:ilvl w:val="1"/>
          <w:numId w:val="28"/>
        </w:numPr>
        <w:rPr>
          <w:rFonts w:ascii="Arial" w:cs="Arial" w:eastAsia="Arial" w:hAnsi="Arial"/>
          <w:sz w:val="22"/>
          <w:szCs w:val="22"/>
          <w:color w:val="auto"/>
        </w:rPr>
      </w:pPr>
      <w:r>
        <w:rPr>
          <w:rFonts w:ascii="Arial" w:cs="Arial" w:eastAsia="Arial" w:hAnsi="Arial"/>
          <w:sz w:val="22"/>
          <w:szCs w:val="22"/>
          <w:color w:val="auto"/>
        </w:rPr>
        <w:t>If Employee violates any such restrictions, the period of such violation (from the commencement of any such violation until such time as such violation shall be cured by Employee) shall not count toward or be included in the applicable restrictive period.</w:t>
      </w:r>
    </w:p>
    <w:p>
      <w:pPr>
        <w:spacing w:after="0" w:line="334" w:lineRule="exact"/>
        <w:rPr>
          <w:rFonts w:ascii="Arial" w:cs="Arial" w:eastAsia="Arial" w:hAnsi="Arial"/>
          <w:sz w:val="22"/>
          <w:szCs w:val="22"/>
          <w:color w:val="auto"/>
        </w:rPr>
      </w:pPr>
    </w:p>
    <w:p>
      <w:pPr>
        <w:ind w:left="540" w:hanging="532"/>
        <w:spacing w:after="0"/>
        <w:tabs>
          <w:tab w:leader="none" w:pos="54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Prohibited Public Statements</w:t>
      </w:r>
      <w:r>
        <w:rPr>
          <w:rFonts w:ascii="Arial" w:cs="Arial" w:eastAsia="Arial" w:hAnsi="Arial"/>
          <w:sz w:val="22"/>
          <w:szCs w:val="22"/>
          <w:color w:val="auto"/>
        </w:rPr>
        <w:t>.</w:t>
      </w:r>
    </w:p>
    <w:p>
      <w:pPr>
        <w:spacing w:after="0" w:line="57" w:lineRule="exact"/>
        <w:rPr>
          <w:rFonts w:ascii="Arial" w:cs="Arial" w:eastAsia="Arial" w:hAnsi="Arial"/>
          <w:sz w:val="22"/>
          <w:szCs w:val="22"/>
          <w:color w:val="auto"/>
        </w:rPr>
      </w:pPr>
    </w:p>
    <w:p>
      <w:pPr>
        <w:ind w:right="60" w:firstLine="1305"/>
        <w:spacing w:after="0" w:line="250" w:lineRule="auto"/>
        <w:tabs>
          <w:tab w:leader="none" w:pos="1752" w:val="left"/>
        </w:tabs>
        <w:numPr>
          <w:ilvl w:val="1"/>
          <w:numId w:val="29"/>
        </w:numPr>
        <w:rPr>
          <w:rFonts w:ascii="Arial" w:cs="Arial" w:eastAsia="Arial" w:hAnsi="Arial"/>
          <w:sz w:val="22"/>
          <w:szCs w:val="22"/>
          <w:color w:val="auto"/>
        </w:rPr>
      </w:pPr>
      <w:r>
        <w:rPr>
          <w:rFonts w:ascii="Arial" w:cs="Arial" w:eastAsia="Arial" w:hAnsi="Arial"/>
          <w:sz w:val="22"/>
          <w:szCs w:val="22"/>
          <w:color w:val="auto"/>
        </w:rPr>
        <w:t>Except as provided in subparagraph 12(c), Employee shall not, either during or at any time after the termination of his employment, make any public statement (including a private statement reasonably likely to be repeated publicly) reflecting adversely on the Company and its business prospects, except for such statements which during Employee’s employment he may be required to make in the ordinary course of his employment.</w:t>
      </w:r>
    </w:p>
    <w:p>
      <w:pPr>
        <w:spacing w:after="0" w:line="26" w:lineRule="exact"/>
        <w:rPr>
          <w:rFonts w:ascii="Arial" w:cs="Arial" w:eastAsia="Arial" w:hAnsi="Arial"/>
          <w:sz w:val="22"/>
          <w:szCs w:val="22"/>
          <w:color w:val="auto"/>
        </w:rPr>
      </w:pPr>
    </w:p>
    <w:p>
      <w:pPr>
        <w:ind w:right="140" w:firstLine="1305"/>
        <w:spacing w:after="0" w:line="253" w:lineRule="auto"/>
        <w:tabs>
          <w:tab w:leader="none" w:pos="1761"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Company shall not, either during or at any time after the termination of his employment, make any public statement (including a private statement reasonably likely to be repeated publicly) reflecting adversely on Employee, except for truthful statements which the Company is required to make by law.</w:t>
      </w:r>
    </w:p>
    <w:p>
      <w:pPr>
        <w:spacing w:after="0" w:line="334" w:lineRule="exact"/>
        <w:rPr>
          <w:rFonts w:ascii="Arial" w:cs="Arial" w:eastAsia="Arial" w:hAnsi="Arial"/>
          <w:sz w:val="22"/>
          <w:szCs w:val="22"/>
          <w:color w:val="auto"/>
        </w:rPr>
      </w:pPr>
    </w:p>
    <w:p>
      <w:pPr>
        <w:ind w:left="500" w:hanging="492"/>
        <w:spacing w:after="0"/>
        <w:tabs>
          <w:tab w:leader="none" w:pos="50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Representations</w:t>
      </w:r>
      <w:r>
        <w:rPr>
          <w:rFonts w:ascii="Arial" w:cs="Arial" w:eastAsia="Arial" w:hAnsi="Arial"/>
          <w:sz w:val="22"/>
          <w:szCs w:val="22"/>
          <w:color w:val="auto"/>
        </w:rPr>
        <w:t>.</w:t>
      </w:r>
    </w:p>
    <w:p>
      <w:pPr>
        <w:spacing w:after="0" w:line="368" w:lineRule="exact"/>
        <w:rPr>
          <w:rFonts w:ascii="Arial" w:cs="Arial" w:eastAsia="Arial" w:hAnsi="Arial"/>
          <w:sz w:val="22"/>
          <w:szCs w:val="22"/>
          <w:color w:val="auto"/>
        </w:rPr>
      </w:pPr>
    </w:p>
    <w:p>
      <w:pPr>
        <w:ind w:left="1760" w:hanging="455"/>
        <w:spacing w:after="0"/>
        <w:tabs>
          <w:tab w:leader="none" w:pos="1760" w:val="left"/>
        </w:tabs>
        <w:numPr>
          <w:ilvl w:val="1"/>
          <w:numId w:val="29"/>
        </w:numPr>
        <w:rPr>
          <w:rFonts w:ascii="Arial" w:cs="Arial" w:eastAsia="Arial" w:hAnsi="Arial"/>
          <w:sz w:val="22"/>
          <w:szCs w:val="22"/>
          <w:color w:val="auto"/>
        </w:rPr>
      </w:pPr>
      <w:r>
        <w:rPr>
          <w:rFonts w:ascii="Arial" w:cs="Arial" w:eastAsia="Arial" w:hAnsi="Arial"/>
          <w:sz w:val="22"/>
          <w:szCs w:val="22"/>
          <w:color w:val="auto"/>
        </w:rPr>
        <w:t>Employee represents that:</w:t>
      </w:r>
    </w:p>
    <w:p>
      <w:pPr>
        <w:spacing w:after="0" w:line="368" w:lineRule="exact"/>
        <w:rPr>
          <w:rFonts w:ascii="Arial" w:cs="Arial" w:eastAsia="Arial" w:hAnsi="Arial"/>
          <w:sz w:val="22"/>
          <w:szCs w:val="22"/>
          <w:color w:val="auto"/>
        </w:rPr>
      </w:pPr>
    </w:p>
    <w:p>
      <w:pPr>
        <w:ind w:right="960" w:firstLine="1953"/>
        <w:spacing w:after="0" w:line="263" w:lineRule="auto"/>
        <w:tabs>
          <w:tab w:leader="none" w:pos="2365" w:val="left"/>
        </w:tabs>
        <w:numPr>
          <w:ilvl w:val="2"/>
          <w:numId w:val="29"/>
        </w:numPr>
        <w:rPr>
          <w:rFonts w:ascii="Arial" w:cs="Arial" w:eastAsia="Arial" w:hAnsi="Arial"/>
          <w:sz w:val="22"/>
          <w:szCs w:val="22"/>
          <w:color w:val="auto"/>
        </w:rPr>
      </w:pPr>
      <w:r>
        <w:rPr>
          <w:rFonts w:ascii="Arial" w:cs="Arial" w:eastAsia="Arial" w:hAnsi="Arial"/>
          <w:sz w:val="22"/>
          <w:szCs w:val="22"/>
          <w:color w:val="auto"/>
        </w:rPr>
        <w:t>Employee has had the opportunity to retain and consult with legal counsel and tax advisors of Employee’s choice regarding the terms of this Agreement.</w:t>
      </w:r>
    </w:p>
    <w:p>
      <w:pPr>
        <w:spacing w:after="0" w:line="12" w:lineRule="exact"/>
        <w:rPr>
          <w:rFonts w:ascii="Arial" w:cs="Arial" w:eastAsia="Arial" w:hAnsi="Arial"/>
          <w:sz w:val="22"/>
          <w:szCs w:val="22"/>
          <w:color w:val="auto"/>
        </w:rPr>
      </w:pPr>
    </w:p>
    <w:p>
      <w:pPr>
        <w:ind w:left="2440" w:hanging="487"/>
        <w:spacing w:after="0"/>
        <w:tabs>
          <w:tab w:leader="none" w:pos="2440" w:val="left"/>
        </w:tabs>
        <w:numPr>
          <w:ilvl w:val="2"/>
          <w:numId w:val="29"/>
        </w:numPr>
        <w:rPr>
          <w:rFonts w:ascii="Arial" w:cs="Arial" w:eastAsia="Arial" w:hAnsi="Arial"/>
          <w:sz w:val="19"/>
          <w:szCs w:val="19"/>
          <w:color w:val="auto"/>
        </w:rPr>
      </w:pPr>
      <w:r>
        <w:rPr>
          <w:rFonts w:ascii="Arial" w:cs="Arial" w:eastAsia="Arial" w:hAnsi="Arial"/>
          <w:sz w:val="19"/>
          <w:szCs w:val="19"/>
          <w:color w:val="auto"/>
        </w:rPr>
        <w:t>Subject to equitable principles, this Agreement is enforceable against Employee in accordance with its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terms.</w:t>
      </w:r>
    </w:p>
    <w:p>
      <w:pPr>
        <w:spacing w:after="0" w:line="53" w:lineRule="exact"/>
        <w:rPr>
          <w:rFonts w:ascii="Arial" w:cs="Arial" w:eastAsia="Arial" w:hAnsi="Arial"/>
          <w:sz w:val="19"/>
          <w:szCs w:val="19"/>
          <w:color w:val="auto"/>
        </w:rPr>
      </w:pPr>
    </w:p>
    <w:p>
      <w:pPr>
        <w:ind w:right="460" w:firstLine="1953"/>
        <w:spacing w:after="0" w:line="263" w:lineRule="auto"/>
        <w:tabs>
          <w:tab w:leader="none" w:pos="2481" w:val="left"/>
        </w:tabs>
        <w:numPr>
          <w:ilvl w:val="2"/>
          <w:numId w:val="29"/>
        </w:numPr>
        <w:rPr>
          <w:rFonts w:ascii="Arial" w:cs="Arial" w:eastAsia="Arial" w:hAnsi="Arial"/>
          <w:sz w:val="22"/>
          <w:szCs w:val="22"/>
          <w:color w:val="auto"/>
        </w:rPr>
      </w:pPr>
      <w:r>
        <w:rPr>
          <w:rFonts w:ascii="Arial" w:cs="Arial" w:eastAsia="Arial" w:hAnsi="Arial"/>
          <w:sz w:val="22"/>
          <w:szCs w:val="22"/>
          <w:color w:val="auto"/>
        </w:rPr>
        <w:t>This Agreement does not conflict with, violate or give rise to any rights of third parties under, any agreement, order, decree or judgment to which Employee is a party or by which Employee is bound.</w:t>
      </w:r>
    </w:p>
    <w:p>
      <w:pPr>
        <w:spacing w:after="0" w:line="12" w:lineRule="exact"/>
        <w:rPr>
          <w:rFonts w:ascii="Arial" w:cs="Arial" w:eastAsia="Arial" w:hAnsi="Arial"/>
          <w:sz w:val="22"/>
          <w:szCs w:val="22"/>
          <w:color w:val="auto"/>
        </w:rPr>
      </w:pPr>
    </w:p>
    <w:p>
      <w:pPr>
        <w:ind w:left="1760" w:hanging="455"/>
        <w:spacing w:after="0"/>
        <w:tabs>
          <w:tab w:leader="none" w:pos="1760"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Company represents that:</w:t>
      </w:r>
    </w:p>
    <w:p>
      <w:pPr>
        <w:spacing w:after="0" w:line="368" w:lineRule="exact"/>
        <w:rPr>
          <w:rFonts w:ascii="Arial" w:cs="Arial" w:eastAsia="Arial" w:hAnsi="Arial"/>
          <w:sz w:val="22"/>
          <w:szCs w:val="22"/>
          <w:color w:val="auto"/>
        </w:rPr>
      </w:pPr>
    </w:p>
    <w:p>
      <w:pPr>
        <w:ind w:left="2380" w:hanging="427"/>
        <w:spacing w:after="0"/>
        <w:tabs>
          <w:tab w:leader="none" w:pos="2380" w:val="left"/>
        </w:tabs>
        <w:numPr>
          <w:ilvl w:val="2"/>
          <w:numId w:val="29"/>
        </w:numPr>
        <w:rPr>
          <w:rFonts w:ascii="Arial" w:cs="Arial" w:eastAsia="Arial" w:hAnsi="Arial"/>
          <w:sz w:val="19"/>
          <w:szCs w:val="19"/>
          <w:color w:val="auto"/>
        </w:rPr>
      </w:pPr>
      <w:r>
        <w:rPr>
          <w:rFonts w:ascii="Arial" w:cs="Arial" w:eastAsia="Arial" w:hAnsi="Arial"/>
          <w:sz w:val="19"/>
          <w:szCs w:val="19"/>
          <w:color w:val="auto"/>
        </w:rPr>
        <w:t>Subject to equitable principles, this Agreement is enforceable against the Company in accordance with</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its terms.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132"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color w:val="auto"/>
        </w:rPr>
        <w:t>Exhibit 10.2</w:t>
      </w:r>
    </w:p>
    <w:p>
      <w:pPr>
        <w:spacing w:after="0" w:line="368" w:lineRule="exact"/>
        <w:rPr>
          <w:sz w:val="20"/>
          <w:szCs w:val="20"/>
          <w:color w:val="auto"/>
        </w:rPr>
      </w:pPr>
    </w:p>
    <w:p>
      <w:pPr>
        <w:ind w:right="540" w:firstLine="1953"/>
        <w:spacing w:after="0" w:line="263" w:lineRule="auto"/>
        <w:tabs>
          <w:tab w:leader="none" w:pos="2421" w:val="left"/>
        </w:tabs>
        <w:numPr>
          <w:ilvl w:val="2"/>
          <w:numId w:val="30"/>
        </w:numPr>
        <w:rPr>
          <w:rFonts w:ascii="Arial" w:cs="Arial" w:eastAsia="Arial" w:hAnsi="Arial"/>
          <w:sz w:val="22"/>
          <w:szCs w:val="22"/>
          <w:color w:val="auto"/>
        </w:rPr>
      </w:pPr>
      <w:r>
        <w:rPr>
          <w:rFonts w:ascii="Arial" w:cs="Arial" w:eastAsia="Arial" w:hAnsi="Arial"/>
          <w:sz w:val="22"/>
          <w:szCs w:val="22"/>
          <w:color w:val="auto"/>
        </w:rPr>
        <w:t>This Agreement does not conflict with, violate or give rise to any rights to third parties under, any agreement, order, decree or judgment to which the Company is a party or by which it is bound.</w:t>
      </w:r>
    </w:p>
    <w:p>
      <w:pPr>
        <w:spacing w:after="0" w:line="80" w:lineRule="exact"/>
        <w:rPr>
          <w:rFonts w:ascii="Arial" w:cs="Arial" w:eastAsia="Arial" w:hAnsi="Arial"/>
          <w:sz w:val="22"/>
          <w:szCs w:val="22"/>
          <w:color w:val="auto"/>
        </w:rPr>
      </w:pPr>
    </w:p>
    <w:p>
      <w:pPr>
        <w:ind w:right="180" w:firstLine="8"/>
        <w:spacing w:after="0" w:line="297" w:lineRule="auto"/>
        <w:tabs>
          <w:tab w:leader="none" w:pos="486"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Change in Law</w:t>
      </w:r>
      <w:r>
        <w:rPr>
          <w:rFonts w:ascii="Arial" w:cs="Arial" w:eastAsia="Arial" w:hAnsi="Arial"/>
          <w:sz w:val="19"/>
          <w:szCs w:val="19"/>
          <w:color w:val="auto"/>
        </w:rPr>
        <w:t>. Notwithstanding any provision of this Agreement to the contrary, the parties agree that in the event of a change in law, or the issuance by the Internal Revenue Service or other governmental agency of any guidance, regulation or other interpretation, that would require this Agreement or any deferred compensation plan or arrangement of the Company in which the Employee participates be changed to remain in compliance with Internal Revenue Code 409A, the parties agree to make such changes to this Agreement or such plans or arrangements as are necessary or required to effect such changes.</w:t>
      </w:r>
    </w:p>
    <w:p>
      <w:pPr>
        <w:spacing w:after="0" w:line="52" w:lineRule="exact"/>
        <w:rPr>
          <w:rFonts w:ascii="Arial" w:cs="Arial" w:eastAsia="Arial" w:hAnsi="Arial"/>
          <w:sz w:val="19"/>
          <w:szCs w:val="19"/>
          <w:color w:val="auto"/>
        </w:rPr>
      </w:pPr>
    </w:p>
    <w:p>
      <w:pPr>
        <w:ind w:left="500" w:hanging="492"/>
        <w:spacing w:after="0"/>
        <w:tabs>
          <w:tab w:leader="none" w:pos="500" w:val="left"/>
        </w:tabs>
        <w:numPr>
          <w:ilvl w:val="0"/>
          <w:numId w:val="31"/>
        </w:numPr>
        <w:rPr>
          <w:rFonts w:ascii="Arial" w:cs="Arial" w:eastAsia="Arial" w:hAnsi="Arial"/>
          <w:sz w:val="22"/>
          <w:szCs w:val="22"/>
          <w:color w:val="auto"/>
        </w:rPr>
      </w:pPr>
      <w:r>
        <w:rPr>
          <w:rFonts w:ascii="Arial" w:cs="Arial" w:eastAsia="Arial" w:hAnsi="Arial"/>
          <w:sz w:val="22"/>
          <w:szCs w:val="22"/>
          <w:u w:val="single" w:color="auto"/>
          <w:color w:val="auto"/>
        </w:rPr>
        <w:t>Successors; Binding Agreement</w:t>
      </w:r>
      <w:r>
        <w:rPr>
          <w:rFonts w:ascii="Arial" w:cs="Arial" w:eastAsia="Arial" w:hAnsi="Arial"/>
          <w:sz w:val="22"/>
          <w:szCs w:val="22"/>
          <w:color w:val="auto"/>
        </w:rPr>
        <w:t>.</w:t>
      </w:r>
    </w:p>
    <w:p>
      <w:pPr>
        <w:spacing w:after="0" w:line="125" w:lineRule="exact"/>
        <w:rPr>
          <w:rFonts w:ascii="Arial" w:cs="Arial" w:eastAsia="Arial" w:hAnsi="Arial"/>
          <w:sz w:val="22"/>
          <w:szCs w:val="22"/>
          <w:color w:val="auto"/>
        </w:rPr>
      </w:pPr>
    </w:p>
    <w:p>
      <w:pPr>
        <w:ind w:right="80" w:firstLine="1305"/>
        <w:spacing w:after="0" w:line="288" w:lineRule="auto"/>
        <w:tabs>
          <w:tab w:leader="none" w:pos="1749" w:val="left"/>
        </w:tabs>
        <w:numPr>
          <w:ilvl w:val="1"/>
          <w:numId w:val="31"/>
        </w:numPr>
        <w:rPr>
          <w:rFonts w:ascii="Arial" w:cs="Arial" w:eastAsia="Arial" w:hAnsi="Arial"/>
          <w:sz w:val="19"/>
          <w:szCs w:val="19"/>
          <w:color w:val="auto"/>
        </w:rPr>
      </w:pPr>
      <w:r>
        <w:rPr>
          <w:rFonts w:ascii="Arial" w:cs="Arial" w:eastAsia="Arial" w:hAnsi="Arial"/>
          <w:sz w:val="19"/>
          <w:szCs w:val="19"/>
          <w:color w:val="auto"/>
        </w:rPr>
        <w:t>The Company will require any successor (whether direct or indirect, by purchase, merger, consolidation or otherwise) to all or substantially all of the businesses and/or assets of the Company, by agreement in form and substance satisfactory to Employee,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and shall entitle Employee to compensation from the Company in the same amount and on the same terms as he would be entitled to hereunder pursuant to subparagraph 11(d), except that for purposes of implementing the foregoing the date on which any such succession becomes effective shall be deemed the Date of Termination. As used in this Agreement, “Company” shall mean the Company and any successor to its businesses and/or assets which executes and delivers the agreement provided for in this Paragraph 16 or which otherwise becomes bound by all the terms and provisions of this Agreement by operation of law.</w:t>
      </w:r>
    </w:p>
    <w:p>
      <w:pPr>
        <w:spacing w:after="0" w:line="65" w:lineRule="exact"/>
        <w:rPr>
          <w:rFonts w:ascii="Arial" w:cs="Arial" w:eastAsia="Arial" w:hAnsi="Arial"/>
          <w:sz w:val="19"/>
          <w:szCs w:val="19"/>
          <w:color w:val="auto"/>
        </w:rPr>
      </w:pPr>
    </w:p>
    <w:p>
      <w:pPr>
        <w:ind w:right="160" w:firstLine="1305"/>
        <w:spacing w:after="0" w:line="263" w:lineRule="auto"/>
        <w:tabs>
          <w:tab w:leader="none" w:pos="1819" w:val="left"/>
        </w:tabs>
        <w:numPr>
          <w:ilvl w:val="1"/>
          <w:numId w:val="31"/>
        </w:numPr>
        <w:rPr>
          <w:rFonts w:ascii="Arial" w:cs="Arial" w:eastAsia="Arial" w:hAnsi="Arial"/>
          <w:sz w:val="21"/>
          <w:szCs w:val="21"/>
          <w:color w:val="auto"/>
        </w:rPr>
      </w:pPr>
      <w:r>
        <w:rPr>
          <w:rFonts w:ascii="Arial" w:cs="Arial" w:eastAsia="Arial" w:hAnsi="Arial"/>
          <w:sz w:val="21"/>
          <w:szCs w:val="21"/>
          <w:color w:val="auto"/>
        </w:rPr>
        <w:t>This Agreement and all rights of Employee hereunder shall inure to the benefit of and shall be binding upon Employee’s personal or legal representatives, executors, administrators, successors, heirs, distributees, devisees and legatees. If Employee should die while any amounts would still be payable to him hereunder if he had continued to live, all such amounts, unless otherwise provided herein, shall be paid in accordance with the terms of this Agreement to Employee’s designee or, if there be no such designee, to Employee’s estate.</w:t>
      </w:r>
    </w:p>
    <w:p>
      <w:pPr>
        <w:spacing w:after="0" w:line="81" w:lineRule="exact"/>
        <w:rPr>
          <w:rFonts w:ascii="Arial" w:cs="Arial" w:eastAsia="Arial" w:hAnsi="Arial"/>
          <w:sz w:val="21"/>
          <w:szCs w:val="21"/>
          <w:color w:val="auto"/>
        </w:rPr>
      </w:pPr>
    </w:p>
    <w:p>
      <w:pPr>
        <w:ind w:firstLine="8"/>
        <w:spacing w:after="0" w:line="260" w:lineRule="auto"/>
        <w:tabs>
          <w:tab w:leader="none" w:pos="486" w:val="left"/>
        </w:tabs>
        <w:numPr>
          <w:ilvl w:val="0"/>
          <w:numId w:val="31"/>
        </w:numPr>
        <w:rPr>
          <w:rFonts w:ascii="Arial" w:cs="Arial" w:eastAsia="Arial" w:hAnsi="Arial"/>
          <w:sz w:val="21"/>
          <w:szCs w:val="21"/>
          <w:color w:val="auto"/>
        </w:rPr>
      </w:pPr>
      <w:r>
        <w:rPr>
          <w:rFonts w:ascii="Arial" w:cs="Arial" w:eastAsia="Arial" w:hAnsi="Arial"/>
          <w:sz w:val="21"/>
          <w:szCs w:val="21"/>
          <w:u w:val="single" w:color="auto"/>
          <w:color w:val="auto"/>
        </w:rPr>
        <w:t>Jurisdiction</w:t>
      </w:r>
      <w:r>
        <w:rPr>
          <w:rFonts w:ascii="Arial" w:cs="Arial" w:eastAsia="Arial" w:hAnsi="Arial"/>
          <w:sz w:val="21"/>
          <w:szCs w:val="21"/>
          <w:color w:val="auto"/>
        </w:rPr>
        <w:t>. Litigation concerning this Agreement, if initiated by or on behalf of Employee, shall be brought only in a state court in Philadelphia County, Pennsylvania or federal court in the Eastern District of Pennsylvania, or, if initiated by the Company, in either such jurisdiction or in a jurisdiction in which Employee then resides or works. Employee consents to jurisdiction in any such jurisdiction, regardless of the location of Employee’s residence or place of business. Employee and the Company irrevocably waive any objection, including any objection to the laying of venue or based on the grounds of forum non conveniens, which it may now or hereafter have to the bringing of any action or proceeding in any such jurisdiction. Employee and the Company acknowledge and agree that any service of legal process by mail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132"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color w:val="auto"/>
        </w:rPr>
        <w:t>Exhibit 10.2</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constitutes proper legal service of process under applicable law in any such action or proceeding.</w:t>
      </w:r>
    </w:p>
    <w:p>
      <w:pPr>
        <w:spacing w:after="0" w:line="125" w:lineRule="exact"/>
        <w:rPr>
          <w:sz w:val="20"/>
          <w:szCs w:val="20"/>
          <w:color w:val="auto"/>
        </w:rPr>
      </w:pPr>
    </w:p>
    <w:p>
      <w:pPr>
        <w:ind w:right="40" w:firstLine="8"/>
        <w:spacing w:after="0" w:line="250" w:lineRule="auto"/>
        <w:tabs>
          <w:tab w:leader="none" w:pos="486"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Governing Law; Litigation Costs</w:t>
      </w:r>
      <w:r>
        <w:rPr>
          <w:rFonts w:ascii="Arial" w:cs="Arial" w:eastAsia="Arial" w:hAnsi="Arial"/>
          <w:sz w:val="22"/>
          <w:szCs w:val="22"/>
          <w:color w:val="auto"/>
        </w:rPr>
        <w:t>. This Agreement shall be interpreted and enforced in accordance with the substantive law of the Commonwealth of Pennsylvania, without regard to any choice-of-law doctrines. In any litigation concerning this Agreement, the prevailing party shall be entitled to reimbursement from the other party for all costs of defending or maintaining such action, including reasonable attorneys’ fees.</w:t>
      </w:r>
    </w:p>
    <w:p>
      <w:pPr>
        <w:spacing w:after="0" w:line="350" w:lineRule="exact"/>
        <w:rPr>
          <w:rFonts w:ascii="Arial" w:cs="Arial" w:eastAsia="Arial" w:hAnsi="Arial"/>
          <w:sz w:val="22"/>
          <w:szCs w:val="22"/>
          <w:color w:val="auto"/>
        </w:rPr>
      </w:pPr>
    </w:p>
    <w:p>
      <w:pPr>
        <w:ind w:right="360" w:firstLine="8"/>
        <w:spacing w:after="0" w:line="253" w:lineRule="auto"/>
        <w:tabs>
          <w:tab w:leader="none" w:pos="486"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referred to in this Agreement shall be given in writing and shall be effective: (a) if given by fax, when transmitted to the number below and an appropriate facsimile confirmation is received; or (b) if given by registered or certified mail, when received at the following address (with an appropriate receipt received):</w:t>
      </w:r>
    </w:p>
    <w:p>
      <w:pPr>
        <w:spacing w:after="0" w:line="33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Company to:</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c/o Comcast Corporation</w:t>
      </w:r>
    </w:p>
    <w:p>
      <w:pPr>
        <w:spacing w:after="0" w:line="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One Comcast Center</w:t>
      </w:r>
    </w:p>
    <w:p>
      <w:pPr>
        <w:spacing w:after="0" w:line="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Philadelphia, PA 19103</w:t>
      </w:r>
    </w:p>
    <w:p>
      <w:pPr>
        <w:spacing w:after="0" w:line="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w:t>
      </w:r>
    </w:p>
    <w:p>
      <w:pPr>
        <w:spacing w:after="0" w:line="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(215) 286-7794; and</w:t>
      </w:r>
    </w:p>
    <w:p>
      <w:pPr>
        <w:spacing w:after="0" w:line="368" w:lineRule="exact"/>
        <w:rPr>
          <w:sz w:val="20"/>
          <w:szCs w:val="20"/>
          <w:color w:val="auto"/>
        </w:rPr>
      </w:pPr>
    </w:p>
    <w:p>
      <w:pPr>
        <w:ind w:left="440" w:right="3740" w:firstLine="864"/>
        <w:spacing w:after="0" w:line="448" w:lineRule="auto"/>
        <w:rPr>
          <w:sz w:val="20"/>
          <w:szCs w:val="20"/>
          <w:color w:val="auto"/>
        </w:rPr>
      </w:pPr>
      <w:r>
        <w:rPr>
          <w:rFonts w:ascii="Arial" w:cs="Arial" w:eastAsia="Arial" w:hAnsi="Arial"/>
          <w:sz w:val="22"/>
          <w:szCs w:val="22"/>
          <w:color w:val="auto"/>
        </w:rPr>
        <w:t>if to Employee to: Employee’s address and fax number as indicated in the Company’s records from time to time.</w:t>
      </w:r>
    </w:p>
    <w:p>
      <w:pPr>
        <w:spacing w:after="0" w:line="1" w:lineRule="exact"/>
        <w:rPr>
          <w:sz w:val="20"/>
          <w:szCs w:val="20"/>
          <w:color w:val="auto"/>
        </w:rPr>
      </w:pPr>
    </w:p>
    <w:p>
      <w:pPr>
        <w:ind w:right="60" w:firstLine="8"/>
        <w:spacing w:after="0" w:line="248" w:lineRule="auto"/>
        <w:tabs>
          <w:tab w:leader="none" w:pos="486"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of the parties with respect to the subject matter hereof. This Agreement supersedes and replaces in its entirety the 2005 Agreement provided that any accrued rights and obligations of the parties thereunder as of the date hereof shall be unaffected by the execution of this Agreement. In the event of any conflict between the terms of this Agreement and the terms of any plans or policies of the Company (including the Employee Handbook), the terms of this Agreement shall control.</w:t>
      </w:r>
    </w:p>
    <w:p>
      <w:pPr>
        <w:spacing w:after="0" w:line="192" w:lineRule="exact"/>
        <w:rPr>
          <w:rFonts w:ascii="Arial" w:cs="Arial" w:eastAsia="Arial" w:hAnsi="Arial"/>
          <w:sz w:val="22"/>
          <w:szCs w:val="22"/>
          <w:color w:val="auto"/>
        </w:rPr>
      </w:pPr>
    </w:p>
    <w:p>
      <w:pPr>
        <w:ind w:right="60" w:firstLine="8"/>
        <w:spacing w:after="0" w:line="302" w:lineRule="auto"/>
        <w:tabs>
          <w:tab w:leader="none" w:pos="486"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Waivers</w:t>
      </w:r>
      <w:r>
        <w:rPr>
          <w:rFonts w:ascii="Arial" w:cs="Arial" w:eastAsia="Arial" w:hAnsi="Arial"/>
          <w:sz w:val="19"/>
          <w:szCs w:val="19"/>
          <w:color w:val="auto"/>
        </w:rPr>
        <w:t>. No waiver by either party of any condition or of the breach by the other of any term or covenant contained in this Agreement, whether by conduct or otherwise, in any one or more instances, shall be deemed or construed as a further or continuing waiver of any such condition or breach or a waiver of any other condition or of the breach of any other term or covenant contained in this Agreement. Moreover, the failure of either party to exercise any right hereunder shall not bar the later exercise thereof.</w:t>
      </w:r>
    </w:p>
    <w:p>
      <w:pPr>
        <w:spacing w:after="0" w:line="142" w:lineRule="exact"/>
        <w:rPr>
          <w:rFonts w:ascii="Arial" w:cs="Arial" w:eastAsia="Arial" w:hAnsi="Arial"/>
          <w:sz w:val="19"/>
          <w:szCs w:val="19"/>
          <w:color w:val="auto"/>
        </w:rPr>
      </w:pPr>
    </w:p>
    <w:p>
      <w:pPr>
        <w:ind w:right="140" w:firstLine="8"/>
        <w:spacing w:after="0" w:line="312" w:lineRule="auto"/>
        <w:tabs>
          <w:tab w:leader="none" w:pos="486"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Nonalienation</w:t>
      </w:r>
      <w:r>
        <w:rPr>
          <w:rFonts w:ascii="Arial" w:cs="Arial" w:eastAsia="Arial" w:hAnsi="Arial"/>
          <w:sz w:val="19"/>
          <w:szCs w:val="19"/>
          <w:color w:val="auto"/>
        </w:rPr>
        <w:t>. Employee shall not pledge, hypothecate, anticipate or in any way create a lien upon any amounts provided under this Agreement. This Agreement and the benefits payable hereunder shall not be assignable by either party without the prior written consent of the other; provided, however, that nothing in this Agreement shall preclude Employee from designating a</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132"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63"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beneficiary to receive any benefit payable hereunder upon his death, or the executors, administrators or other legal representatives of Employee or his estate from assigning any rights hereunder to which they become entitled to the person or persons entitled thereto.</w:t>
      </w:r>
    </w:p>
    <w:p>
      <w:pPr>
        <w:spacing w:after="0" w:line="186" w:lineRule="exact"/>
        <w:rPr>
          <w:sz w:val="20"/>
          <w:szCs w:val="20"/>
          <w:color w:val="auto"/>
        </w:rPr>
      </w:pPr>
    </w:p>
    <w:p>
      <w:pPr>
        <w:ind w:right="320" w:firstLine="8"/>
        <w:spacing w:after="0" w:line="253" w:lineRule="auto"/>
        <w:tabs>
          <w:tab w:leader="none" w:pos="486"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Continuation of Covenants</w:t>
      </w:r>
      <w:r>
        <w:rPr>
          <w:rFonts w:ascii="Arial" w:cs="Arial" w:eastAsia="Arial" w:hAnsi="Arial"/>
          <w:sz w:val="22"/>
          <w:szCs w:val="22"/>
          <w:color w:val="auto"/>
        </w:rPr>
        <w:t>. The covenants and agreements of the parties set forth in Paragraphs 10, 11, 12 and 13 shall survive the Term and any termination of employment, shall continue thereafter, and shall not expire unless and except as may be expressly set forth therein</w:t>
      </w:r>
    </w:p>
    <w:p>
      <w:pPr>
        <w:spacing w:after="0" w:line="200" w:lineRule="exact"/>
        <w:rPr>
          <w:rFonts w:ascii="Arial" w:cs="Arial" w:eastAsia="Arial" w:hAnsi="Arial"/>
          <w:sz w:val="22"/>
          <w:szCs w:val="22"/>
          <w:color w:val="auto"/>
        </w:rPr>
      </w:pPr>
    </w:p>
    <w:p>
      <w:pPr>
        <w:spacing w:after="0" w:line="255" w:lineRule="exact"/>
        <w:rPr>
          <w:rFonts w:ascii="Arial" w:cs="Arial" w:eastAsia="Arial" w:hAnsi="Arial"/>
          <w:sz w:val="22"/>
          <w:szCs w:val="22"/>
          <w:color w:val="auto"/>
        </w:rPr>
      </w:pPr>
    </w:p>
    <w:p>
      <w:pPr>
        <w:ind w:right="40" w:firstLine="8"/>
        <w:spacing w:after="0" w:line="250" w:lineRule="auto"/>
        <w:tabs>
          <w:tab w:leader="none" w:pos="486"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Invalidity or Unenforceability</w:t>
      </w:r>
      <w:r>
        <w:rPr>
          <w:rFonts w:ascii="Arial" w:cs="Arial" w:eastAsia="Arial" w:hAnsi="Arial"/>
          <w:sz w:val="22"/>
          <w:szCs w:val="22"/>
          <w:color w:val="auto"/>
        </w:rPr>
        <w:t>. If any term or provision of this Agreement is held to be invalid or unenforceable for any reason, such invalidity or 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9"/>
          <w:szCs w:val="19"/>
          <w:color w:val="auto"/>
        </w:rPr>
        <w:t>IN WITNESS WHEREOF, the parties hereto have executed and delivered this Agreement as of the date first-above written.</w:t>
      </w:r>
    </w:p>
    <w:p>
      <w:pPr>
        <w:spacing w:after="0" w:line="200" w:lineRule="exact"/>
        <w:rPr>
          <w:sz w:val="20"/>
          <w:szCs w:val="20"/>
          <w:color w:val="auto"/>
        </w:rPr>
      </w:pPr>
    </w:p>
    <w:p>
      <w:pPr>
        <w:spacing w:after="0" w:line="20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COMCAST CORPORATION</w:t>
      </w:r>
    </w:p>
    <w:p>
      <w:pPr>
        <w:spacing w:after="0" w:line="368"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-17780</wp:posOffset>
            </wp:positionV>
            <wp:extent cx="14636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463675" cy="8890"/>
                    </a:xfrm>
                    <a:prstGeom prst="rect">
                      <a:avLst/>
                    </a:prstGeom>
                    <a:noFill/>
                  </pic:spPr>
                </pic:pic>
              </a:graphicData>
            </a:graphic>
          </wp:anchor>
        </w:drawing>
      </w:r>
    </w:p>
    <w:p>
      <w:pPr>
        <w:spacing w:after="0" w:line="34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EMPLOYEE:</w:t>
      </w:r>
    </w:p>
    <w:p>
      <w:pPr>
        <w:spacing w:after="0" w:line="36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-17780</wp:posOffset>
            </wp:positionV>
            <wp:extent cx="13569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3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Brian L. Roberts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132"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17"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420" w:hanging="644"/>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2017</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327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1"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I, Michael J. Cavanagh, certify that:</w:t>
      </w:r>
    </w:p>
    <w:p>
      <w:pPr>
        <w:spacing w:after="0" w:line="117"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117" w:lineRule="exact"/>
        <w:rPr>
          <w:rFonts w:ascii="Arial" w:cs="Arial" w:eastAsia="Arial" w:hAnsi="Arial"/>
          <w:sz w:val="18"/>
          <w:szCs w:val="18"/>
          <w:color w:val="auto"/>
        </w:rPr>
      </w:pPr>
    </w:p>
    <w:p>
      <w:pPr>
        <w:jc w:val="both"/>
        <w:ind w:left="660" w:right="180" w:hanging="652"/>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14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60" w:hanging="652"/>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260" w:hanging="644"/>
        <w:spacing w:after="0" w:line="342"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30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6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560" w:hanging="644"/>
        <w:spacing w:after="0" w:line="342"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40" w:hanging="644"/>
        <w:spacing w:after="0" w:line="277"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2017</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327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300"/>
          </w:cols>
          <w:pgMar w:left="240" w:top="368" w:right="35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17"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420" w:hanging="644"/>
        <w:spacing w:after="0" w:line="264"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80" w:hanging="644"/>
        <w:spacing w:after="0" w:line="342"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60" w:hanging="644"/>
        <w:spacing w:after="0" w:line="27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2017</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327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Principal Executive Officer</w:t>
      </w:r>
    </w:p>
    <w:p>
      <w:pPr>
        <w:sectPr>
          <w:pgSz w:w="11900" w:h="16838" w:orient="portrait"/>
          <w:cols w:equalWidth="0" w:num="1">
            <w:col w:w="11420"/>
          </w:cols>
          <w:pgMar w:left="240" w:top="121"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I, Michael J. Cavanagh, certify that:</w:t>
      </w:r>
    </w:p>
    <w:p>
      <w:pPr>
        <w:spacing w:after="0" w:line="117"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NBCUniversal Media, LLC;</w:t>
      </w:r>
    </w:p>
    <w:p>
      <w:pPr>
        <w:spacing w:after="0" w:line="117" w:lineRule="exact"/>
        <w:rPr>
          <w:rFonts w:ascii="Arial" w:cs="Arial" w:eastAsia="Arial" w:hAnsi="Arial"/>
          <w:sz w:val="18"/>
          <w:szCs w:val="18"/>
          <w:color w:val="auto"/>
        </w:rPr>
      </w:pPr>
    </w:p>
    <w:p>
      <w:pPr>
        <w:jc w:val="both"/>
        <w:ind w:left="660" w:right="180" w:hanging="652"/>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14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60" w:hanging="652"/>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hanging="644"/>
        <w:spacing w:after="0" w:line="264" w:lineRule="auto"/>
        <w:tabs>
          <w:tab w:leader="none" w:pos="13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100" w:hanging="644"/>
        <w:spacing w:after="0" w:line="264" w:lineRule="auto"/>
        <w:tabs>
          <w:tab w:leader="none" w:pos="13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260" w:hanging="644"/>
        <w:spacing w:after="0" w:line="342" w:lineRule="auto"/>
        <w:tabs>
          <w:tab w:leader="none" w:pos="1300" w:val="left"/>
        </w:tabs>
        <w:numPr>
          <w:ilvl w:val="2"/>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300" w:hanging="644"/>
        <w:spacing w:after="0" w:line="264" w:lineRule="auto"/>
        <w:tabs>
          <w:tab w:leader="none" w:pos="13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60" w:hanging="571"/>
        <w:spacing w:after="0" w:line="308" w:lineRule="auto"/>
        <w:tabs>
          <w:tab w:leader="none" w:pos="6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560" w:hanging="644"/>
        <w:spacing w:after="0" w:line="342" w:lineRule="auto"/>
        <w:tabs>
          <w:tab w:leader="none" w:pos="1300" w:val="left"/>
        </w:tabs>
        <w:numPr>
          <w:ilvl w:val="2"/>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240" w:hanging="644"/>
        <w:spacing w:after="0" w:line="277" w:lineRule="auto"/>
        <w:tabs>
          <w:tab w:leader="none" w:pos="1300" w:val="left"/>
        </w:tabs>
        <w:numPr>
          <w:ilvl w:val="2"/>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2017</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327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Principal Financial Officer</w:t>
      </w:r>
    </w:p>
    <w:p>
      <w:pPr>
        <w:sectPr>
          <w:pgSz w:w="11900" w:h="16838" w:orient="portrait"/>
          <w:cols w:equalWidth="0" w:num="1">
            <w:col w:w="11300"/>
          </w:cols>
          <w:pgMar w:left="240" w:top="368" w:right="359" w:bottom="1440" w:gutter="0" w:footer="0" w:header="0"/>
        </w:sectPr>
      </w:pPr>
    </w:p>
    <w:bookmarkStart w:id="77" w:name="page78"/>
    <w:bookmarkEnd w:id="77"/>
    <w:p>
      <w:pPr>
        <w:ind w:left="10480"/>
        <w:spacing w:after="0"/>
        <w:rPr>
          <w:sz w:val="20"/>
          <w:szCs w:val="20"/>
          <w:color w:val="auto"/>
        </w:rPr>
      </w:pPr>
      <w:r>
        <w:rPr>
          <w:rFonts w:ascii="Arial" w:cs="Arial" w:eastAsia="Arial" w:hAnsi="Arial"/>
          <w:sz w:val="16"/>
          <w:szCs w:val="16"/>
          <w:b w:val="1"/>
          <w:bCs w:val="1"/>
          <w:color w:val="auto"/>
        </w:rPr>
        <w:t>Exhibit 32.1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27,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Brian L. Roberts, the Chief Executive Officer, and Michael J. Cavanagh, the Chief Financial Officer, of Comcast Corporation, each certifies that, to the best of his knowledge:</w:t>
      </w:r>
    </w:p>
    <w:p>
      <w:pPr>
        <w:spacing w:after="0" w:line="62"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17" w:lineRule="exact"/>
        <w:rPr>
          <w:rFonts w:ascii="Arial" w:cs="Arial" w:eastAsia="Arial" w:hAnsi="Arial"/>
          <w:sz w:val="18"/>
          <w:szCs w:val="18"/>
          <w:color w:val="auto"/>
        </w:rPr>
      </w:pPr>
    </w:p>
    <w:p>
      <w:pPr>
        <w:ind w:left="660" w:right="68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Comcast Corporation.</w:t>
      </w:r>
    </w:p>
    <w:p>
      <w:pPr>
        <w:spacing w:after="0" w:line="200" w:lineRule="exact"/>
        <w:rPr>
          <w:sz w:val="20"/>
          <w:szCs w:val="20"/>
          <w:color w:val="auto"/>
        </w:rPr>
      </w:pPr>
    </w:p>
    <w:p>
      <w:pPr>
        <w:spacing w:after="0" w:line="24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31750</wp:posOffset>
            </wp:positionV>
            <wp:extent cx="32327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 Chief Executive Officer</w:t>
      </w:r>
    </w:p>
    <w:p>
      <w:pPr>
        <w:spacing w:after="0" w:line="30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31750</wp:posOffset>
            </wp:positionV>
            <wp:extent cx="32327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1" w:right="239" w:bottom="1440" w:gutter="0" w:footer="0" w:header="0"/>
        </w:sectPr>
      </w:pPr>
    </w:p>
    <w:bookmarkStart w:id="78" w:name="page79"/>
    <w:bookmarkEnd w:id="78"/>
    <w:p>
      <w:pPr>
        <w:ind w:left="10480"/>
        <w:spacing w:after="0"/>
        <w:rPr>
          <w:sz w:val="20"/>
          <w:szCs w:val="20"/>
          <w:color w:val="auto"/>
        </w:rPr>
      </w:pPr>
      <w:r>
        <w:rPr>
          <w:rFonts w:ascii="Arial" w:cs="Arial" w:eastAsia="Arial" w:hAnsi="Arial"/>
          <w:sz w:val="16"/>
          <w:szCs w:val="16"/>
          <w:b w:val="1"/>
          <w:bCs w:val="1"/>
          <w:color w:val="auto"/>
        </w:rPr>
        <w:t>Exhibit 32.2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27,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NBCUniversal Media, LLC (the “Report”) for the purpose of complying with Rule 13a-14(b) or Rule 15d-14(b) of the Securities Exchange Act of 1934 (the “Exchange Act”) and Section 1350 of Chapter 63 of Title 18 of the United States Code.</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Brian L. Roberts, the Principal Executive Officer, and Michael J. Cavanagh, the Principal Financial Officer, of NBCUniversal Media, LLC, each certifies that, to the best of his knowledge:</w:t>
      </w:r>
    </w:p>
    <w:p>
      <w:pPr>
        <w:spacing w:after="0" w:line="62"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17" w:lineRule="exact"/>
        <w:rPr>
          <w:rFonts w:ascii="Arial" w:cs="Arial" w:eastAsia="Arial" w:hAnsi="Arial"/>
          <w:sz w:val="18"/>
          <w:szCs w:val="18"/>
          <w:color w:val="auto"/>
        </w:rPr>
      </w:pPr>
    </w:p>
    <w:p>
      <w:pPr>
        <w:ind w:left="660" w:right="24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NBCUniversal Media, LLC.</w:t>
      </w:r>
    </w:p>
    <w:p>
      <w:pPr>
        <w:spacing w:after="0" w:line="200" w:lineRule="exact"/>
        <w:rPr>
          <w:sz w:val="20"/>
          <w:szCs w:val="20"/>
          <w:color w:val="auto"/>
        </w:rPr>
      </w:pPr>
    </w:p>
    <w:p>
      <w:pPr>
        <w:spacing w:after="0" w:line="241"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31750</wp:posOffset>
            </wp:positionV>
            <wp:extent cx="32327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Brian L. Roberts</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 Principal Executive Officer</w:t>
      </w:r>
    </w:p>
    <w:p>
      <w:pPr>
        <w:spacing w:after="0" w:line="30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31750</wp:posOffset>
            </wp:positionV>
            <wp:extent cx="32327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Name: Michael J. Cavanagh</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Title: 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c"/>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lowerLetter"/>
      <w:start w:val="1"/>
    </w:lvl>
  </w:abstractNum>
  <w:abstractNum w:abstractNumId="6">
    <w:nsid w:val="6763845E"/>
    <w:multiLevelType w:val="hybridMultilevel"/>
    <w:lvl w:ilvl="0">
      <w:lvlJc w:val="left"/>
      <w:lvlText w:val="(%1)"/>
      <w:numFmt w:val="lowerLetter"/>
      <w:start w:val="2"/>
    </w:lvl>
    <w:lvl w:ilvl="1">
      <w:lvlJc w:val="left"/>
      <w:lvlText w:val="•"/>
      <w:numFmt w:val="bullet"/>
      <w:start w:val="1"/>
    </w:lvl>
  </w:abstractNum>
  <w:abstractNum w:abstractNumId="7">
    <w:nsid w:val="75A2A8D4"/>
    <w:multiLevelType w:val="hybridMultilevel"/>
    <w:lvl w:ilvl="0">
      <w:lvlJc w:val="left"/>
      <w:lvlText w:val="(%1)"/>
      <w:numFmt w:val="lowerLetter"/>
      <w:start w:val="1"/>
    </w:lvl>
  </w:abstractNum>
  <w:abstractNum w:abstractNumId="8">
    <w:nsid w:val="8EDBDAB"/>
    <w:multiLevelType w:val="hybridMultilevel"/>
    <w:lvl w:ilvl="0">
      <w:lvlJc w:val="left"/>
      <w:lvlText w:val="*"/>
      <w:numFmt w:val="bullet"/>
      <w:start w:val="1"/>
    </w:lvl>
    <w:lvl w:ilvl="1">
      <w:lvlJc w:val="left"/>
      <w:lvlText w:val="%2"/>
      <w:numFmt w:val="decimal"/>
      <w:start w:val="101"/>
    </w:lvl>
  </w:abstractNum>
  <w:abstractNum w:abstractNumId="9">
    <w:nsid w:val="79838CB2"/>
    <w:multiLevelType w:val="hybridMultilevel"/>
    <w:lvl w:ilvl="0">
      <w:lvlJc w:val="left"/>
      <w:lvlText w:val="%1"/>
      <w:numFmt w:val="decimal"/>
      <w:start w:val="101"/>
    </w:lvl>
  </w:abstractNum>
  <w:abstractNum w:abstractNumId="10">
    <w:nsid w:val="4353D0CD"/>
    <w:multiLevelType w:val="hybridMultilevel"/>
    <w:lvl w:ilvl="0">
      <w:lvlJc w:val="left"/>
      <w:lvlText w:val="(%1)"/>
      <w:numFmt w:val="lowerLetter"/>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1."/>
      <w:numFmt w:val="decimal"/>
      <w:start w:val="1"/>
    </w:lvl>
    <w:lvl w:ilvl="1">
      <w:lvlJc w:val="left"/>
      <w:lvlText w:val="(%2)"/>
      <w:numFmt w:val="lowerLetter"/>
      <w:start w:val="1"/>
    </w:lvl>
  </w:abstractNum>
  <w:abstractNum w:abstractNumId="15">
    <w:nsid w:val="2CA88611"/>
    <w:multiLevelType w:val="hybridMultilevel"/>
    <w:lvl w:ilvl="0">
      <w:lvlJc w:val="left"/>
      <w:lvlText w:val="%1."/>
      <w:numFmt w:val="decimal"/>
      <w:start w:val="2"/>
    </w:lvl>
    <w:lvl w:ilvl="1">
      <w:lvlJc w:val="left"/>
      <w:lvlText w:val="(%2)"/>
      <w:numFmt w:val="lowerLetter"/>
      <w:start w:val="1"/>
    </w:lvl>
  </w:abstractNum>
  <w:abstractNum w:abstractNumId="16">
    <w:nsid w:val="836C40E"/>
    <w:multiLevelType w:val="hybridMultilevel"/>
    <w:lvl w:ilvl="0">
      <w:lvlJc w:val="left"/>
      <w:lvlText w:val="%1."/>
      <w:numFmt w:val="decimal"/>
      <w:start w:val="5"/>
    </w:lvl>
    <w:lvl w:ilvl="1">
      <w:lvlJc w:val="left"/>
      <w:lvlText w:val="(%2)"/>
      <w:numFmt w:val="lowerLetter"/>
      <w:start w:val="1"/>
    </w:lvl>
  </w:abstractNum>
  <w:abstractNum w:abstractNumId="17">
    <w:nsid w:val="2901D82"/>
    <w:multiLevelType w:val="hybridMultilevel"/>
    <w:lvl w:ilvl="0">
      <w:lvlJc w:val="left"/>
      <w:lvlText w:val="(%1)"/>
      <w:numFmt w:val="lowerLetter"/>
      <w:start w:val="1"/>
    </w:lvl>
    <w:lvl w:ilvl="1">
      <w:lvlJc w:val="left"/>
      <w:lvlText w:val="(%2)"/>
      <w:numFmt w:val="lowerRoman"/>
      <w:start w:val="1"/>
    </w:lvl>
  </w:abstractNum>
  <w:abstractNum w:abstractNumId="18">
    <w:nsid w:val="3A95F874"/>
    <w:multiLevelType w:val="hybridMultilevel"/>
    <w:lvl w:ilvl="0">
      <w:lvlJc w:val="left"/>
      <w:lvlText w:val="%1"/>
      <w:numFmt w:val="lowerLetter"/>
      <w:start w:val="1"/>
    </w:lvl>
    <w:lvl w:ilvl="1">
      <w:lvlJc w:val="left"/>
      <w:lvlText w:val="(%2)"/>
      <w:numFmt w:val="lowerRoman"/>
      <w:start w:val="1"/>
    </w:lvl>
  </w:abstractNum>
  <w:abstractNum w:abstractNumId="19">
    <w:nsid w:val="8138641"/>
    <w:multiLevelType w:val="hybridMultilevel"/>
    <w:lvl w:ilvl="0">
      <w:lvlJc w:val="left"/>
      <w:lvlText w:val="(%1)"/>
      <w:numFmt w:val="lowerLetter"/>
      <w:start w:val="5"/>
    </w:lvl>
    <w:lvl w:ilvl="1">
      <w:lvlJc w:val="left"/>
      <w:lvlText w:val="%2"/>
      <w:numFmt w:val="lowerRoman"/>
      <w:start w:val="1"/>
    </w:lvl>
  </w:abstractNum>
  <w:abstractNum w:abstractNumId="20">
    <w:nsid w:val="1E7FF521"/>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1">
    <w:nsid w:val="7C3DBD3D"/>
    <w:multiLevelType w:val="hybridMultilevel"/>
    <w:lvl w:ilvl="0">
      <w:lvlJc w:val="left"/>
      <w:lvlText w:val="(%1)"/>
      <w:numFmt w:val="lowerLetter"/>
      <w:start w:val="3"/>
    </w:lvl>
    <w:lvl w:ilvl="1">
      <w:lvlJc w:val="left"/>
      <w:lvlText w:val="(%2)"/>
      <w:numFmt w:val="lowerRoman"/>
      <w:start w:val="1"/>
    </w:lvl>
  </w:abstractNum>
  <w:abstractNum w:abstractNumId="22">
    <w:nsid w:val="737B8DDC"/>
    <w:multiLevelType w:val="hybridMultilevel"/>
    <w:lvl w:ilvl="0">
      <w:lvlJc w:val="left"/>
      <w:lvlText w:val="%1"/>
      <w:numFmt w:val="decimal"/>
      <w:start w:val="1"/>
    </w:lvl>
    <w:lvl w:ilvl="1">
      <w:lvlJc w:val="left"/>
      <w:lvlText w:val="(%2)"/>
      <w:numFmt w:val="lowerLetter"/>
      <w:start w:val="5"/>
    </w:lvl>
  </w:abstractNum>
  <w:abstractNum w:abstractNumId="23">
    <w:nsid w:val="6CEAF087"/>
    <w:multiLevelType w:val="hybridMultilevel"/>
    <w:lvl w:ilvl="0">
      <w:lvlJc w:val="left"/>
      <w:lvlText w:val="%1."/>
      <w:numFmt w:val="decimal"/>
      <w:start w:val="12"/>
    </w:lvl>
    <w:lvl w:ilvl="1">
      <w:lvlJc w:val="left"/>
      <w:lvlText w:val="(%2)"/>
      <w:numFmt w:val="lowerLetter"/>
      <w:start w:val="1"/>
    </w:lvl>
  </w:abstractNum>
  <w:abstractNum w:abstractNumId="24">
    <w:nsid w:val="22221A70"/>
    <w:multiLevelType w:val="hybridMultilevel"/>
    <w:lvl w:ilvl="0">
      <w:lvlJc w:val="left"/>
      <w:lvlText w:val="%1"/>
      <w:numFmt w:val="lowerLetter"/>
      <w:start w:val="1"/>
    </w:lvl>
    <w:lvl w:ilvl="1">
      <w:lvlJc w:val="left"/>
      <w:lvlText w:val="(%2)"/>
      <w:numFmt w:val="lowerRoman"/>
      <w:start w:val="2"/>
    </w:lvl>
  </w:abstractNum>
  <w:abstractNum w:abstractNumId="25">
    <w:nsid w:val="4516DDE9"/>
    <w:multiLevelType w:val="hybridMultilevel"/>
    <w:lvl w:ilvl="0">
      <w:lvlJc w:val="left"/>
      <w:lvlText w:val="(%1)"/>
      <w:numFmt w:val="lowerLetter"/>
      <w:start w:val="3"/>
    </w:lvl>
    <w:lvl w:ilvl="1">
      <w:lvlJc w:val="left"/>
      <w:lvlText w:val="%2"/>
      <w:numFmt w:val="lowerRoman"/>
      <w:start w:val="1"/>
    </w:lvl>
  </w:abstractNum>
  <w:abstractNum w:abstractNumId="26">
    <w:nsid w:val="3006C83E"/>
    <w:multiLevelType w:val="hybridMultilevel"/>
    <w:lvl w:ilvl="0">
      <w:lvlJc w:val="left"/>
      <w:lvlText w:val="(%1)"/>
      <w:numFmt w:val="lowerLetter"/>
      <w:start w:val="5"/>
    </w:lvl>
  </w:abstractNum>
  <w:abstractNum w:abstractNumId="27">
    <w:nsid w:val="614FD4A1"/>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8">
    <w:nsid w:val="419AC241"/>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29">
    <w:nsid w:val="5577F8E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0">
    <w:nsid w:val="440BADFC"/>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1"/>
    </w:lvl>
  </w:abstractNum>
  <w:abstractNum w:abstractNumId="31">
    <w:nsid w:val="5072367"/>
    <w:multiLevelType w:val="hybridMultilevel"/>
    <w:lvl w:ilvl="0">
      <w:lvlJc w:val="left"/>
      <w:lvlText w:val="%1."/>
      <w:numFmt w:val="decimal"/>
      <w:start w:val="18"/>
    </w:lvl>
  </w:abstractNum>
  <w:abstractNum w:abstractNumId="32">
    <w:nsid w:val="3804823E"/>
    <w:multiLevelType w:val="hybridMultilevel"/>
    <w:lvl w:ilvl="0">
      <w:lvlJc w:val="left"/>
      <w:lvlText w:val="%1."/>
      <w:numFmt w:val="decimal"/>
      <w:start w:val="20"/>
    </w:lvl>
  </w:abstractNum>
  <w:abstractNum w:abstractNumId="33">
    <w:nsid w:val="77465F01"/>
    <w:multiLevelType w:val="hybridMultilevel"/>
    <w:lvl w:ilvl="0">
      <w:lvlJc w:val="left"/>
      <w:lvlText w:val="%1."/>
      <w:numFmt w:val="decimal"/>
      <w:start w:val="23"/>
    </w:lvl>
  </w:abstractNum>
  <w:abstractNum w:abstractNumId="34">
    <w:nsid w:val="7724C67E"/>
    <w:multiLevelType w:val="hybridMultilevel"/>
    <w:lvl w:ilvl="0">
      <w:lvlJc w:val="left"/>
      <w:lvlText w:val="%1."/>
      <w:numFmt w:val="decimal"/>
      <w:start w:val="1"/>
    </w:lvl>
    <w:lvl w:ilvl="1">
      <w:lvlJc w:val="left"/>
      <w:lvlText w:val="%2)"/>
      <w:numFmt w:val="lowerLetter"/>
      <w:start w:val="1"/>
    </w:lvl>
  </w:abstractNum>
  <w:abstractNum w:abstractNumId="35">
    <w:nsid w:val="5C482A97"/>
    <w:multiLevelType w:val="hybridMultilevel"/>
    <w:lvl w:ilvl="0">
      <w:lvlJc w:val="left"/>
      <w:lvlText w:val="%1."/>
      <w:numFmt w:val="decimal"/>
      <w:start w:val="1"/>
    </w:lvl>
    <w:lvl w:ilvl="1">
      <w:lvlJc w:val="left"/>
      <w:lvlText w:val="%2)"/>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19" Type="http://schemas.openxmlformats.org/officeDocument/2006/relationships/hyperlink" Target="http://www.sec.gov/Archives/edgar/data/1166691/000116669117000013/a464312_12.htm" TargetMode="External"/><Relationship Id="rId20" Type="http://schemas.openxmlformats.org/officeDocument/2006/relationships/hyperlink" Target="http://www.sec.gov/Archives/edgar/data/1166691/000095010317004369/ex75970_ex1001.htm" TargetMode="External"/><Relationship Id="rId23" Type="http://schemas.openxmlformats.org/officeDocument/2006/relationships/hyperlink" Target="http://www.sec.gov/Archives/edgar/data/902739/000095010317004290/dp75838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2019-12-29T05:18:31Z</dcterms:created>
  <dcterms:modified xsi:type="dcterms:W3CDTF">2019-12-29T05:18:31Z</dcterms:modified>
</cp:coreProperties>
</file>