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911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820" w:right="920"/>
        <w:spacing w:after="0" w:line="247" w:lineRule="auto"/>
        <w:rPr>
          <w:sz w:val="20"/>
          <w:szCs w:val="20"/>
          <w:color w:val="auto"/>
        </w:rPr>
      </w:pPr>
      <w:r>
        <w:rPr>
          <w:rFonts w:ascii="Arial" w:cs="Arial" w:eastAsia="Arial" w:hAnsi="Arial"/>
          <w:sz w:val="14"/>
          <w:szCs w:val="14"/>
          <w:color w:val="CE1126"/>
        </w:rPr>
        <w:t>The information in this prospectus supplement and accompanying prospectus is not complete and may be changed. A registration statement relating to these securities has been declared effective by the Securities and Exchange Commission. This preliminary prospectus supplement and the accompanying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Filed Pursuant to Rule 424(B)(2)</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Registration No. 333-132750</w:t>
      </w:r>
    </w:p>
    <w:p>
      <w:pPr>
        <w:spacing w:after="0" w:line="9" w:lineRule="exact"/>
        <w:rPr>
          <w:sz w:val="20"/>
          <w:szCs w:val="20"/>
          <w:color w:val="auto"/>
        </w:rPr>
      </w:pPr>
    </w:p>
    <w:p>
      <w:pPr>
        <w:ind w:left="780" w:right="800" w:hanging="89"/>
        <w:spacing w:after="0" w:line="250" w:lineRule="auto"/>
        <w:rPr>
          <w:sz w:val="20"/>
          <w:szCs w:val="20"/>
          <w:color w:val="auto"/>
        </w:rPr>
      </w:pPr>
      <w:r>
        <w:rPr>
          <w:rFonts w:ascii="Arial" w:cs="Arial" w:eastAsia="Arial" w:hAnsi="Arial"/>
          <w:sz w:val="18"/>
          <w:szCs w:val="18"/>
          <w:b w:val="1"/>
          <w:bCs w:val="1"/>
          <w:u w:val="single" w:color="auto"/>
          <w:color w:val="auto"/>
        </w:rPr>
        <w:t>PRELIMINARY PROSPECTUS SUPPLEMENT</w:t>
      </w:r>
      <w:r>
        <w:rPr>
          <w:rFonts w:ascii="Arial" w:cs="Arial" w:eastAsia="Arial" w:hAnsi="Arial"/>
          <w:sz w:val="18"/>
          <w:szCs w:val="18"/>
          <w:b w:val="1"/>
          <w:bCs w:val="1"/>
          <w:color w:val="auto"/>
        </w:rPr>
        <w:t xml:space="preserve"> (Subject to Completion)</w:t>
      </w:r>
      <w:r>
        <w:rPr>
          <w:sz w:val="20"/>
          <w:szCs w:val="20"/>
          <w:color w:val="auto"/>
        </w:rPr>
        <w:t xml:space="preserve"> </w:t>
      </w:r>
      <w:r>
        <w:rPr>
          <w:rFonts w:ascii="Arial" w:cs="Arial" w:eastAsia="Arial" w:hAnsi="Arial"/>
          <w:sz w:val="18"/>
          <w:szCs w:val="18"/>
          <w:b w:val="1"/>
          <w:bCs w:val="1"/>
          <w:color w:val="auto"/>
        </w:rPr>
        <w:t xml:space="preserve">Issued May 2, 2007 </w:t>
      </w: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222885</wp:posOffset>
            </wp:positionV>
            <wp:extent cx="143192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20" w:hanging="1068"/>
        <w:spacing w:after="0"/>
        <w:tabs>
          <w:tab w:leader="none" w:pos="522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2056</w:t>
      </w:r>
    </w:p>
    <w:p>
      <w:pPr>
        <w:spacing w:after="0" w:line="207" w:lineRule="exact"/>
        <w:rPr>
          <w:sz w:val="20"/>
          <w:szCs w:val="20"/>
          <w:color w:val="auto"/>
        </w:rPr>
      </w:pPr>
    </w:p>
    <w:p>
      <w:pPr>
        <w:ind w:left="700" w:right="1020" w:firstLine="397"/>
        <w:spacing w:after="0" w:line="259" w:lineRule="auto"/>
        <w:rPr>
          <w:sz w:val="20"/>
          <w:szCs w:val="20"/>
          <w:color w:val="auto"/>
        </w:rPr>
      </w:pPr>
      <w:r>
        <w:rPr>
          <w:rFonts w:ascii="Arial" w:cs="Arial" w:eastAsia="Arial" w:hAnsi="Arial"/>
          <w:sz w:val="18"/>
          <w:szCs w:val="18"/>
          <w:color w:val="auto"/>
        </w:rPr>
        <w:t>We will pay interest on the notes on May 15, August 15, November 15 and February 15 of each year, beginning on August 15, 2007. The notes will bear interest at a rate of % per year and will mature on May 15, 2056. We may redeem the notes, in whole or in part, at any time on or after May 15, 2012 at a redemption price equal to 100% of the principal amount redeemed plus accrued and unpaid interest to the redemption date.</w:t>
      </w:r>
    </w:p>
    <w:p>
      <w:pPr>
        <w:spacing w:after="0" w:line="38" w:lineRule="exact"/>
        <w:rPr>
          <w:sz w:val="20"/>
          <w:szCs w:val="20"/>
          <w:color w:val="auto"/>
        </w:rPr>
      </w:pPr>
    </w:p>
    <w:p>
      <w:pPr>
        <w:ind w:left="700" w:right="1120" w:firstLine="397"/>
        <w:spacing w:after="0" w:line="286" w:lineRule="auto"/>
        <w:rPr>
          <w:sz w:val="20"/>
          <w:szCs w:val="20"/>
          <w:color w:val="auto"/>
        </w:rPr>
      </w:pPr>
      <w:r>
        <w:rPr>
          <w:rFonts w:ascii="Arial" w:cs="Arial" w:eastAsia="Arial" w:hAnsi="Arial"/>
          <w:sz w:val="17"/>
          <w:szCs w:val="17"/>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17" w:lineRule="exact"/>
        <w:rPr>
          <w:sz w:val="20"/>
          <w:szCs w:val="20"/>
          <w:color w:val="auto"/>
        </w:rPr>
      </w:pPr>
    </w:p>
    <w:p>
      <w:pPr>
        <w:ind w:left="700" w:right="860" w:firstLine="397"/>
        <w:spacing w:after="0" w:line="259" w:lineRule="auto"/>
        <w:rPr>
          <w:sz w:val="20"/>
          <w:szCs w:val="20"/>
          <w:color w:val="auto"/>
        </w:rPr>
      </w:pPr>
      <w:r>
        <w:rPr>
          <w:rFonts w:ascii="Arial" w:cs="Arial" w:eastAsia="Arial" w:hAnsi="Arial"/>
          <w:sz w:val="18"/>
          <w:szCs w:val="18"/>
          <w:color w:val="auto"/>
        </w:rPr>
        <w:t>We intend to apply to list the notes on the New York Stock Exchange under the symbol “CCS” and, if approved,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25" w:lineRule="exact"/>
        <w:rPr>
          <w:sz w:val="20"/>
          <w:szCs w:val="20"/>
          <w:color w:val="auto"/>
        </w:rPr>
      </w:pPr>
    </w:p>
    <w:p>
      <w:pPr>
        <w:ind w:left="700" w:right="1020" w:firstLine="397"/>
        <w:spacing w:after="0" w:line="243"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2006 and beginning on page S-3 of this prospectus supplement.</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Price to</w:t>
            </w:r>
          </w:p>
        </w:tc>
        <w:tc>
          <w:tcPr>
            <w:tcW w:w="14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Underwriters’</w:t>
            </w: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Us Before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Investors(1)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Discount(2)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940" w:type="dxa"/>
            <w:vAlign w:val="bottom"/>
          </w:tcPr>
          <w:p>
            <w:pPr>
              <w:jc w:val="right"/>
              <w:ind w:right="270"/>
              <w:spacing w:after="0"/>
              <w:rPr>
                <w:sz w:val="20"/>
                <w:szCs w:val="20"/>
                <w:color w:val="auto"/>
              </w:rPr>
            </w:pPr>
            <w:r>
              <w:rPr>
                <w:rFonts w:ascii="Arial" w:cs="Arial" w:eastAsia="Arial" w:hAnsi="Arial"/>
                <w:sz w:val="18"/>
                <w:szCs w:val="18"/>
                <w:color w:val="auto"/>
                <w:w w:val="82"/>
              </w:rPr>
              <w:t>Per note</w:t>
            </w:r>
          </w:p>
        </w:tc>
        <w:tc>
          <w:tcPr>
            <w:tcW w:w="3080" w:type="dxa"/>
            <w:vAlign w:val="bottom"/>
          </w:tcPr>
          <w:p>
            <w:pPr>
              <w:spacing w:after="0"/>
              <w:rPr>
                <w:sz w:val="21"/>
                <w:szCs w:val="21"/>
                <w:color w:val="auto"/>
              </w:rPr>
            </w:pPr>
          </w:p>
        </w:tc>
        <w:tc>
          <w:tcPr>
            <w:tcW w:w="3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20"/>
                <w:szCs w:val="20"/>
                <w:color w:val="auto"/>
              </w:rPr>
            </w:pPr>
          </w:p>
        </w:tc>
        <w:tc>
          <w:tcPr>
            <w:tcW w:w="296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80" w:type="dxa"/>
            <w:vAlign w:val="bottom"/>
          </w:tcPr>
          <w:p>
            <w:pPr>
              <w:ind w:left="140"/>
              <w:spacing w:after="0"/>
              <w:rPr>
                <w:sz w:val="20"/>
                <w:szCs w:val="20"/>
                <w:color w:val="auto"/>
              </w:rPr>
            </w:pPr>
            <w:r>
              <w:rPr>
                <w:rFonts w:ascii="Arial" w:cs="Arial" w:eastAsia="Arial" w:hAnsi="Arial"/>
                <w:sz w:val="18"/>
                <w:szCs w:val="18"/>
                <w:color w:val="auto"/>
                <w:w w:val="95"/>
              </w:rPr>
              <w:t>Plus accrued interest, if any, from May</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 2007, if settlement occurs after that date.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780" w:right="820" w:hanging="480"/>
        <w:spacing w:after="0" w:line="325" w:lineRule="auto"/>
        <w:tabs>
          <w:tab w:leader="none" w:pos="1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weighted average underwriting discount for orders by retail and institutional investors. See “Underwriting” beginning on page S-13 of this prospectus supplement for a discussion regarding underwriting discounts.</w:t>
      </w:r>
    </w:p>
    <w:p>
      <w:pPr>
        <w:spacing w:after="0" w:line="1" w:lineRule="exact"/>
        <w:rPr>
          <w:sz w:val="20"/>
          <w:szCs w:val="20"/>
          <w:color w:val="auto"/>
        </w:rPr>
      </w:pPr>
    </w:p>
    <w:p>
      <w:pPr>
        <w:ind w:left="700" w:right="92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240" w:type="dxa"/>
            <w:vAlign w:val="bottom"/>
            <w:gridSpan w:val="3"/>
          </w:tcPr>
          <w:p>
            <w:pPr>
              <w:ind w:left="380"/>
              <w:spacing w:after="0"/>
              <w:rPr>
                <w:sz w:val="20"/>
                <w:szCs w:val="20"/>
                <w:color w:val="auto"/>
              </w:rPr>
            </w:pPr>
            <w:r>
              <w:rPr>
                <w:rFonts w:ascii="Arial" w:cs="Arial" w:eastAsia="Arial" w:hAnsi="Arial"/>
                <w:sz w:val="18"/>
                <w:szCs w:val="18"/>
                <w:color w:val="auto"/>
                <w:w w:val="96"/>
              </w:rPr>
              <w:t>We have granted the underwriters the right to purchase up to an additional $</w:t>
            </w:r>
          </w:p>
        </w:tc>
        <w:tc>
          <w:tcPr>
            <w:tcW w:w="3680" w:type="dxa"/>
            <w:vAlign w:val="bottom"/>
          </w:tcPr>
          <w:p>
            <w:pPr>
              <w:jc w:val="right"/>
              <w:ind w:right="234"/>
              <w:spacing w:after="0"/>
              <w:rPr>
                <w:sz w:val="20"/>
                <w:szCs w:val="20"/>
                <w:color w:val="auto"/>
              </w:rPr>
            </w:pPr>
            <w:r>
              <w:rPr>
                <w:rFonts w:ascii="Arial" w:cs="Arial" w:eastAsia="Arial" w:hAnsi="Arial"/>
                <w:sz w:val="18"/>
                <w:szCs w:val="18"/>
                <w:color w:val="auto"/>
                <w:w w:val="93"/>
              </w:rPr>
              <w:t>aggregate principal amount of notes to cover</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over-allotments.</w:t>
            </w:r>
          </w:p>
        </w:tc>
        <w:tc>
          <w:tcPr>
            <w:tcW w:w="26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920" w:type="dxa"/>
            <w:vAlign w:val="bottom"/>
            <w:gridSpan w:val="4"/>
          </w:tcPr>
          <w:p>
            <w:pPr>
              <w:ind w:left="380"/>
              <w:spacing w:after="0"/>
              <w:rPr>
                <w:sz w:val="20"/>
                <w:szCs w:val="20"/>
                <w:color w:val="auto"/>
              </w:rPr>
            </w:pPr>
            <w:r>
              <w:rPr>
                <w:rFonts w:ascii="Arial" w:cs="Arial" w:eastAsia="Arial" w:hAnsi="Arial"/>
                <w:sz w:val="18"/>
                <w:szCs w:val="18"/>
                <w:color w:val="auto"/>
                <w:w w:val="96"/>
              </w:rPr>
              <w:t>The notes will be ready for delivery only through The Depository Trust Company and its participants, including Euroclear and</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Clearstream, in book-entry form on or about May</w:t>
            </w:r>
          </w:p>
        </w:tc>
        <w:tc>
          <w:tcPr>
            <w:tcW w:w="2620" w:type="dxa"/>
            <w:vAlign w:val="bottom"/>
          </w:tcPr>
          <w:p>
            <w:pPr>
              <w:jc w:val="right"/>
              <w:ind w:right="1944"/>
              <w:spacing w:after="0"/>
              <w:rPr>
                <w:sz w:val="20"/>
                <w:szCs w:val="20"/>
                <w:color w:val="auto"/>
              </w:rPr>
            </w:pPr>
            <w:r>
              <w:rPr>
                <w:rFonts w:ascii="Arial" w:cs="Arial" w:eastAsia="Arial" w:hAnsi="Arial"/>
                <w:sz w:val="18"/>
                <w:szCs w:val="18"/>
                <w:color w:val="auto"/>
              </w:rPr>
              <w:t>, 2007.</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8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620" w:type="dxa"/>
            <w:vAlign w:val="bottom"/>
            <w:vMerge w:val="restart"/>
          </w:tcPr>
          <w:p>
            <w:pPr>
              <w:jc w:val="right"/>
              <w:ind w:right="84"/>
              <w:spacing w:after="0"/>
              <w:rPr>
                <w:sz w:val="20"/>
                <w:szCs w:val="20"/>
                <w:color w:val="auto"/>
              </w:rPr>
            </w:pPr>
            <w:r>
              <w:rPr>
                <w:rFonts w:ascii="Arial" w:cs="Arial" w:eastAsia="Arial" w:hAnsi="Arial"/>
                <w:sz w:val="18"/>
                <w:szCs w:val="18"/>
                <w:i w:val="1"/>
                <w:iCs w:val="1"/>
                <w:color w:val="auto"/>
                <w:w w:val="99"/>
              </w:rPr>
              <w:t>Joint Book-Running Managers</w:t>
            </w: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20" w:type="dxa"/>
            <w:vAlign w:val="bottom"/>
            <w:gridSpan w:val="2"/>
          </w:tcPr>
          <w:p>
            <w:pPr>
              <w:spacing w:after="0"/>
              <w:rPr>
                <w:sz w:val="20"/>
                <w:szCs w:val="20"/>
                <w:color w:val="auto"/>
              </w:rPr>
            </w:pPr>
            <w:r>
              <w:rPr>
                <w:rFonts w:ascii="Arial" w:cs="Arial" w:eastAsia="Arial" w:hAnsi="Arial"/>
                <w:sz w:val="23"/>
                <w:szCs w:val="23"/>
                <w:b w:val="1"/>
                <w:bCs w:val="1"/>
                <w:color w:val="auto"/>
              </w:rPr>
              <w:t>Citi</w:t>
            </w:r>
          </w:p>
        </w:tc>
        <w:tc>
          <w:tcPr>
            <w:tcW w:w="262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23"/>
                <w:szCs w:val="23"/>
                <w:b w:val="1"/>
                <w:bCs w:val="1"/>
                <w:color w:val="auto"/>
              </w:rPr>
              <w:t>Merrill Lynch &amp; Co.</w:t>
            </w:r>
          </w:p>
        </w:tc>
        <w:tc>
          <w:tcPr>
            <w:tcW w:w="0" w:type="dxa"/>
            <w:vAlign w:val="bottom"/>
          </w:tcPr>
          <w:p>
            <w:pPr>
              <w:spacing w:after="0"/>
              <w:rPr>
                <w:sz w:val="1"/>
                <w:szCs w:val="1"/>
                <w:color w:val="auto"/>
              </w:rPr>
            </w:pPr>
          </w:p>
        </w:tc>
      </w:tr>
      <w:tr>
        <w:trPr>
          <w:trHeight w:val="106"/>
        </w:trPr>
        <w:tc>
          <w:tcPr>
            <w:tcW w:w="21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3620" w:type="dxa"/>
            <w:vAlign w:val="bottom"/>
            <w:gridSpan w:val="2"/>
          </w:tcPr>
          <w:p>
            <w:pPr>
              <w:spacing w:after="0"/>
              <w:rPr>
                <w:sz w:val="20"/>
                <w:szCs w:val="20"/>
                <w:color w:val="auto"/>
              </w:rPr>
            </w:pPr>
            <w:r>
              <w:rPr>
                <w:rFonts w:ascii="Arial" w:cs="Arial" w:eastAsia="Arial" w:hAnsi="Arial"/>
                <w:sz w:val="22"/>
                <w:szCs w:val="22"/>
                <w:b w:val="1"/>
                <w:bCs w:val="1"/>
                <w:color w:val="auto"/>
              </w:rPr>
              <w:t>Morgan Stanley</w:t>
            </w:r>
          </w:p>
        </w:tc>
        <w:tc>
          <w:tcPr>
            <w:tcW w:w="2620" w:type="dxa"/>
            <w:vAlign w:val="bottom"/>
          </w:tcPr>
          <w:p>
            <w:pPr>
              <w:jc w:val="right"/>
              <w:ind w:right="24"/>
              <w:spacing w:after="0"/>
              <w:rPr>
                <w:sz w:val="20"/>
                <w:szCs w:val="20"/>
                <w:color w:val="auto"/>
              </w:rPr>
            </w:pPr>
            <w:r>
              <w:rPr>
                <w:rFonts w:ascii="Arial" w:cs="Arial" w:eastAsia="Arial" w:hAnsi="Arial"/>
                <w:sz w:val="22"/>
                <w:szCs w:val="22"/>
                <w:b w:val="1"/>
                <w:bCs w:val="1"/>
                <w:color w:val="auto"/>
              </w:rPr>
              <w:t>UBS Investment Bank</w:t>
            </w:r>
          </w:p>
        </w:tc>
        <w:tc>
          <w:tcPr>
            <w:tcW w:w="3680" w:type="dxa"/>
            <w:vAlign w:val="bottom"/>
          </w:tcPr>
          <w:p>
            <w:pPr>
              <w:jc w:val="right"/>
              <w:spacing w:after="0"/>
              <w:rPr>
                <w:sz w:val="20"/>
                <w:szCs w:val="20"/>
                <w:color w:val="auto"/>
              </w:rPr>
            </w:pPr>
            <w:r>
              <w:rPr>
                <w:rFonts w:ascii="Arial" w:cs="Arial" w:eastAsia="Arial" w:hAnsi="Arial"/>
                <w:sz w:val="22"/>
                <w:szCs w:val="22"/>
                <w:b w:val="1"/>
                <w:bCs w:val="1"/>
                <w:color w:val="auto"/>
              </w:rPr>
              <w:t>Wachovia Securities</w:t>
            </w:r>
          </w:p>
        </w:tc>
        <w:tc>
          <w:tcPr>
            <w:tcW w:w="0" w:type="dxa"/>
            <w:vAlign w:val="bottom"/>
          </w:tcPr>
          <w:p>
            <w:pPr>
              <w:spacing w:after="0"/>
              <w:rPr>
                <w:sz w:val="1"/>
                <w:szCs w:val="1"/>
                <w:color w:val="auto"/>
              </w:rPr>
            </w:pPr>
          </w:p>
        </w:tc>
      </w:tr>
      <w:tr>
        <w:trPr>
          <w:trHeight w:val="58"/>
        </w:trPr>
        <w:tc>
          <w:tcPr>
            <w:tcW w:w="2180" w:type="dxa"/>
            <w:vAlign w:val="bottom"/>
            <w:tcBorders>
              <w:bottom w:val="single" w:sz="8" w:color="auto"/>
            </w:tcBorders>
          </w:tcPr>
          <w:p>
            <w:pPr>
              <w:spacing w:after="0"/>
              <w:rPr>
                <w:sz w:val="5"/>
                <w:szCs w:val="5"/>
                <w:color w:val="auto"/>
              </w:rPr>
            </w:pPr>
          </w:p>
        </w:tc>
        <w:tc>
          <w:tcPr>
            <w:tcW w:w="1440" w:type="dxa"/>
            <w:vAlign w:val="bottom"/>
            <w:vMerge w:val="restart"/>
          </w:tcPr>
          <w:p>
            <w:pPr>
              <w:spacing w:after="0"/>
              <w:rPr>
                <w:sz w:val="5"/>
                <w:szCs w:val="5"/>
                <w:color w:val="auto"/>
              </w:rPr>
            </w:pPr>
          </w:p>
        </w:tc>
        <w:tc>
          <w:tcPr>
            <w:tcW w:w="2620" w:type="dxa"/>
            <w:vAlign w:val="bottom"/>
          </w:tcPr>
          <w:p>
            <w:pPr>
              <w:spacing w:after="0"/>
              <w:rPr>
                <w:sz w:val="5"/>
                <w:szCs w:val="5"/>
                <w:color w:val="auto"/>
              </w:rPr>
            </w:pPr>
          </w:p>
        </w:tc>
        <w:tc>
          <w:tcPr>
            <w:tcW w:w="36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RBC Capital Markets</w:t>
            </w:r>
          </w:p>
        </w:tc>
        <w:tc>
          <w:tcPr>
            <w:tcW w:w="0" w:type="dxa"/>
            <w:vAlign w:val="bottom"/>
          </w:tcPr>
          <w:p>
            <w:pPr>
              <w:spacing w:after="0"/>
              <w:rPr>
                <w:sz w:val="1"/>
                <w:szCs w:val="1"/>
                <w:color w:val="auto"/>
              </w:rPr>
            </w:pPr>
          </w:p>
        </w:tc>
      </w:tr>
      <w:tr>
        <w:trPr>
          <w:trHeight w:val="274"/>
        </w:trPr>
        <w:tc>
          <w:tcPr>
            <w:tcW w:w="2180" w:type="dxa"/>
            <w:vAlign w:val="bottom"/>
          </w:tcPr>
          <w:p>
            <w:pPr>
              <w:spacing w:after="0"/>
              <w:rPr>
                <w:sz w:val="20"/>
                <w:szCs w:val="20"/>
                <w:color w:val="auto"/>
              </w:rPr>
            </w:pPr>
            <w:r>
              <w:rPr>
                <w:rFonts w:ascii="Arial" w:cs="Arial" w:eastAsia="Arial" w:hAnsi="Arial"/>
                <w:sz w:val="22"/>
                <w:szCs w:val="22"/>
                <w:b w:val="1"/>
                <w:bCs w:val="1"/>
                <w:color w:val="auto"/>
              </w:rPr>
              <w:t>A.G. Edwards</w:t>
            </w:r>
          </w:p>
        </w:tc>
        <w:tc>
          <w:tcPr>
            <w:tcW w:w="1440" w:type="dxa"/>
            <w:vAlign w:val="bottom"/>
            <w:vMerge w:val="continue"/>
          </w:tcPr>
          <w:p>
            <w:pPr>
              <w:spacing w:after="0"/>
              <w:rPr>
                <w:sz w:val="23"/>
                <w:szCs w:val="23"/>
                <w:color w:val="auto"/>
              </w:rPr>
            </w:pPr>
          </w:p>
        </w:tc>
        <w:tc>
          <w:tcPr>
            <w:tcW w:w="2620" w:type="dxa"/>
            <w:vAlign w:val="bottom"/>
          </w:tcPr>
          <w:p>
            <w:pPr>
              <w:spacing w:after="0"/>
              <w:rPr>
                <w:sz w:val="23"/>
                <w:szCs w:val="23"/>
                <w:color w:val="auto"/>
              </w:rPr>
            </w:pPr>
          </w:p>
        </w:tc>
        <w:tc>
          <w:tcPr>
            <w:tcW w:w="3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jc w:val="center"/>
              <w:ind w:right="636"/>
              <w:spacing w:after="0"/>
              <w:rPr>
                <w:sz w:val="20"/>
                <w:szCs w:val="20"/>
                <w:color w:val="auto"/>
              </w:rPr>
            </w:pPr>
            <w:r>
              <w:rPr>
                <w:rFonts w:ascii="Arial" w:cs="Arial" w:eastAsia="Arial" w:hAnsi="Arial"/>
                <w:sz w:val="16"/>
                <w:szCs w:val="16"/>
                <w:b w:val="1"/>
                <w:bCs w:val="1"/>
                <w:color w:val="auto"/>
                <w:w w:val="92"/>
              </w:rPr>
              <w:t>Banc of America Securities LLC</w:t>
            </w:r>
          </w:p>
        </w:tc>
        <w:tc>
          <w:tcPr>
            <w:tcW w:w="4340" w:type="dxa"/>
            <w:vAlign w:val="bottom"/>
          </w:tcPr>
          <w:p>
            <w:pPr>
              <w:jc w:val="center"/>
              <w:ind w:right="2036"/>
              <w:spacing w:after="0"/>
              <w:rPr>
                <w:sz w:val="20"/>
                <w:szCs w:val="20"/>
                <w:color w:val="auto"/>
              </w:rPr>
            </w:pPr>
            <w:r>
              <w:rPr>
                <w:rFonts w:ascii="Arial" w:cs="Arial" w:eastAsia="Arial" w:hAnsi="Arial"/>
                <w:sz w:val="16"/>
                <w:szCs w:val="16"/>
                <w:b w:val="1"/>
                <w:bCs w:val="1"/>
                <w:color w:val="auto"/>
                <w:w w:val="88"/>
              </w:rPr>
              <w:t>Deutsche Bank Securities</w:t>
            </w:r>
          </w:p>
        </w:tc>
      </w:tr>
      <w:tr>
        <w:trPr>
          <w:trHeight w:val="210"/>
        </w:trPr>
        <w:tc>
          <w:tcPr>
            <w:tcW w:w="7080" w:type="dxa"/>
            <w:vAlign w:val="bottom"/>
          </w:tcPr>
          <w:p>
            <w:pPr>
              <w:jc w:val="center"/>
              <w:ind w:right="656"/>
              <w:spacing w:after="0"/>
              <w:rPr>
                <w:sz w:val="20"/>
                <w:szCs w:val="20"/>
                <w:color w:val="auto"/>
              </w:rPr>
            </w:pPr>
            <w:r>
              <w:rPr>
                <w:rFonts w:ascii="Arial" w:cs="Arial" w:eastAsia="Arial" w:hAnsi="Arial"/>
                <w:sz w:val="16"/>
                <w:szCs w:val="16"/>
                <w:b w:val="1"/>
                <w:bCs w:val="1"/>
                <w:color w:val="auto"/>
                <w:w w:val="95"/>
              </w:rPr>
              <w:t>JPMorgan</w:t>
            </w:r>
          </w:p>
        </w:tc>
        <w:tc>
          <w:tcPr>
            <w:tcW w:w="4340" w:type="dxa"/>
            <w:vAlign w:val="bottom"/>
          </w:tcPr>
          <w:p>
            <w:pPr>
              <w:jc w:val="center"/>
              <w:ind w:right="2036"/>
              <w:spacing w:after="0"/>
              <w:rPr>
                <w:sz w:val="20"/>
                <w:szCs w:val="20"/>
                <w:color w:val="auto"/>
              </w:rPr>
            </w:pPr>
            <w:r>
              <w:rPr>
                <w:rFonts w:ascii="Arial" w:cs="Arial" w:eastAsia="Arial" w:hAnsi="Arial"/>
                <w:sz w:val="16"/>
                <w:szCs w:val="16"/>
                <w:b w:val="1"/>
                <w:bCs w:val="1"/>
                <w:color w:val="auto"/>
                <w:w w:val="92"/>
              </w:rPr>
              <w:t>Lehman Brothers</w:t>
            </w:r>
          </w:p>
        </w:tc>
      </w:tr>
      <w:tr>
        <w:trPr>
          <w:trHeight w:val="290"/>
        </w:trPr>
        <w:tc>
          <w:tcPr>
            <w:tcW w:w="7080" w:type="dxa"/>
            <w:vAlign w:val="bottom"/>
          </w:tcPr>
          <w:p>
            <w:pPr>
              <w:ind w:left="3660"/>
              <w:spacing w:after="0"/>
              <w:rPr>
                <w:sz w:val="20"/>
                <w:szCs w:val="20"/>
                <w:color w:val="auto"/>
              </w:rPr>
            </w:pPr>
            <w:r>
              <w:rPr>
                <w:rFonts w:ascii="Arial" w:cs="Arial" w:eastAsia="Arial" w:hAnsi="Arial"/>
                <w:sz w:val="18"/>
                <w:szCs w:val="18"/>
                <w:color w:val="auto"/>
                <w:w w:val="91"/>
              </w:rPr>
              <w:t>The date of this prospectus supplement is May</w:t>
            </w:r>
          </w:p>
        </w:tc>
        <w:tc>
          <w:tcPr>
            <w:tcW w:w="4340" w:type="dxa"/>
            <w:vAlign w:val="bottom"/>
          </w:tcPr>
          <w:p>
            <w:pPr>
              <w:jc w:val="right"/>
              <w:ind w:right="3696"/>
              <w:spacing w:after="0"/>
              <w:rPr>
                <w:sz w:val="20"/>
                <w:szCs w:val="20"/>
                <w:color w:val="auto"/>
              </w:rPr>
            </w:pPr>
            <w:r>
              <w:rPr>
                <w:rFonts w:ascii="Arial" w:cs="Arial" w:eastAsia="Arial" w:hAnsi="Arial"/>
                <w:sz w:val="18"/>
                <w:szCs w:val="18"/>
                <w:color w:val="auto"/>
                <w:w w:val="98"/>
              </w:rPr>
              <w:t>, 2007.</w:t>
            </w:r>
          </w:p>
        </w:tc>
      </w:tr>
      <w:tr>
        <w:trPr>
          <w:trHeight w:val="226"/>
        </w:trPr>
        <w:tc>
          <w:tcPr>
            <w:tcW w:w="70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8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r>
      <w:tr>
        <w:trPr>
          <w:trHeight w:val="33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87"/>
              </w:rPr>
              <w:t>Prospectus Supplement</w:t>
            </w:r>
          </w:p>
        </w:tc>
        <w:tc>
          <w:tcPr>
            <w:tcW w:w="440" w:type="dxa"/>
            <w:vAlign w:val="bottom"/>
          </w:tcPr>
          <w:p>
            <w:pPr>
              <w:spacing w:after="0"/>
              <w:rPr>
                <w:sz w:val="24"/>
                <w:szCs w:val="24"/>
                <w:color w:val="auto"/>
              </w:rPr>
            </w:pPr>
          </w:p>
        </w:tc>
      </w:tr>
      <w:tr>
        <w:trPr>
          <w:trHeight w:val="28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9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9"/>
          </w:tcPr>
          <w:p>
            <w:pPr>
              <w:spacing w:after="0"/>
              <w:rPr>
                <w:sz w:val="17"/>
                <w:szCs w:val="17"/>
                <w:color w:val="auto"/>
              </w:rPr>
            </w:pPr>
          </w:p>
        </w:tc>
        <w:tc>
          <w:tcPr>
            <w:tcW w:w="69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Selected Historical Consolidated Financial Data</w:t>
              </w:r>
            </w:hyperlink>
          </w:p>
        </w:tc>
        <w:tc>
          <w:tcPr>
            <w:tcW w:w="59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Ratio of Earnings to Fixed Charges</w:t>
              </w:r>
            </w:hyperlink>
          </w:p>
        </w:tc>
        <w:tc>
          <w:tcPr>
            <w:tcW w:w="68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the Notes</w:t>
              </w:r>
            </w:hyperlink>
          </w:p>
        </w:tc>
        <w:tc>
          <w:tcPr>
            <w:tcW w:w="762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Material U.S. Federal Income Tax Consequences For Non-U.S. Holders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5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Underwriting</w:t>
              </w:r>
            </w:hyperlink>
          </w:p>
        </w:tc>
        <w:tc>
          <w:tcPr>
            <w:tcW w:w="4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399"/>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3"/>
          </w:tcPr>
          <w:p>
            <w:pPr>
              <w:ind w:left="820"/>
              <w:spacing w:after="0"/>
              <w:rPr>
                <w:sz w:val="20"/>
                <w:szCs w:val="20"/>
                <w:color w:val="auto"/>
              </w:rPr>
            </w:pPr>
            <w:r>
              <w:rPr>
                <w:rFonts w:ascii="Arial" w:cs="Arial" w:eastAsia="Arial" w:hAnsi="Arial"/>
                <w:sz w:val="18"/>
                <w:szCs w:val="18"/>
                <w:b w:val="1"/>
                <w:bCs w:val="1"/>
                <w:color w:val="auto"/>
              </w:rPr>
              <w:t>Prospectus</w:t>
            </w:r>
          </w:p>
        </w:tc>
        <w:tc>
          <w:tcPr>
            <w:tcW w:w="440" w:type="dxa"/>
            <w:vAlign w:val="bottom"/>
          </w:tcPr>
          <w:p>
            <w:pPr>
              <w:spacing w:after="0"/>
              <w:rPr>
                <w:sz w:val="24"/>
                <w:szCs w:val="24"/>
                <w:color w:val="auto"/>
              </w:rPr>
            </w:pPr>
          </w:p>
        </w:tc>
      </w:tr>
      <w:tr>
        <w:trPr>
          <w:trHeight w:val="338"/>
        </w:trPr>
        <w:tc>
          <w:tcPr>
            <w:tcW w:w="93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The Companies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Caution Concerning Forward-Looking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57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Ratios of Earnings to Fixed Charges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Ratio of Earnings to Combined Fixed Charges and Preferred Dividends</w:t>
              </w:r>
            </w:hyperlink>
          </w:p>
        </w:tc>
        <w:tc>
          <w:tcPr>
            <w:tcW w:w="42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Cable Guarantees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10"/>
          </w:tcPr>
          <w:p>
            <w:pPr>
              <w:spacing w:after="0"/>
              <w:rPr>
                <w:sz w:val="17"/>
                <w:szCs w:val="17"/>
                <w:color w:val="auto"/>
              </w:rPr>
            </w:pPr>
          </w:p>
        </w:tc>
        <w:tc>
          <w:tcPr>
            <w:tcW w:w="55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73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3"/>
          </w:tcPr>
          <w:p>
            <w:pPr>
              <w:spacing w:after="0"/>
              <w:rPr>
                <w:sz w:val="17"/>
                <w:szCs w:val="17"/>
                <w:color w:val="auto"/>
              </w:rPr>
            </w:pPr>
          </w:p>
        </w:tc>
        <w:tc>
          <w:tcPr>
            <w:tcW w:w="796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Incorporation of Certain Documents by Reference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PROSPECTUS SUPPLEMENT SUMMARY</w:t>
      </w:r>
    </w:p>
    <w:p>
      <w:pPr>
        <w:spacing w:after="0" w:line="131"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The Companies</w:t>
      </w:r>
    </w:p>
    <w:p>
      <w:pPr>
        <w:spacing w:after="0" w:line="2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right="220" w:firstLine="397"/>
        <w:spacing w:after="0" w:line="264" w:lineRule="auto"/>
        <w:rPr>
          <w:sz w:val="20"/>
          <w:szCs w:val="20"/>
          <w:color w:val="auto"/>
        </w:rPr>
      </w:pPr>
      <w:r>
        <w:rPr>
          <w:rFonts w:ascii="Arial" w:cs="Arial" w:eastAsia="Arial" w:hAnsi="Arial"/>
          <w:sz w:val="18"/>
          <w:szCs w:val="18"/>
          <w:color w:val="auto"/>
        </w:rPr>
        <w:t>We are the largest cable operator in the United States and offer a variety of consumer entertainment and communication products and services. As of March 31, 2007, our cable systems served approximately 24.2 million video subscribers, 12.1 million high-speed Internet subscribers and 3.0 million phone subscribers.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classify our operations in two reportable segments: “Cable” and “Programming”.</w:t>
      </w:r>
    </w:p>
    <w:p>
      <w:pPr>
        <w:spacing w:after="0" w:line="131" w:lineRule="exact"/>
        <w:rPr>
          <w:sz w:val="20"/>
          <w:szCs w:val="20"/>
          <w:color w:val="auto"/>
        </w:rPr>
      </w:pPr>
    </w:p>
    <w:p>
      <w:pPr>
        <w:ind w:left="920" w:right="320" w:firstLine="397"/>
        <w:spacing w:after="0" w:line="259" w:lineRule="auto"/>
        <w:rPr>
          <w:sz w:val="20"/>
          <w:szCs w:val="20"/>
          <w:color w:val="auto"/>
        </w:rPr>
      </w:pPr>
      <w:r>
        <w:rPr>
          <w:rFonts w:ascii="Arial" w:cs="Arial" w:eastAsia="Arial" w:hAnsi="Arial"/>
          <w:sz w:val="18"/>
          <w:szCs w:val="18"/>
          <w:color w:val="auto"/>
        </w:rPr>
        <w:t>Our Cable segment develops,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w:t>
      </w:r>
    </w:p>
    <w:p>
      <w:pPr>
        <w:spacing w:after="0" w:line="92" w:lineRule="exact"/>
        <w:rPr>
          <w:sz w:val="20"/>
          <w:szCs w:val="20"/>
          <w:color w:val="auto"/>
        </w:rPr>
      </w:pPr>
    </w:p>
    <w:p>
      <w:pPr>
        <w:ind w:left="920" w:right="200" w:firstLine="397"/>
        <w:spacing w:after="0" w:line="312" w:lineRule="auto"/>
        <w:rPr>
          <w:sz w:val="20"/>
          <w:szCs w:val="20"/>
          <w:color w:val="auto"/>
        </w:rPr>
      </w:pPr>
      <w:r>
        <w:rPr>
          <w:rFonts w:ascii="Arial" w:cs="Arial" w:eastAsia="Arial" w:hAnsi="Arial"/>
          <w:sz w:val="16"/>
          <w:szCs w:val="16"/>
          <w:color w:val="auto"/>
        </w:rPr>
        <w:t>Our Programming segment consists of our six national programming networks: E!, Style, The Golf Channel, VERSUS (formerly known as OLN), G4, and AZN Television; and other entertainment-related businesses. Revenue from our Programming segment is earned primarily from advertising revenues and from monthly per subscriber license fees paid by cable and satellite distributors.</w:t>
      </w:r>
    </w:p>
    <w:p>
      <w:pPr>
        <w:spacing w:after="0" w:line="52" w:lineRule="exact"/>
        <w:rPr>
          <w:sz w:val="20"/>
          <w:szCs w:val="20"/>
          <w:color w:val="auto"/>
        </w:rPr>
      </w:pPr>
    </w:p>
    <w:p>
      <w:pPr>
        <w:ind w:left="920" w:right="160" w:firstLine="397"/>
        <w:spacing w:after="0" w:line="312"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executive office is located at 1500 Market Street, Philadelphia, Pennsylvania 19102-2148. Our telephone number is</w:t>
      </w:r>
    </w:p>
    <w:p>
      <w:pPr>
        <w:spacing w:after="0" w:line="46" w:lineRule="exact"/>
        <w:rPr>
          <w:sz w:val="20"/>
          <w:szCs w:val="20"/>
          <w:color w:val="auto"/>
        </w:rPr>
      </w:pPr>
    </w:p>
    <w:p>
      <w:pPr>
        <w:ind w:left="920" w:right="620" w:firstLine="2"/>
        <w:spacing w:after="0" w:line="261"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665-1700. The address of our web site is www.comcast.com. The information on our web site is not part of this prospectus supplement or the accompanying prospectus.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540" w:right="8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540" w:right="20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Each cable guarantor’s principal place of business is 1500 Market Street, Philadelphia, Pennsylvania 19102-2148.</w:t>
      </w:r>
    </w:p>
    <w:p>
      <w:pPr>
        <w:sectPr>
          <w:pgSz w:w="11900" w:h="16838" w:orient="portrait"/>
          <w:cols w:equalWidth="0" w:num="1">
            <w:col w:w="10820"/>
          </w:cols>
          <w:pgMar w:left="240" w:top="419"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787"/>
        </w:trPr>
        <w:tc>
          <w:tcPr>
            <w:tcW w:w="720" w:type="dxa"/>
            <w:vAlign w:val="bottom"/>
            <w:tcBorders>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96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The Offering</w:t>
            </w:r>
          </w:p>
        </w:tc>
        <w:tc>
          <w:tcPr>
            <w:tcW w:w="340" w:type="dxa"/>
            <w:vAlign w:val="bottom"/>
          </w:tcPr>
          <w:p>
            <w:pPr>
              <w:spacing w:after="0"/>
              <w:rPr>
                <w:sz w:val="24"/>
                <w:szCs w:val="24"/>
                <w:color w:val="auto"/>
              </w:rPr>
            </w:pPr>
          </w:p>
        </w:tc>
      </w:tr>
      <w:tr>
        <w:trPr>
          <w:trHeight w:val="33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Issuer</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Comcast Corporation.</w:t>
            </w:r>
          </w:p>
        </w:tc>
        <w:tc>
          <w:tcPr>
            <w:tcW w:w="340" w:type="dxa"/>
            <w:vAlign w:val="bottom"/>
          </w:tcPr>
          <w:p>
            <w:pPr>
              <w:spacing w:after="0"/>
              <w:rPr>
                <w:sz w:val="24"/>
                <w:szCs w:val="24"/>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if the underwriters exercise their overallotment option in full) aggregate</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principal amount of % Notes due 2056.</w:t>
            </w:r>
          </w:p>
        </w:tc>
        <w:tc>
          <w:tcPr>
            <w:tcW w:w="340" w:type="dxa"/>
            <w:vAlign w:val="bottom"/>
          </w:tcPr>
          <w:p>
            <w:pPr>
              <w:spacing w:after="0"/>
              <w:rPr>
                <w:sz w:val="20"/>
                <w:szCs w:val="20"/>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Maturity</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The notes will mature on May 15, 2056.</w:t>
            </w:r>
          </w:p>
        </w:tc>
        <w:tc>
          <w:tcPr>
            <w:tcW w:w="340" w:type="dxa"/>
            <w:vAlign w:val="bottom"/>
          </w:tcPr>
          <w:p>
            <w:pPr>
              <w:spacing w:after="0"/>
              <w:rPr>
                <w:sz w:val="24"/>
                <w:szCs w:val="24"/>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Interest on the notes will accrue at the rate of % per year, payable quarterly in cash in</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arrears on each May 15, August 15, November 15 and February 15, beginning on</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August 15, 2007.</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Ranking</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The notes will be unsecured and will rank equally with all of our unsecured and</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unsubordinated indebtedness.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Guarantors</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8"/>
              </w:rPr>
              <w:t>Comcast Cable Communications, LLC, Comcast Cable Communications Holdings, Inc.,</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7"/>
              </w:rPr>
              <w:t>Comcast Cable Holdings, LLC, Comcast MO Group, Inc. and Comcast MO of Delaware,</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ind w:left="860"/>
              <w:spacing w:after="0"/>
              <w:rPr>
                <w:sz w:val="20"/>
                <w:szCs w:val="20"/>
                <w:color w:val="auto"/>
              </w:rPr>
            </w:pPr>
            <w:r>
              <w:rPr>
                <w:rFonts w:ascii="Arial" w:cs="Arial" w:eastAsia="Arial" w:hAnsi="Arial"/>
                <w:sz w:val="18"/>
                <w:szCs w:val="18"/>
                <w:color w:val="auto"/>
              </w:rPr>
              <w:t>LLC.</w:t>
            </w:r>
          </w:p>
        </w:tc>
        <w:tc>
          <w:tcPr>
            <w:tcW w:w="4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Guarantees</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The cable guarantors will fully and unconditionally guarantee the notes, including the</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5"/>
              </w:rPr>
              <w:t>payment of principal, premium, if any, and interest. The cable guarantees will rank equally</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7"/>
              </w:rPr>
              <w:t>with all other general unsecured and unsubordinated obligations of the cable guarantors.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8"/>
              </w:rPr>
              <w:t>We may redeem the notes, in whole or in part, at any time on or after May 15, 2012 at a</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3"/>
              </w:rPr>
              <w:t>redemption price equal to 100% of the principal amount redeemed plus accrued and unpaid</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interest to the redemption date.</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3"/>
              </w:rPr>
              <w:t>We intend to use the proceeds from this offering, after deducting fees and expenses related</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9"/>
              </w:rPr>
              <w:t>to this offering, for working capital and general corporate purposes, which may include</w:t>
            </w:r>
          </w:p>
        </w:tc>
        <w:tc>
          <w:tcPr>
            <w:tcW w:w="340" w:type="dxa"/>
            <w:vAlign w:val="bottom"/>
          </w:tcPr>
          <w:p>
            <w:pPr>
              <w:spacing w:after="0"/>
              <w:rPr>
                <w:sz w:val="18"/>
                <w:szCs w:val="18"/>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w w:val="98"/>
              </w:rPr>
              <w:t>funding repayment of commercial paper issued to repay, in part, $600 million aggregate</w:t>
            </w:r>
          </w:p>
        </w:tc>
        <w:tc>
          <w:tcPr>
            <w:tcW w:w="340" w:type="dxa"/>
            <w:vAlign w:val="bottom"/>
          </w:tcPr>
          <w:p>
            <w:pPr>
              <w:spacing w:after="0"/>
              <w:rPr>
                <w:sz w:val="18"/>
                <w:szCs w:val="18"/>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principal amount of our 8.375% notes due May 1, 2007. Our commercial paper has a</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4"/>
          </w:tcPr>
          <w:p>
            <w:pPr>
              <w:ind w:left="860"/>
              <w:spacing w:after="0"/>
              <w:rPr>
                <w:sz w:val="20"/>
                <w:szCs w:val="20"/>
                <w:color w:val="auto"/>
              </w:rPr>
            </w:pPr>
            <w:r>
              <w:rPr>
                <w:rFonts w:ascii="Arial" w:cs="Arial" w:eastAsia="Arial" w:hAnsi="Arial"/>
                <w:sz w:val="18"/>
                <w:szCs w:val="18"/>
                <w:color w:val="auto"/>
              </w:rPr>
              <w:t>weighted average interest rate of 5.358% and an average maturity of 10 days.</w:t>
            </w:r>
          </w:p>
        </w:tc>
        <w:tc>
          <w:tcPr>
            <w:tcW w:w="340" w:type="dxa"/>
            <w:vAlign w:val="bottom"/>
          </w:tcPr>
          <w:p>
            <w:pPr>
              <w:spacing w:after="0"/>
              <w:rPr>
                <w:sz w:val="20"/>
                <w:szCs w:val="20"/>
                <w:color w:val="auto"/>
              </w:rPr>
            </w:pPr>
          </w:p>
        </w:tc>
      </w:tr>
      <w:tr>
        <w:trPr>
          <w:trHeight w:val="510"/>
        </w:trPr>
        <w:tc>
          <w:tcPr>
            <w:tcW w:w="7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7520" w:type="dxa"/>
            <w:vAlign w:val="bottom"/>
            <w:gridSpan w:val="3"/>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8"/>
        </w:trPr>
        <w:tc>
          <w:tcPr>
            <w:tcW w:w="720" w:type="dxa"/>
            <w:vAlign w:val="bottom"/>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Book Entry</w:t>
            </w:r>
          </w:p>
        </w:tc>
        <w:tc>
          <w:tcPr>
            <w:tcW w:w="8080" w:type="dxa"/>
            <w:vAlign w:val="bottom"/>
            <w:gridSpan w:val="5"/>
          </w:tcPr>
          <w:p>
            <w:pPr>
              <w:ind w:left="86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5"/>
          </w:tcPr>
          <w:p>
            <w:pPr>
              <w:ind w:left="860"/>
              <w:spacing w:after="0"/>
              <w:rPr>
                <w:sz w:val="20"/>
                <w:szCs w:val="20"/>
                <w:color w:val="auto"/>
              </w:rPr>
            </w:pPr>
            <w:r>
              <w:rPr>
                <w:rFonts w:ascii="Arial" w:cs="Arial" w:eastAsia="Arial" w:hAnsi="Arial"/>
                <w:sz w:val="18"/>
                <w:szCs w:val="18"/>
                <w:color w:val="auto"/>
                <w:w w:val="99"/>
              </w:rPr>
              <w:t>deposited with, or Son-2behalf of, DTC and registered in the name of DTC or its nominees.</w:t>
            </w:r>
          </w:p>
        </w:tc>
      </w:tr>
      <w:tr>
        <w:trPr>
          <w:trHeight w:val="241"/>
        </w:trPr>
        <w:tc>
          <w:tcPr>
            <w:tcW w:w="7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20" w:type="dxa"/>
            <w:vAlign w:val="bottom"/>
            <w:tcBorders>
              <w:bottom w:val="single" w:sz="8" w:color="808080"/>
            </w:tcBorders>
          </w:tcPr>
          <w:p>
            <w:pPr>
              <w:spacing w:after="0"/>
              <w:rPr>
                <w:sz w:val="20"/>
                <w:szCs w:val="20"/>
                <w:color w:val="auto"/>
              </w:rPr>
            </w:pPr>
          </w:p>
        </w:tc>
        <w:tc>
          <w:tcPr>
            <w:tcW w:w="8080" w:type="dxa"/>
            <w:vAlign w:val="bottom"/>
            <w:tcBorders>
              <w:bottom w:val="single" w:sz="8" w:color="808080"/>
            </w:tcBorders>
            <w:gridSpan w:val="5"/>
          </w:tcPr>
          <w:p>
            <w:pPr>
              <w:ind w:left="860"/>
              <w:spacing w:after="0"/>
              <w:rPr>
                <w:sz w:val="20"/>
                <w:szCs w:val="20"/>
                <w:color w:val="auto"/>
              </w:rPr>
            </w:pPr>
            <w:r>
              <w:rPr>
                <w:rFonts w:ascii="Arial" w:cs="Arial" w:eastAsia="Arial" w:hAnsi="Arial"/>
                <w:sz w:val="18"/>
                <w:szCs w:val="18"/>
                <w:color w:val="auto"/>
              </w:rPr>
              <w:t>Beneficial interests in any of the notes will be shown on, and transfers will be effected only</w:t>
            </w:r>
          </w:p>
        </w:tc>
      </w:tr>
      <w:tr>
        <w:trPr>
          <w:trHeight w:val="187"/>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80" w:type="dxa"/>
            <w:vAlign w:val="bottom"/>
            <w:gridSpan w:val="5"/>
          </w:tcPr>
          <w:p>
            <w:pPr>
              <w:ind w:left="860"/>
              <w:spacing w:after="0" w:line="188" w:lineRule="exact"/>
              <w:rPr>
                <w:sz w:val="20"/>
                <w:szCs w:val="20"/>
                <w:color w:val="auto"/>
              </w:rPr>
            </w:pPr>
            <w:r>
              <w:rPr>
                <w:rFonts w:ascii="Arial" w:cs="Arial" w:eastAsia="Arial" w:hAnsi="Arial"/>
                <w:sz w:val="18"/>
                <w:szCs w:val="18"/>
                <w:color w:val="auto"/>
                <w:w w:val="99"/>
              </w:rPr>
              <w:t>through, records maintained by DTC or its nominee, and these beneficial interests may not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-8010525</wp:posOffset>
            </wp:positionV>
            <wp:extent cx="7250430" cy="8284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84210"/>
                    </a:xfrm>
                    <a:prstGeom prst="rect">
                      <a:avLst/>
                    </a:prstGeom>
                    <a:noFill/>
                  </pic:spPr>
                </pic:pic>
              </a:graphicData>
            </a:graphic>
          </wp:anchor>
        </w:drawing>
      </w:r>
    </w:p>
    <w:p>
      <w:pPr>
        <w:ind w:left="4200" w:right="820"/>
        <w:spacing w:after="0" w:line="259" w:lineRule="auto"/>
        <w:rPr>
          <w:sz w:val="20"/>
          <w:szCs w:val="20"/>
          <w:color w:val="auto"/>
        </w:rPr>
      </w:pPr>
      <w:r>
        <w:rPr>
          <w:rFonts w:ascii="Arial" w:cs="Arial" w:eastAsia="Arial" w:hAnsi="Arial"/>
          <w:sz w:val="18"/>
          <w:szCs w:val="18"/>
          <w:color w:val="auto"/>
        </w:rPr>
        <w:t>be exchanged for certificated notes, except in limited circumstances. See “Description of the Notes — Book-Entry System” in this prospectus supplement.</w:t>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and our subsidiaries have significant debt and debt-like obligations and may not maintain investment-grade credit ratings.</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91" w:lineRule="exact"/>
        <w:rPr>
          <w:sz w:val="20"/>
          <w:szCs w:val="20"/>
          <w:color w:val="auto"/>
        </w:rPr>
      </w:pPr>
    </w:p>
    <w:p>
      <w:pPr>
        <w:ind w:left="800" w:right="500"/>
        <w:spacing w:after="0" w:line="277" w:lineRule="auto"/>
        <w:rPr>
          <w:sz w:val="20"/>
          <w:szCs w:val="20"/>
          <w:color w:val="auto"/>
        </w:rPr>
      </w:pPr>
      <w:r>
        <w:rPr>
          <w:rFonts w:ascii="Arial" w:cs="Arial" w:eastAsia="Arial" w:hAnsi="Arial"/>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As of March 31, 2007, our consolidated indebtedness was approximately $28.3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87" w:lineRule="exact"/>
        <w:rPr>
          <w:sz w:val="20"/>
          <w:szCs w:val="20"/>
          <w:color w:val="auto"/>
        </w:rPr>
      </w:pPr>
    </w:p>
    <w:p>
      <w:pPr>
        <w:ind w:left="1300" w:right="62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39"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b w:val="1"/>
          <w:bCs w:val="1"/>
          <w:i w:val="1"/>
          <w:iCs w:val="1"/>
          <w:color w:val="auto"/>
        </w:rPr>
        <w:t>Although we intend to apply to list the notes on the New York Stock Exchange, we cannot assure you that an active trading market will develop for the notes.</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notes are a new issue of securities for which there is no trading market. Although we intend to apply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94"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time remaining to the maturity of the notes;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redeem all or a portion of the notes at any time on or after May 15, 2012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May 15, 2012 approaches and after such date.</w:t>
      </w:r>
    </w:p>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419" w:right="1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sets forth our selected consolidated financial data. The selected consolidated financial data as of and for each of the years in the five-year period ended December 31, 2006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2006 and our Quarterly Report on Form 10-Q for the quarter ended March 31, 2007, each of which are incorporated herein by reference.</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8"/>
          </w:tcPr>
          <w:p>
            <w:pPr>
              <w:jc w:val="right"/>
              <w:ind w:right="291"/>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2006</w:t>
            </w:r>
          </w:p>
        </w:tc>
        <w:tc>
          <w:tcPr>
            <w:tcW w:w="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79"/>
              </w:rPr>
              <w:t>(Unaudited)</w:t>
            </w: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w w:val="95"/>
              </w:rPr>
              <w:t>(In millions, except per share data)</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Revenues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$7,997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17,330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19,221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24,966</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5,595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95"/>
              </w:rPr>
              <w:t>Income (loss) from continuing operations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earnings (loss) for common</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per common share(3)</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95"/>
              </w:rPr>
              <w:t>Income (loss) from continuing operations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(loss) for common</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per common share(3)</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95"/>
              </w:rPr>
              <w:t>Income (loss) from continuing operations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3" w:lineRule="exact"/>
        <w:rPr>
          <w:sz w:val="20"/>
          <w:szCs w:val="20"/>
          <w:color w:val="auto"/>
        </w:rPr>
      </w:pPr>
    </w:p>
    <w:p>
      <w:pPr>
        <w:ind w:left="900" w:right="100" w:hanging="207"/>
        <w:spacing w:after="0" w:line="253" w:lineRule="auto"/>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September 2003, we disposed of our interest in QVC to Liberty Media Corporation. QVC is presented as a discontinued operation for the years ended on and before December 31, 2003.</w:t>
      </w:r>
    </w:p>
    <w:p>
      <w:pPr>
        <w:spacing w:after="0" w:line="11" w:lineRule="exact"/>
        <w:rPr>
          <w:rFonts w:ascii="Arial" w:cs="Arial" w:eastAsia="Arial" w:hAnsi="Arial"/>
          <w:sz w:val="14"/>
          <w:szCs w:val="14"/>
          <w:color w:val="auto"/>
        </w:rPr>
      </w:pPr>
    </w:p>
    <w:p>
      <w:pPr>
        <w:ind w:left="900" w:right="260" w:hanging="207"/>
        <w:spacing w:after="0" w:line="264" w:lineRule="auto"/>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July 2006, in connection with the transactions with Adelphia and Time Warner, we transferred our previously owned cable systems located in Los Angeles, Cleveland and Dallas to Time Warner Cable. These cable systems are presented as discontinued operations for the years ended on or before December 31, 2006 (see Note 5 to our audited consolidated financial statements included in the Annual Report on Form 10-K for the year ended December 31, 2006).</w:t>
      </w:r>
    </w:p>
    <w:p>
      <w:pPr>
        <w:spacing w:after="0" w:line="6" w:lineRule="exact"/>
        <w:rPr>
          <w:rFonts w:ascii="Arial" w:cs="Arial" w:eastAsia="Arial" w:hAnsi="Arial"/>
          <w:sz w:val="13"/>
          <w:szCs w:val="13"/>
          <w:color w:val="auto"/>
        </w:rPr>
      </w:pPr>
    </w:p>
    <w:p>
      <w:pPr>
        <w:ind w:left="900" w:hanging="207"/>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to reflect the three-for-two stock split in the form of a 50% stock dividend paid in February 2007.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$ 113,485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$109,348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$105,035</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$103,400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110,405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Stockholders’ equity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38,329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41,662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41,422</w:t>
            </w:r>
          </w:p>
        </w:tc>
        <w:tc>
          <w:tcPr>
            <w:tcW w:w="3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40,219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41,167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which may include funding repayment of commercial paper issued to repay, in part, $600 million aggregate principal amount of our 8.375% notes due May 1, 2007. Our commercial paper has a weighted average interest rate of 5.358% and an average maturity of 10 days.</w:t>
      </w:r>
    </w:p>
    <w:p>
      <w:pPr>
        <w:spacing w:after="0" w:line="304" w:lineRule="exact"/>
        <w:rPr>
          <w:sz w:val="20"/>
          <w:szCs w:val="20"/>
          <w:color w:val="auto"/>
        </w:rPr>
      </w:pPr>
    </w:p>
    <w:p>
      <w:pPr>
        <w:jc w:val="right"/>
        <w:ind w:left="1080" w:right="3100"/>
        <w:spacing w:after="0" w:line="396" w:lineRule="auto"/>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8"/>
          <w:szCs w:val="18"/>
          <w:color w:val="auto"/>
        </w:rPr>
        <w:t>Our ratio of earnings to fixed charges was as follows for the respective periods indicated:</w:t>
      </w:r>
    </w:p>
    <w:tbl>
      <w:tblPr>
        <w:tblLayout w:type="fixed"/>
        <w:tblInd w:w="70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jc w:val="right"/>
              <w:ind w:right="1439"/>
              <w:spacing w:after="0" w:line="155" w:lineRule="exact"/>
              <w:rPr>
                <w:sz w:val="20"/>
                <w:szCs w:val="20"/>
                <w:color w:val="auto"/>
              </w:rPr>
            </w:pPr>
            <w:r>
              <w:rPr>
                <w:rFonts w:ascii="Arial" w:cs="Arial" w:eastAsia="Arial" w:hAnsi="Arial"/>
                <w:sz w:val="14"/>
                <w:szCs w:val="14"/>
                <w:b w:val="1"/>
                <w:bCs w:val="1"/>
                <w:color w:val="auto"/>
                <w:w w:val="76"/>
              </w:rPr>
              <w:t>2002</w:t>
            </w:r>
          </w:p>
        </w:tc>
        <w:tc>
          <w:tcPr>
            <w:tcW w:w="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2003</w:t>
            </w:r>
          </w:p>
        </w:tc>
        <w:tc>
          <w:tcPr>
            <w:tcW w:w="98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13"/>
                <w:szCs w:val="13"/>
                <w:color w:val="auto"/>
              </w:rPr>
            </w:pPr>
          </w:p>
        </w:tc>
        <w:tc>
          <w:tcPr>
            <w:tcW w:w="7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3"/>
                <w:szCs w:val="13"/>
                <w:color w:val="auto"/>
              </w:rPr>
            </w:pPr>
          </w:p>
        </w:tc>
        <w:tc>
          <w:tcPr>
            <w:tcW w:w="1160" w:type="dxa"/>
            <w:vAlign w:val="bottom"/>
            <w:tcBorders>
              <w:bottom w:val="single" w:sz="8" w:color="auto"/>
            </w:tcBorders>
          </w:tcPr>
          <w:p>
            <w:pPr>
              <w:jc w:val="right"/>
              <w:ind w:right="365"/>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jc w:val="right"/>
              <w:ind w:right="1079"/>
              <w:spacing w:after="0"/>
              <w:rPr>
                <w:sz w:val="20"/>
                <w:szCs w:val="20"/>
                <w:color w:val="auto"/>
              </w:rPr>
            </w:pPr>
            <w:r>
              <w:rPr>
                <w:rFonts w:ascii="Arial" w:cs="Arial" w:eastAsia="Arial" w:hAnsi="Arial"/>
                <w:sz w:val="18"/>
                <w:szCs w:val="18"/>
                <w:color w:val="auto"/>
              </w:rPr>
              <w:t>—(1)</w:t>
            </w:r>
          </w:p>
        </w:tc>
        <w:tc>
          <w:tcPr>
            <w:tcW w:w="700" w:type="dxa"/>
            <w:vAlign w:val="bottom"/>
          </w:tcPr>
          <w:p>
            <w:pPr>
              <w:ind w:left="18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22"/>
                <w:szCs w:val="22"/>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1.94x</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1.92x</w:t>
            </w:r>
          </w:p>
        </w:tc>
        <w:tc>
          <w:tcPr>
            <w:tcW w:w="10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2.75x</w:t>
            </w:r>
          </w:p>
        </w:tc>
        <w:tc>
          <w:tcPr>
            <w:tcW w:w="10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3.37x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3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$88 million and $470 million deficiency, respectively, of earnings to fixed charges.</w:t>
      </w:r>
    </w:p>
    <w:p>
      <w:pPr>
        <w:spacing w:after="0" w:line="76"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w:t>
      </w:r>
    </w:p>
    <w:p>
      <w:pPr>
        <w:spacing w:after="0" w:line="3" w:lineRule="exact"/>
        <w:rPr>
          <w:sz w:val="20"/>
          <w:szCs w:val="20"/>
          <w:color w:val="auto"/>
        </w:rPr>
      </w:pPr>
    </w:p>
    <w:p>
      <w:pPr>
        <w:ind w:left="700" w:right="500" w:hanging="7"/>
        <w:spacing w:after="0" w:line="261" w:lineRule="auto"/>
        <w:tabs>
          <w:tab w:leader="none" w:pos="94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preference security dividend requirements of our consolidated subsidiaries. Preferred security dividend is the amount of pre-tax earnings that is required to pay the dividends on outstanding preference securities.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70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7700" w:type="dxa"/>
            <w:vAlign w:val="bottom"/>
          </w:tcPr>
          <w:p>
            <w:pPr>
              <w:ind w:left="1740"/>
              <w:spacing w:after="0"/>
              <w:rPr>
                <w:sz w:val="20"/>
                <w:szCs w:val="20"/>
                <w:color w:val="auto"/>
              </w:rPr>
            </w:pPr>
            <w:r>
              <w:rPr>
                <w:rFonts w:ascii="Arial" w:cs="Arial" w:eastAsia="Arial" w:hAnsi="Arial"/>
                <w:sz w:val="18"/>
                <w:szCs w:val="18"/>
                <w:b w:val="1"/>
                <w:bCs w:val="1"/>
                <w:color w:val="auto"/>
              </w:rPr>
              <w:t>DESCRIPTION OF THE NOTES</w:t>
            </w:r>
          </w:p>
        </w:tc>
      </w:tr>
      <w:tr>
        <w:trPr>
          <w:trHeight w:val="338"/>
        </w:trPr>
        <w:tc>
          <w:tcPr>
            <w:tcW w:w="2600" w:type="dxa"/>
            <w:vAlign w:val="bottom"/>
            <w:gridSpan w:val="2"/>
          </w:tcPr>
          <w:p>
            <w:pPr>
              <w:ind w:left="1080"/>
              <w:spacing w:after="0"/>
              <w:rPr>
                <w:sz w:val="20"/>
                <w:szCs w:val="20"/>
                <w:color w:val="auto"/>
              </w:rPr>
            </w:pPr>
            <w:r>
              <w:rPr>
                <w:rFonts w:ascii="Arial" w:cs="Arial" w:eastAsia="Arial" w:hAnsi="Arial"/>
                <w:sz w:val="18"/>
                <w:szCs w:val="18"/>
                <w:color w:val="auto"/>
              </w:rPr>
              <w:t>We are offering $</w:t>
            </w:r>
          </w:p>
        </w:tc>
        <w:tc>
          <w:tcPr>
            <w:tcW w:w="7700" w:type="dxa"/>
            <w:vAlign w:val="bottom"/>
          </w:tcPr>
          <w:p>
            <w:pPr>
              <w:ind w:left="240"/>
              <w:spacing w:after="0"/>
              <w:rPr>
                <w:sz w:val="20"/>
                <w:szCs w:val="20"/>
                <w:color w:val="auto"/>
              </w:rPr>
            </w:pPr>
            <w:r>
              <w:rPr>
                <w:rFonts w:ascii="Arial" w:cs="Arial" w:eastAsia="Arial" w:hAnsi="Arial"/>
                <w:sz w:val="18"/>
                <w:szCs w:val="18"/>
                <w:color w:val="auto"/>
                <w:w w:val="90"/>
              </w:rPr>
              <w:t>aggregate principal amount of our   % Notes due 2056. The notes will be a separate series of securities</w:t>
            </w:r>
          </w:p>
        </w:tc>
      </w:tr>
    </w:tbl>
    <w:p>
      <w:pPr>
        <w:ind w:left="700"/>
        <w:spacing w:after="0" w:line="287" w:lineRule="auto"/>
        <w:rPr>
          <w:sz w:val="20"/>
          <w:szCs w:val="20"/>
          <w:color w:val="auto"/>
        </w:rPr>
      </w:pPr>
      <w:r>
        <w:rPr>
          <w:rFonts w:ascii="Arial" w:cs="Arial" w:eastAsia="Arial" w:hAnsi="Arial"/>
          <w:sz w:val="16"/>
          <w:szCs w:val="16"/>
          <w:color w:val="auto"/>
        </w:rPr>
        <w:t>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7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Terms of the Notes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300" w:right="58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cable guarantees described below;</w:t>
      </w:r>
    </w:p>
    <w:p>
      <w:pPr>
        <w:spacing w:after="0" w:line="8" w:lineRule="exact"/>
        <w:rPr>
          <w:sz w:val="20"/>
          <w:szCs w:val="20"/>
          <w:color w:val="auto"/>
        </w:rPr>
      </w:pPr>
    </w:p>
    <w:p>
      <w:pPr>
        <w:jc w:val="both"/>
        <w:ind w:left="1300" w:right="40" w:hanging="199"/>
        <w:spacing w:after="0" w:line="286" w:lineRule="auto"/>
        <w:tabs>
          <w:tab w:leader="none" w:pos="1280" w:val="left"/>
        </w:tabs>
        <w:rPr>
          <w:sz w:val="20"/>
          <w:szCs w:val="20"/>
          <w:color w:val="auto"/>
        </w:rPr>
      </w:pPr>
      <w:r>
        <w:rPr>
          <w:rFonts w:ascii="Arial" w:cs="Arial" w:eastAsia="Arial" w:hAnsi="Arial"/>
          <w:sz w:val="17"/>
          <w:szCs w:val="17"/>
          <w:color w:val="auto"/>
        </w:rPr>
        <w:t>•</w:t>
        <w:tab/>
        <w:t>will be issued in an initial aggregate principal amount of $ ($ if the underwriters exercise their overallotment option in full), maturing on May 15, 2056, with interest payable quarterly on each May 15, August 15, November 15 and February 15, beginning August 15, 2007, to holders of record on the preceding May 1, August 1, November 1 and February 1; and</w:t>
      </w:r>
    </w:p>
    <w:p>
      <w:pPr>
        <w:spacing w:after="0" w:line="3"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are issuable in fully registered form, in denominations of $25.00 and multiples thereof.</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Payments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Cable Guarantees</w:t>
      </w:r>
    </w:p>
    <w:p>
      <w:pPr>
        <w:spacing w:after="0" w:line="135" w:lineRule="exact"/>
        <w:rPr>
          <w:sz w:val="20"/>
          <w:szCs w:val="20"/>
          <w:color w:val="auto"/>
        </w:rPr>
      </w:pPr>
    </w:p>
    <w:p>
      <w:pPr>
        <w:jc w:val="both"/>
        <w:ind w:left="700" w:right="100" w:firstLine="397"/>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22"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81"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We will have the right at our option to redeem the notes in whole or in part, at any time or from time to time on or after May 15, 2012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05"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Trading Characteristics</w:t>
      </w:r>
    </w:p>
    <w:p>
      <w:pPr>
        <w:spacing w:after="0" w:line="13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We intend to apply to list the notes on the New York Stock Exchange under the symbol “CCS”. If approved,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Additional Debt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DTC</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87"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20" w:firstLine="397"/>
        <w:spacing w:after="0" w:line="342" w:lineRule="auto"/>
        <w:rPr>
          <w:sz w:val="20"/>
          <w:szCs w:val="20"/>
          <w:color w:val="auto"/>
        </w:rPr>
      </w:pPr>
      <w:r>
        <w:rPr>
          <w:rFonts w:ascii="Arial" w:cs="Arial" w:eastAsia="Arial" w:hAnsi="Arial"/>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29"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03"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7"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7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76" w:lineRule="exact"/>
        <w:rPr>
          <w:sz w:val="20"/>
          <w:szCs w:val="20"/>
          <w:color w:val="auto"/>
        </w:rPr>
      </w:pPr>
    </w:p>
    <w:p>
      <w:pPr>
        <w:ind w:left="1700" w:right="80" w:hanging="400"/>
        <w:spacing w:after="0" w:line="342"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5" w:lineRule="exact"/>
        <w:rPr>
          <w:rFonts w:ascii="Arial" w:cs="Arial" w:eastAsia="Arial" w:hAnsi="Arial"/>
          <w:sz w:val="16"/>
          <w:szCs w:val="16"/>
          <w:color w:val="auto"/>
        </w:rPr>
      </w:pPr>
    </w:p>
    <w:p>
      <w:pPr>
        <w:ind w:left="1700" w:hanging="400"/>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17" w:lineRule="exact"/>
        <w:rPr>
          <w:rFonts w:ascii="Arial" w:cs="Arial" w:eastAsia="Arial" w:hAnsi="Arial"/>
          <w:sz w:val="18"/>
          <w:szCs w:val="18"/>
          <w:color w:val="auto"/>
        </w:rPr>
      </w:pPr>
    </w:p>
    <w:p>
      <w:pPr>
        <w:ind w:left="1700" w:hanging="400"/>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notes to accelerate the maturity thereof has occurred and is continuing.</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7"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jc w:val="both"/>
        <w:ind w:left="1300" w:right="4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31"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Persons considering the purchase of notes are urged to consult their tax advisers with regard to the application of the U.S. federal tax laws to their particular situations as well as any tax consequences arising under the laws of any state, local or foreign taxing jurisdiction.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used herein, the term “Non-U.S. Holder” means a beneficial owner of a note that is, for U.S. federal income tax purposes:</w:t>
      </w:r>
    </w:p>
    <w:p>
      <w:pPr>
        <w:spacing w:after="0" w:line="14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classified as a nonresident for U.S. federal income tax purposes;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own tax advisor regarding the U.S. federal income tax consequences of the sale, exchange or other disposition of a note.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Subject to the discussion below concerning backup withholding:</w:t>
      </w:r>
    </w:p>
    <w:p>
      <w:pPr>
        <w:spacing w:after="0" w:line="131" w:lineRule="exact"/>
        <w:rPr>
          <w:sz w:val="20"/>
          <w:szCs w:val="20"/>
          <w:color w:val="auto"/>
        </w:rPr>
      </w:pPr>
    </w:p>
    <w:p>
      <w:pPr>
        <w:ind w:left="1300" w:right="2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6" w:lineRule="exact"/>
        <w:rPr>
          <w:rFonts w:ascii="Arial" w:cs="Arial" w:eastAsia="Arial" w:hAnsi="Arial"/>
          <w:sz w:val="18"/>
          <w:szCs w:val="18"/>
          <w:color w:val="auto"/>
        </w:rPr>
      </w:pPr>
    </w:p>
    <w:p>
      <w:pPr>
        <w:ind w:left="1700" w:hanging="211"/>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3" w:lineRule="exact"/>
        <w:rPr>
          <w:rFonts w:ascii="Arial" w:cs="Arial" w:eastAsia="Arial" w:hAnsi="Arial"/>
          <w:sz w:val="18"/>
          <w:szCs w:val="18"/>
          <w:color w:val="auto"/>
        </w:rPr>
      </w:pPr>
    </w:p>
    <w:p>
      <w:pPr>
        <w:ind w:left="1700" w:hanging="211"/>
        <w:spacing w:after="0"/>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certification requirement described below has been fulfilled with respect to the beneficial owner, as discussed below;</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40" w:hanging="202"/>
        <w:spacing w:after="0" w:line="28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Non-U.S. Holder of a note will not be subject to U.S. federal income tax on gain realized on the sale, exchange or other disposition of such note, unless the gain is effectively connected with the conduct by the holder of a trade or business in the United States, subject to an applicable income tax treaty providing otherwise.</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Certification Requirement</w:t>
      </w:r>
    </w:p>
    <w:p>
      <w:pPr>
        <w:spacing w:after="0" w:line="131"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Interest not effectively connected with the conduct of a trade or business in the United States will not be exempt from withholding tax unless the beneficial owner of that note certifies on Internal Revenue Service Form W-8BEN, under penalties of perjury, that it is not a U.S. person.</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a Non-U.S. Holder of a note is engaged in a trade or business in the United States, and if interest on or gain with respect to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 is effectively connected with the conduct of this trade or business, the Non-U.S. Holder, although exempt from the withholding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discussed in the preceding paragraph, will generally be taxed in the same manner as a U.S. person, subject to an applicable income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treaty providing otherwise, except that the holder will be required to provide to us a properly executed Internal Revenue Service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Form W-8ECI in order to claim an exemption from withholding tax with respect to interest. These holders should consult their own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advisors with respect to other U.S. tax consequences of the ownership and disposition of notes including the possible imposition of an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30% branch profits tax.</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Information returns will be filed with the U.S. Internal Revenue Service in connection with payments on the notes. Unless the Non-U.S. Holder complies with certification procedures to establish that it is not a U.S. person, information returns may be filed with the U.S. Internal Revenue Service in connection with the proceeds from a sale or other disposition and the Non-U.S. Holder may be subject to U.S. backup withholding tax on payments on the notes or on the proceeds from a sale or other disposition of the notes. The certification procedures required to claim the exemption from withholding tax on interest described above will satisfy the certification requirements necessary to avoid the backup withholding tax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Citigroup Global Markets Inc. and Merrill Lynch, Pierce, Fenner &amp; Smith Incorporated are acting as joint book-running managers of the offering and are acting as representatives of the underwriters named below.</w:t>
      </w:r>
    </w:p>
    <w:p>
      <w:pPr>
        <w:spacing w:after="0" w:line="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ectPr>
          <w:pgSz w:w="11900" w:h="16838" w:orient="portrait"/>
          <w:cols w:equalWidth="0" w:num="1">
            <w:col w:w="10460"/>
          </w:cols>
          <w:pgMar w:left="240" w:top="419" w:right="1199" w:bottom="1440" w:gutter="0" w:footer="0" w:header="0"/>
        </w:sectPr>
      </w:pPr>
    </w:p>
    <w:p>
      <w:pPr>
        <w:spacing w:after="0" w:line="348" w:lineRule="exact"/>
        <w:rPr>
          <w:sz w:val="20"/>
          <w:szCs w:val="20"/>
          <w:color w:val="auto"/>
        </w:rPr>
      </w:pPr>
    </w:p>
    <w:p>
      <w:pPr>
        <w:jc w:val="right"/>
        <w:ind w:right="3280"/>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Wachovia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A.G. Edwards &amp; Sons,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RBC Dain Rauscher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H&amp;R Block Financial Advisors,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J.J.B. Hilliard, W.L. Lyons,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Janney Montgomery Scott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7"/>
          <w:szCs w:val="17"/>
          <w:color w:val="auto"/>
        </w:rPr>
        <w:t>KeyBanc Capital Markets, a division of McDonald Investments Inc.</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Charles Schwab &amp; Co.,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TD Ameritrade,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BB&amp;T Capital Markets, a division of Scott &amp; Stringfellow,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Crowell, Weedon &amp; Co.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Davenport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D.A. Davidson &amp; Co.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Doley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Ferris, Baker Watts, Incorporated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Amount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3810</wp:posOffset>
            </wp:positionV>
            <wp:extent cx="6261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8475" w:lineRule="exact"/>
        <w:rPr>
          <w:sz w:val="20"/>
          <w:szCs w:val="20"/>
          <w:color w:val="auto"/>
        </w:rPr>
      </w:pPr>
    </w:p>
    <w:p>
      <w:pPr>
        <w:sectPr>
          <w:pgSz w:w="11900" w:h="16838" w:orient="portrait"/>
          <w:cols w:equalWidth="0" w:num="2">
            <w:col w:w="9020" w:space="720"/>
            <w:col w:w="720"/>
          </w:cols>
          <w:pgMar w:left="240" w:top="419" w:right="11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62"/>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Mesirow Financial,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Morgan Keegan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Pershing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Samuel A. Ramirez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Ryan Beck &amp; Co.,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Stone &amp; Youngberg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SunTrust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Wedbush Morgan Securities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B.C. Ziegler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5715</wp:posOffset>
            </wp:positionV>
            <wp:extent cx="6261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 w:lineRule="exact"/>
        <w:rPr>
          <w:sz w:val="20"/>
          <w:szCs w:val="20"/>
          <w:color w:val="auto"/>
        </w:rPr>
      </w:pPr>
    </w:p>
    <w:p>
      <w:pPr>
        <w:ind w:left="700"/>
        <w:spacing w:after="0"/>
        <w:tabs>
          <w:tab w:leader="none" w:pos="95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3010" cy="163195"/>
                    </a:xfrm>
                    <a:prstGeom prst="rect">
                      <a:avLst/>
                    </a:prstGeom>
                    <a:noFill/>
                  </pic:spPr>
                </pic:pic>
              </a:graphicData>
            </a:graphic>
          </wp:anchor>
        </w:drawing>
      </w:r>
    </w:p>
    <w:p>
      <w:pPr>
        <w:spacing w:after="0" w:line="16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7" w:lineRule="exact"/>
        <w:rPr>
          <w:sz w:val="20"/>
          <w:szCs w:val="20"/>
          <w:color w:val="auto"/>
        </w:rPr>
      </w:pPr>
    </w:p>
    <w:p>
      <w:pPr>
        <w:ind w:left="700" w:right="20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5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notes are being offered for sale in the United States and in jurisdictions outside the United States, subject to applicable law. Each of the underwriters has agreed that it will not offer, sell or deliver any of the notes, directly or indirectly, or distribute this prospectus supplement or the accompanying prospectus or any other offering material relating to the notes, in or from any jurisdiction except under circumstances that will to the best knowledge and belief of such underwriter result in compliance with the applicable laws and regulations thereof and which will not impose any obligations on us except as set forth in the underwriting agreement.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in accordance with the Prospectus Directive, except that it may, with effect from and including the Relevant Implementation Date, make an offer of notes to the public in that Relevant Member State at any time:</w:t>
      </w:r>
    </w:p>
    <w:p>
      <w:pPr>
        <w:spacing w:after="0" w:line="76" w:lineRule="exact"/>
        <w:rPr>
          <w:sz w:val="20"/>
          <w:szCs w:val="20"/>
          <w:color w:val="auto"/>
        </w:rPr>
      </w:pPr>
    </w:p>
    <w:p>
      <w:pPr>
        <w:ind w:left="1480" w:right="620" w:firstLine="372"/>
        <w:spacing w:after="0" w:line="277" w:lineRule="auto"/>
        <w:tabs>
          <w:tab w:leader="none" w:pos="2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2120" w:hanging="268"/>
        <w:spacing w:after="0"/>
        <w:tabs>
          <w:tab w:leader="none" w:pos="2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w:t>
      </w:r>
    </w:p>
    <w:p>
      <w:pPr>
        <w:spacing w:after="0" w:line="46" w:lineRule="exact"/>
        <w:rPr>
          <w:rFonts w:ascii="Arial" w:cs="Arial" w:eastAsia="Arial" w:hAnsi="Arial"/>
          <w:sz w:val="16"/>
          <w:szCs w:val="16"/>
          <w:color w:val="auto"/>
        </w:rPr>
      </w:pPr>
    </w:p>
    <w:p>
      <w:pPr>
        <w:ind w:left="1480" w:right="240" w:firstLine="7"/>
        <w:spacing w:after="0" w:line="261" w:lineRule="auto"/>
        <w:tabs>
          <w:tab w:leader="none" w:pos="1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total balance sheet of more than €43,000,000 and (3) an annual net turnover of more than €50,000,000, as shown in its last annual or consolidated accounts; or</w:t>
      </w:r>
    </w:p>
    <w:p>
      <w:pPr>
        <w:spacing w:after="0" w:line="89" w:lineRule="exact"/>
        <w:rPr>
          <w:rFonts w:ascii="Arial" w:cs="Arial" w:eastAsia="Arial" w:hAnsi="Arial"/>
          <w:sz w:val="18"/>
          <w:szCs w:val="18"/>
          <w:color w:val="auto"/>
        </w:rPr>
      </w:pPr>
    </w:p>
    <w:p>
      <w:pPr>
        <w:ind w:left="1480" w:right="40" w:firstLine="372"/>
        <w:spacing w:after="0" w:line="277" w:lineRule="auto"/>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76"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Hong Kong</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Japan</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Singapore</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may the notes be offered or sold, or be made the subject of an invitation for subscription or purchase, whether directly or indirectly, to persons in Singapore other than:</w:t>
      </w:r>
    </w:p>
    <w:p>
      <w:pPr>
        <w:spacing w:after="0" w:line="76" w:lineRule="exact"/>
        <w:rPr>
          <w:sz w:val="20"/>
          <w:szCs w:val="20"/>
          <w:color w:val="auto"/>
        </w:rPr>
      </w:pPr>
    </w:p>
    <w:p>
      <w:pPr>
        <w:ind w:left="1680" w:hanging="209"/>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Securities and Futures Act, Chapter 289 of Singapore (the “SFA”);</w:t>
      </w:r>
    </w:p>
    <w:p>
      <w:pPr>
        <w:spacing w:after="0" w:line="142" w:lineRule="exact"/>
        <w:rPr>
          <w:rFonts w:ascii="Arial" w:cs="Arial" w:eastAsia="Arial" w:hAnsi="Arial"/>
          <w:sz w:val="17"/>
          <w:szCs w:val="17"/>
          <w:color w:val="auto"/>
        </w:rPr>
      </w:pPr>
    </w:p>
    <w:p>
      <w:pPr>
        <w:ind w:left="1080" w:right="580" w:firstLine="391"/>
        <w:spacing w:after="0" w:line="277" w:lineRule="auto"/>
        <w:tabs>
          <w:tab w:leader="none" w:pos="17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131" w:lineRule="exact"/>
        <w:rPr>
          <w:sz w:val="20"/>
          <w:szCs w:val="20"/>
          <w:color w:val="auto"/>
        </w:rPr>
      </w:pPr>
    </w:p>
    <w:p>
      <w:pPr>
        <w:ind w:left="1080" w:right="280" w:firstLine="391"/>
        <w:spacing w:after="0" w:line="277" w:lineRule="auto"/>
        <w:tabs>
          <w:tab w:leader="none" w:pos="17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80" w:firstLine="391"/>
        <w:spacing w:after="0" w:line="255" w:lineRule="auto"/>
        <w:tabs>
          <w:tab w:leader="none" w:pos="17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Over-Allotment Option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granted to the underwriters an option, exercisable for 15 days from the date of this prospectus supplement, to purchase up</w:t>
      </w:r>
    </w:p>
    <w:p>
      <w:pPr>
        <w:spacing w:after="0" w:line="46" w:lineRule="exact"/>
        <w:rPr>
          <w:sz w:val="20"/>
          <w:szCs w:val="20"/>
          <w:color w:val="auto"/>
        </w:rPr>
      </w:pPr>
    </w:p>
    <w:p>
      <w:pPr>
        <w:ind w:left="700" w:right="20"/>
        <w:spacing w:after="0" w:line="281" w:lineRule="auto"/>
        <w:rPr>
          <w:sz w:val="20"/>
          <w:szCs w:val="20"/>
          <w:color w:val="auto"/>
        </w:rPr>
      </w:pPr>
      <w:r>
        <w:rPr>
          <w:rFonts w:ascii="Arial" w:cs="Arial" w:eastAsia="Arial" w:hAnsi="Arial"/>
          <w:sz w:val="16"/>
          <w:szCs w:val="16"/>
          <w:color w:val="auto"/>
        </w:rPr>
        <w:t>to an additional $ aggregate principal amount of notes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notes approximately proportionate to that underwriter’s initial</w:t>
      </w:r>
    </w:p>
    <w:p>
      <w:pPr>
        <w:spacing w:after="0" w:line="2" w:lineRule="exact"/>
        <w:rPr>
          <w:sz w:val="20"/>
          <w:szCs w:val="20"/>
          <w:color w:val="auto"/>
        </w:rPr>
      </w:pPr>
    </w:p>
    <w:p>
      <w:pPr>
        <w:ind w:left="700"/>
        <w:spacing w:after="0"/>
        <w:tabs>
          <w:tab w:leader="none" w:pos="10060" w:val="left"/>
        </w:tabs>
        <w:rPr>
          <w:sz w:val="20"/>
          <w:szCs w:val="20"/>
          <w:color w:val="auto"/>
        </w:rPr>
      </w:pPr>
      <w:r>
        <w:rPr>
          <w:rFonts w:ascii="Arial" w:cs="Arial" w:eastAsia="Arial" w:hAnsi="Arial"/>
          <w:sz w:val="17"/>
          <w:szCs w:val="17"/>
          <w:color w:val="auto"/>
        </w:rPr>
        <w:t>purchase commitment. If the underwriters exercise their over-allotment option in full the total price to the public would be $</w:t>
      </w:r>
      <w:r>
        <w:rPr>
          <w:sz w:val="20"/>
          <w:szCs w:val="20"/>
          <w:color w:val="auto"/>
        </w:rPr>
        <w:tab/>
      </w:r>
      <w:r>
        <w:rPr>
          <w:rFonts w:ascii="Arial" w:cs="Arial" w:eastAsia="Arial" w:hAnsi="Arial"/>
          <w:sz w:val="16"/>
          <w:szCs w:val="16"/>
          <w:color w:val="auto"/>
        </w:rPr>
        <w:t>, the</w:t>
      </w:r>
    </w:p>
    <w:p>
      <w:pPr>
        <w:spacing w:after="0" w:line="21" w:lineRule="exact"/>
        <w:rPr>
          <w:sz w:val="20"/>
          <w:szCs w:val="20"/>
          <w:color w:val="auto"/>
        </w:rPr>
      </w:pPr>
    </w:p>
    <w:p>
      <w:pPr>
        <w:ind w:left="700"/>
        <w:spacing w:after="0"/>
        <w:tabs>
          <w:tab w:leader="none" w:pos="5320" w:val="left"/>
        </w:tabs>
        <w:rPr>
          <w:sz w:val="20"/>
          <w:szCs w:val="20"/>
          <w:color w:val="auto"/>
        </w:rPr>
      </w:pPr>
      <w:r>
        <w:rPr>
          <w:rFonts w:ascii="Arial" w:cs="Arial" w:eastAsia="Arial" w:hAnsi="Arial"/>
          <w:sz w:val="18"/>
          <w:szCs w:val="18"/>
          <w:color w:val="auto"/>
        </w:rPr>
        <w:t>total underwriting discounts and commissions would be $</w:t>
      </w:r>
      <w:r>
        <w:rPr>
          <w:sz w:val="20"/>
          <w:szCs w:val="20"/>
          <w:color w:val="auto"/>
        </w:rPr>
        <w:tab/>
      </w:r>
      <w:r>
        <w:rPr>
          <w:rFonts w:ascii="Arial" w:cs="Arial" w:eastAsia="Arial" w:hAnsi="Arial"/>
          <w:sz w:val="16"/>
          <w:szCs w:val="16"/>
          <w:color w:val="auto"/>
        </w:rPr>
        <w:t>and the total proceeds, before deducting expenses, to us would be</w:t>
      </w:r>
    </w:p>
    <w:p>
      <w:pPr>
        <w:spacing w:after="0" w:line="9" w:lineRule="exact"/>
        <w:rPr>
          <w:sz w:val="20"/>
          <w:szCs w:val="20"/>
          <w:color w:val="auto"/>
        </w:rPr>
      </w:pPr>
    </w:p>
    <w:p>
      <w:pPr>
        <w:ind w:left="1240" w:hanging="54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w:t>
      </w:r>
    </w:p>
    <w:p>
      <w:pPr>
        <w:spacing w:after="0" w:line="46" w:lineRule="exact"/>
        <w:rPr>
          <w:sz w:val="20"/>
          <w:szCs w:val="20"/>
          <w:color w:val="auto"/>
        </w:rPr>
      </w:pPr>
    </w:p>
    <w:p>
      <w:pPr>
        <w:ind w:left="700"/>
        <w:spacing w:after="0"/>
        <w:tabs>
          <w:tab w:leader="none" w:pos="8040" w:val="left"/>
        </w:tabs>
        <w:rPr>
          <w:sz w:val="20"/>
          <w:szCs w:val="20"/>
          <w:color w:val="auto"/>
        </w:rPr>
      </w:pPr>
      <w:r>
        <w:rPr>
          <w:rFonts w:ascii="Arial" w:cs="Arial" w:eastAsia="Arial" w:hAnsi="Arial"/>
          <w:sz w:val="18"/>
          <w:szCs w:val="18"/>
          <w:color w:val="auto"/>
        </w:rPr>
        <w:t>page of this prospectus supplement, and to dealers at that price less a concession not in excess of $</w:t>
      </w:r>
      <w:r>
        <w:rPr>
          <w:sz w:val="20"/>
          <w:szCs w:val="20"/>
          <w:color w:val="auto"/>
        </w:rPr>
        <w:tab/>
      </w:r>
      <w:r>
        <w:rPr>
          <w:rFonts w:ascii="Arial" w:cs="Arial" w:eastAsia="Arial" w:hAnsi="Arial"/>
          <w:sz w:val="16"/>
          <w:szCs w:val="16"/>
          <w:color w:val="auto"/>
        </w:rPr>
        <w:t>per note for retail orders and</w:t>
      </w:r>
    </w:p>
    <w:p>
      <w:pPr>
        <w:spacing w:after="0" w:line="9" w:lineRule="exact"/>
        <w:rPr>
          <w:sz w:val="20"/>
          <w:szCs w:val="20"/>
          <w:color w:val="auto"/>
        </w:rPr>
      </w:pPr>
    </w:p>
    <w:p>
      <w:pPr>
        <w:ind w:left="700"/>
        <w:spacing w:after="0"/>
        <w:tabs>
          <w:tab w:leader="none" w:pos="1040" w:val="left"/>
          <w:tab w:leader="none" w:pos="9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note for institutional orders. The underwriters may allow, and the dealers may reallow, a discount not in excess of $</w:t>
      </w:r>
      <w:r>
        <w:rPr>
          <w:sz w:val="20"/>
          <w:szCs w:val="20"/>
          <w:color w:val="auto"/>
        </w:rPr>
        <w:tab/>
      </w:r>
      <w:r>
        <w:rPr>
          <w:rFonts w:ascii="Arial" w:cs="Arial" w:eastAsia="Arial" w:hAnsi="Arial"/>
          <w:sz w:val="15"/>
          <w:szCs w:val="15"/>
          <w:color w:val="auto"/>
        </w:rPr>
        <w:t>per note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other dealers. After the initial public offering, the public offering prices, concessions and discounts may be changed.</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expenses of the offering, not including the underwriting discount, are estimated to be $300,000 and are payable by us.</w:t>
      </w:r>
    </w:p>
    <w:p>
      <w:pPr>
        <w:spacing w:after="0" w:line="142"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No Exercise</w:t>
            </w:r>
          </w:p>
        </w:tc>
        <w:tc>
          <w:tcPr>
            <w:tcW w:w="4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Per note (retail orders)</w:t>
            </w:r>
          </w:p>
        </w:tc>
        <w:tc>
          <w:tcPr>
            <w:tcW w:w="36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36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Issue of Notes</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under the symbol “CCS”, and we expect trading in the notes on the New York Stock Exchange to begin within 30 days after the original issue date. We have been advised by the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8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Alternative Settlement Date</w:t>
      </w:r>
    </w:p>
    <w:p>
      <w:pPr>
        <w:spacing w:after="0" w:line="13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Relationships</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and may receive, customary fees and commissions for these transactions.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Dr. Judith Rodin, our director, is a member of the board of directors of Citigroup Inc., an affiliate of Citigroup Global Markets Inc.</w:t>
      </w:r>
    </w:p>
    <w:p>
      <w:pPr>
        <w:spacing w:after="0" w:line="36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jc w:val="both"/>
        <w:ind w:left="700" w:right="360" w:firstLine="397"/>
        <w:spacing w:after="0" w:line="312"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6"/>
          <w:szCs w:val="16"/>
          <w:color w:val="auto"/>
        </w:rPr>
        <w:t>, New York, New York, is representing the underwriters.</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686435</wp:posOffset>
            </wp:positionV>
            <wp:extent cx="6303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163195</wp:posOffset>
            </wp:positionV>
            <wp:extent cx="1431925"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239" w:lineRule="exact"/>
        <w:rPr>
          <w:sz w:val="20"/>
          <w:szCs w:val="20"/>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3"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9" w:lineRule="exact"/>
        <w:rPr>
          <w:rFonts w:ascii="Arial" w:cs="Arial" w:eastAsia="Arial" w:hAnsi="Arial"/>
          <w:sz w:val="18"/>
          <w:szCs w:val="18"/>
          <w:color w:val="auto"/>
        </w:rPr>
      </w:pPr>
    </w:p>
    <w:p>
      <w:pPr>
        <w:ind w:left="1060" w:hanging="1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224" w:lineRule="exact"/>
        <w:rPr>
          <w:sz w:val="20"/>
          <w:szCs w:val="20"/>
          <w:color w:val="auto"/>
        </w:rPr>
      </w:pPr>
    </w:p>
    <w:p>
      <w:pPr>
        <w:ind w:left="700" w:right="380" w:firstLine="225"/>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4"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195" w:lineRule="exact"/>
        <w:rPr>
          <w:sz w:val="20"/>
          <w:szCs w:val="20"/>
          <w:color w:val="auto"/>
        </w:rPr>
      </w:pPr>
    </w:p>
    <w:p>
      <w:pPr>
        <w:ind w:left="700" w:right="340" w:firstLine="222"/>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w w:val="89"/>
              </w:rPr>
              <w:t>Conversion or exchange rights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3580" w:type="dxa"/>
            <w:vAlign w:val="bottom"/>
            <w:gridSpan w:val="2"/>
          </w:tcPr>
          <w:p>
            <w:pPr>
              <w:ind w:left="460"/>
              <w:spacing w:after="0"/>
              <w:rPr>
                <w:sz w:val="20"/>
                <w:szCs w:val="20"/>
                <w:color w:val="auto"/>
              </w:rPr>
            </w:pPr>
            <w:r>
              <w:rPr>
                <w:rFonts w:ascii="Arial" w:cs="Arial" w:eastAsia="Arial" w:hAnsi="Arial"/>
                <w:sz w:val="18"/>
                <w:szCs w:val="18"/>
                <w:color w:val="auto"/>
              </w:rPr>
              <w:t>• Amount payable at maturity</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580" w:type="dxa"/>
            <w:vAlign w:val="bottom"/>
            <w:gridSpan w:val="2"/>
          </w:tcPr>
          <w:p>
            <w:pPr>
              <w:ind w:left="460"/>
              <w:spacing w:after="0"/>
              <w:rPr>
                <w:sz w:val="20"/>
                <w:szCs w:val="20"/>
                <w:color w:val="auto"/>
              </w:rPr>
            </w:pPr>
            <w:r>
              <w:rPr>
                <w:rFonts w:ascii="Arial" w:cs="Arial" w:eastAsia="Arial" w:hAnsi="Arial"/>
                <w:sz w:val="18"/>
                <w:szCs w:val="18"/>
                <w:color w:val="auto"/>
              </w:rPr>
              <w:t>• Dividends</w:t>
            </w: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6303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64" w:lineRule="exact"/>
        <w:rPr>
          <w:sz w:val="20"/>
          <w:szCs w:val="20"/>
          <w:color w:val="auto"/>
        </w:rPr>
      </w:pPr>
    </w:p>
    <w:p>
      <w:pPr>
        <w:ind w:left="700" w:right="160" w:firstLine="225"/>
        <w:spacing w:after="0" w:line="282"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54610</wp:posOffset>
            </wp:positionV>
            <wp:extent cx="6303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28" w:lineRule="exact"/>
        <w:rPr>
          <w:sz w:val="20"/>
          <w:szCs w:val="20"/>
          <w:color w:val="auto"/>
        </w:rPr>
      </w:pPr>
    </w:p>
    <w:p>
      <w:pPr>
        <w:ind w:left="700" w:right="20" w:firstLine="225"/>
        <w:spacing w:after="0" w:line="347" w:lineRule="auto"/>
        <w:rPr>
          <w:sz w:val="20"/>
          <w:szCs w:val="20"/>
          <w:color w:val="auto"/>
        </w:rPr>
      </w:pPr>
      <w:r>
        <w:rPr>
          <w:rFonts w:ascii="Arial" w:cs="Arial" w:eastAsia="Arial" w:hAnsi="Arial"/>
          <w:sz w:val="16"/>
          <w:szCs w:val="16"/>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303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0" w:lineRule="exact"/>
        <w:rPr>
          <w:sz w:val="20"/>
          <w:szCs w:val="20"/>
          <w:color w:val="auto"/>
        </w:rPr>
      </w:pPr>
    </w:p>
    <w:p>
      <w:pPr>
        <w:ind w:left="700" w:firstLine="222"/>
        <w:spacing w:after="0" w:line="286"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410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10972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284"/>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950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The Companies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Caution Concerning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60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Ratios of Earnings to Fixed Charges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Ratio of Earnings to Combined Fixed Charges and Preferred Dividends</w:t>
              </w:r>
            </w:hyperlink>
          </w:p>
        </w:tc>
        <w:tc>
          <w:tcPr>
            <w:tcW w:w="4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Cable Guarantees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7"/>
          </w:tcPr>
          <w:p>
            <w:pPr>
              <w:spacing w:after="0"/>
              <w:rPr>
                <w:sz w:val="17"/>
                <w:szCs w:val="17"/>
                <w:color w:val="auto"/>
              </w:rPr>
            </w:pPr>
          </w:p>
        </w:tc>
        <w:tc>
          <w:tcPr>
            <w:tcW w:w="5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7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4"/>
          </w:tcPr>
          <w:p>
            <w:pPr>
              <w:spacing w:after="0"/>
              <w:rPr>
                <w:sz w:val="17"/>
                <w:szCs w:val="17"/>
                <w:color w:val="auto"/>
              </w:rPr>
            </w:pPr>
          </w:p>
        </w:tc>
        <w:tc>
          <w:tcPr>
            <w:tcW w:w="80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Incorporation of Certain Documents by Reference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9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931" w:right="11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COMPANIES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94"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6"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Our Cable segment develops, manages and operates our broadband cable systems, including video, high-speed Internet and phone services.</w:t>
      </w:r>
    </w:p>
    <w:p>
      <w:pPr>
        <w:spacing w:after="0" w:line="76" w:lineRule="exact"/>
        <w:rPr>
          <w:sz w:val="20"/>
          <w:szCs w:val="20"/>
          <w:color w:val="auto"/>
        </w:rPr>
      </w:pPr>
    </w:p>
    <w:p>
      <w:pPr>
        <w:ind w:left="920" w:right="360" w:firstLine="397"/>
        <w:spacing w:after="0" w:line="277"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6" w:lineRule="exact"/>
        <w:rPr>
          <w:sz w:val="20"/>
          <w:szCs w:val="20"/>
          <w:color w:val="auto"/>
        </w:rPr>
      </w:pPr>
    </w:p>
    <w:p>
      <w:pPr>
        <w:ind w:left="920" w:right="160" w:firstLine="397"/>
        <w:spacing w:after="0" w:line="308" w:lineRule="auto"/>
        <w:rPr>
          <w:sz w:val="20"/>
          <w:szCs w:val="20"/>
          <w:color w:val="auto"/>
        </w:rPr>
      </w:pPr>
      <w:r>
        <w:rPr>
          <w:rFonts w:ascii="Arial" w:cs="Arial" w:eastAsia="Arial" w:hAnsi="Arial"/>
          <w:sz w:val="17"/>
          <w:szCs w:val="17"/>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52" w:lineRule="exact"/>
        <w:rPr>
          <w:sz w:val="20"/>
          <w:szCs w:val="20"/>
          <w:color w:val="auto"/>
        </w:rPr>
      </w:pPr>
    </w:p>
    <w:p>
      <w:pPr>
        <w:jc w:val="both"/>
        <w:ind w:left="920" w:right="260" w:firstLine="397"/>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the accompanying prospectus.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right="80" w:firstLine="397"/>
        <w:spacing w:after="0" w:line="273" w:lineRule="auto"/>
        <w:rPr>
          <w:sz w:val="20"/>
          <w:szCs w:val="20"/>
          <w:color w:val="auto"/>
        </w:rPr>
      </w:pPr>
      <w:r>
        <w:rPr>
          <w:rFonts w:ascii="Arial" w:cs="Arial" w:eastAsia="Arial" w:hAnsi="Arial"/>
          <w:sz w:val="17"/>
          <w:szCs w:val="17"/>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620" w:hanging="293"/>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620" w:right="120" w:hanging="293"/>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31" w:lineRule="exact"/>
        <w:rPr>
          <w:sz w:val="20"/>
          <w:szCs w:val="20"/>
          <w:color w:val="auto"/>
        </w:rPr>
      </w:pPr>
    </w:p>
    <w:p>
      <w:pPr>
        <w:ind w:left="920" w:right="140" w:firstLine="397"/>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2001 and a wholly-owned subsidiary of ours.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Holdings is a Delaware limited liability company (formerly known as AT&amp;T Broadband, LLC) formed in 1994.</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Cable Holdings is a wholly-owned subsidiary of Comcast Cable Communications Holdings.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31" w:lineRule="exact"/>
        <w:rPr>
          <w:sz w:val="20"/>
          <w:szCs w:val="20"/>
          <w:color w:val="auto"/>
        </w:rPr>
      </w:pPr>
    </w:p>
    <w:p>
      <w:pPr>
        <w:ind w:left="920" w:right="120" w:firstLine="397"/>
        <w:spacing w:after="0" w:line="277"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31" w:lineRule="exact"/>
        <w:rPr>
          <w:sz w:val="20"/>
          <w:szCs w:val="20"/>
          <w:color w:val="auto"/>
        </w:rPr>
      </w:pPr>
    </w:p>
    <w:p>
      <w:pPr>
        <w:ind w:left="920" w:right="400" w:firstLine="397"/>
        <w:spacing w:after="0" w:line="308" w:lineRule="auto"/>
        <w:rPr>
          <w:sz w:val="20"/>
          <w:szCs w:val="20"/>
          <w:color w:val="auto"/>
        </w:rPr>
      </w:pPr>
      <w:r>
        <w:rPr>
          <w:rFonts w:ascii="Arial" w:cs="Arial" w:eastAsia="Arial" w:hAnsi="Arial"/>
          <w:sz w:val="17"/>
          <w:szCs w:val="17"/>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17" w:lineRule="exact"/>
        <w:rPr>
          <w:sz w:val="20"/>
          <w:szCs w:val="20"/>
          <w:color w:val="auto"/>
        </w:rPr>
      </w:pPr>
    </w:p>
    <w:p>
      <w:pPr>
        <w:ind w:left="920" w:firstLine="397"/>
        <w:spacing w:after="0" w:line="26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ectPr>
          <w:pgSz w:w="11900" w:h="16838" w:orient="portrait"/>
          <w:cols w:equalWidth="0" w:num="1">
            <w:col w:w="10600"/>
          </w:cols>
          <w:pgMar w:left="240" w:top="41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1080" w:right="2260" w:firstLine="1916"/>
        <w:spacing w:after="0" w:line="393"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1400" w:right="12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17" w:lineRule="exact"/>
        <w:rPr>
          <w:rFonts w:ascii="Arial" w:cs="Arial" w:eastAsia="Arial" w:hAnsi="Arial"/>
          <w:sz w:val="18"/>
          <w:szCs w:val="18"/>
          <w:color w:val="auto"/>
        </w:rPr>
      </w:pPr>
    </w:p>
    <w:p>
      <w:pPr>
        <w:ind w:left="1400" w:right="66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62" w:lineRule="exact"/>
        <w:rPr>
          <w:rFonts w:ascii="Arial" w:cs="Arial" w:eastAsia="Arial" w:hAnsi="Arial"/>
          <w:sz w:val="18"/>
          <w:szCs w:val="18"/>
          <w:color w:val="auto"/>
        </w:rPr>
      </w:pPr>
    </w:p>
    <w:p>
      <w:pPr>
        <w:ind w:left="1400" w:right="32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62" w:lineRule="exact"/>
        <w:rPr>
          <w:rFonts w:ascii="Arial" w:cs="Arial" w:eastAsia="Arial" w:hAnsi="Arial"/>
          <w:sz w:val="18"/>
          <w:szCs w:val="18"/>
          <w:color w:val="auto"/>
        </w:rPr>
      </w:pPr>
    </w:p>
    <w:p>
      <w:pPr>
        <w:ind w:left="1400" w:right="38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6"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 1A — Risk Factors” in our Annual Report on Form 10-K for the year ended December 31, 2005 incorporated herein by reference.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Those factors may cause our actual results to differ materially from any of our forward-looking statements.</w:t>
      </w:r>
    </w:p>
    <w:p>
      <w:pPr>
        <w:spacing w:after="0" w:line="32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43" w:lineRule="exact"/>
        <w:rPr>
          <w:sz w:val="20"/>
          <w:szCs w:val="20"/>
          <w:color w:val="auto"/>
        </w:rPr>
      </w:pPr>
    </w:p>
    <w:p>
      <w:pPr>
        <w:jc w:val="right"/>
        <w:ind w:left="1080" w:right="3000"/>
        <w:spacing w:after="0" w:line="396"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Our ratio of earnings to fixed charges was as follows for the respective periods indicated:</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4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2001</w:t>
            </w:r>
          </w:p>
        </w:tc>
      </w:tr>
      <w:tr>
        <w:trPr>
          <w:trHeight w:val="244"/>
        </w:trPr>
        <w:tc>
          <w:tcPr>
            <w:tcW w:w="4660" w:type="dxa"/>
            <w:vAlign w:val="bottom"/>
          </w:tcPr>
          <w:p>
            <w:pPr>
              <w:spacing w:after="0"/>
              <w:rPr>
                <w:sz w:val="20"/>
                <w:szCs w:val="20"/>
                <w:color w:val="auto"/>
              </w:rPr>
            </w:pPr>
            <w:r>
              <w:rPr>
                <w:rFonts w:ascii="Arial" w:cs="Arial" w:eastAsia="Arial" w:hAnsi="Arial"/>
                <w:sz w:val="16"/>
                <w:szCs w:val="16"/>
                <w:color w:val="auto"/>
              </w:rPr>
              <w:t>2.01x</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1.97x</w:t>
            </w:r>
          </w:p>
        </w:tc>
        <w:tc>
          <w:tcPr>
            <w:tcW w:w="22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—(1)</w:t>
            </w: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13804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8" w:lineRule="exact"/>
        <w:rPr>
          <w:sz w:val="20"/>
          <w:szCs w:val="20"/>
          <w:color w:val="auto"/>
        </w:rPr>
      </w:pPr>
    </w:p>
    <w:p>
      <w:pPr>
        <w:ind w:left="1100" w:right="180" w:hanging="407"/>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fixed charges.</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w:t>
      </w:r>
    </w:p>
    <w:p>
      <w:pPr>
        <w:spacing w:after="0" w:line="3" w:lineRule="exact"/>
        <w:rPr>
          <w:sz w:val="20"/>
          <w:szCs w:val="20"/>
          <w:color w:val="auto"/>
        </w:rPr>
      </w:pPr>
    </w:p>
    <w:p>
      <w:pPr>
        <w:ind w:left="700" w:right="500" w:hanging="7"/>
        <w:spacing w:after="0" w:line="261" w:lineRule="auto"/>
        <w:tabs>
          <w:tab w:leader="none" w:pos="9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preference security dividend requirements of our consolidated subsidiaries. Preferred security dividend is the amount of pre-tax earnings that is required to pay the dividends on outstanding preference securities.</w:t>
      </w:r>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PREFERRED DIVIDENDS</w:t>
      </w:r>
    </w:p>
    <w:p>
      <w:pPr>
        <w:spacing w:after="0" w:line="121"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92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w w:val="83"/>
              </w:rPr>
              <w:t>2005</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2004</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2003</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2002</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2001</w:t>
            </w:r>
          </w:p>
        </w:tc>
      </w:tr>
      <w:tr>
        <w:trPr>
          <w:trHeight w:val="264"/>
        </w:trPr>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rPr>
              <w:t>2.01x</w:t>
            </w:r>
          </w:p>
        </w:tc>
        <w:tc>
          <w:tcPr>
            <w:tcW w:w="164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68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13804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2" w:lineRule="exact"/>
        <w:rPr>
          <w:sz w:val="20"/>
          <w:szCs w:val="20"/>
          <w:color w:val="auto"/>
        </w:rPr>
      </w:pPr>
    </w:p>
    <w:p>
      <w:pPr>
        <w:ind w:left="1100" w:right="240" w:hanging="407"/>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6"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w:t>
      </w:r>
    </w:p>
    <w:p>
      <w:pPr>
        <w:spacing w:after="0" w:line="76" w:lineRule="exact"/>
        <w:rPr>
          <w:sz w:val="20"/>
          <w:szCs w:val="20"/>
          <w:color w:val="auto"/>
        </w:rPr>
      </w:pPr>
    </w:p>
    <w:p>
      <w:pPr>
        <w:ind w:left="1400" w:right="240" w:hanging="302"/>
        <w:spacing w:after="0" w:line="342" w:lineRule="auto"/>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15" w:lineRule="exact"/>
        <w:rPr>
          <w:rFonts w:ascii="Arial" w:cs="Arial" w:eastAsia="Arial" w:hAnsi="Arial"/>
          <w:sz w:val="16"/>
          <w:szCs w:val="16"/>
          <w:color w:val="auto"/>
        </w:rPr>
      </w:pPr>
    </w:p>
    <w:p>
      <w:pPr>
        <w:ind w:left="1400" w:hanging="302"/>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6"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99"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00" w:right="100" w:hanging="302"/>
        <w:spacing w:after="0" w:line="264"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17" w:lineRule="exact"/>
        <w:rPr>
          <w:rFonts w:ascii="Arial" w:cs="Arial" w:eastAsia="Arial" w:hAnsi="Arial"/>
          <w:sz w:val="18"/>
          <w:szCs w:val="18"/>
          <w:color w:val="auto"/>
        </w:rPr>
      </w:pPr>
    </w:p>
    <w:p>
      <w:pPr>
        <w:ind w:left="1400" w:right="42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62" w:lineRule="exact"/>
        <w:rPr>
          <w:rFonts w:ascii="Arial" w:cs="Arial" w:eastAsia="Arial" w:hAnsi="Arial"/>
          <w:sz w:val="18"/>
          <w:szCs w:val="18"/>
          <w:color w:val="auto"/>
        </w:rPr>
      </w:pPr>
    </w:p>
    <w:p>
      <w:pPr>
        <w:ind w:left="1400" w:right="40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2" w:lineRule="exact"/>
        <w:rPr>
          <w:rFonts w:ascii="Arial" w:cs="Arial" w:eastAsia="Arial" w:hAnsi="Arial"/>
          <w:sz w:val="18"/>
          <w:szCs w:val="18"/>
          <w:color w:val="auto"/>
        </w:rPr>
      </w:pPr>
    </w:p>
    <w:p>
      <w:pPr>
        <w:ind w:left="1400" w:right="52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2" w:lineRule="exact"/>
        <w:rPr>
          <w:rFonts w:ascii="Arial" w:cs="Arial" w:eastAsia="Arial" w:hAnsi="Arial"/>
          <w:sz w:val="18"/>
          <w:szCs w:val="18"/>
          <w:color w:val="auto"/>
        </w:rPr>
      </w:pPr>
    </w:p>
    <w:p>
      <w:pPr>
        <w:ind w:left="1400" w:right="36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17" w:lineRule="exact"/>
        <w:rPr>
          <w:rFonts w:ascii="Arial" w:cs="Arial" w:eastAsia="Arial" w:hAnsi="Arial"/>
          <w:sz w:val="18"/>
          <w:szCs w:val="18"/>
          <w:color w:val="auto"/>
        </w:rPr>
      </w:pPr>
    </w:p>
    <w:p>
      <w:pPr>
        <w:ind w:left="1400" w:right="180" w:hanging="302"/>
        <w:spacing w:after="0" w:line="308"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52"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5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40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3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Limitation on Liens Securing Indebtedness. </w:t>
      </w:r>
      <w:r>
        <w:rPr>
          <w:rFonts w:ascii="Arial" w:cs="Arial" w:eastAsia="Arial" w:hAnsi="Arial"/>
          <w:sz w:val="16"/>
          <w:szCs w:val="16"/>
          <w:color w:val="auto"/>
        </w:rPr>
        <w:t>Neither we nor any cable guarantor shall create, incur or assume any Lien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any Permitted Lien) on 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60"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i w:val="1"/>
          <w:iCs w:val="1"/>
          <w:color w:val="auto"/>
        </w:rPr>
        <w:t xml:space="preserve">Limitation on Sale and Leaseback Transactions. </w:t>
      </w:r>
      <w:r>
        <w:rPr>
          <w:rFonts w:ascii="Arial" w:cs="Arial" w:eastAsia="Arial" w:hAnsi="Arial"/>
          <w:sz w:val="16"/>
          <w:szCs w:val="16"/>
          <w:color w:val="auto"/>
        </w:rPr>
        <w:t>Neither we nor any cable guarantor shall enter into any Sale and Leaseback</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any of such person’s assets, including the Capital Stock of such person’s wholly-owned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31" w:lineRule="exact"/>
        <w:rPr>
          <w:sz w:val="20"/>
          <w:szCs w:val="20"/>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the applicable cable guarantor, within 270 days after the sale is completed, applies an amount equal to or greater than</w:t>
      </w:r>
    </w:p>
    <w:p>
      <w:pPr>
        <w:spacing w:after="0" w:line="46" w:lineRule="exact"/>
        <w:rPr>
          <w:rFonts w:ascii="Arial" w:cs="Arial" w:eastAsia="Arial" w:hAnsi="Arial"/>
          <w:sz w:val="16"/>
          <w:szCs w:val="16"/>
          <w:color w:val="auto"/>
        </w:rPr>
      </w:pPr>
    </w:p>
    <w:p>
      <w:pPr>
        <w:ind w:left="1400" w:right="20"/>
        <w:spacing w:after="0" w:line="261" w:lineRule="auto"/>
        <w:rPr>
          <w:rFonts w:ascii="Arial" w:cs="Arial" w:eastAsia="Arial" w:hAnsi="Arial"/>
          <w:sz w:val="16"/>
          <w:szCs w:val="16"/>
          <w:color w:val="auto"/>
        </w:rPr>
      </w:pPr>
      <w:r>
        <w:rPr>
          <w:rFonts w:ascii="Arial" w:cs="Arial" w:eastAsia="Arial" w:hAnsi="Arial"/>
          <w:sz w:val="18"/>
          <w:szCs w:val="18"/>
          <w:color w:val="auto"/>
        </w:rPr>
        <w:t>(a) the net proceeds of the sale of the assets or part thereof leased or (b) the fair market value of the assets or part thereof leased (as determined in good faith by our Board of Directors) either to:</w:t>
      </w:r>
    </w:p>
    <w:p>
      <w:pPr>
        <w:spacing w:after="0" w:line="89" w:lineRule="exact"/>
        <w:rPr>
          <w:sz w:val="20"/>
          <w:szCs w:val="20"/>
          <w:color w:val="auto"/>
        </w:rPr>
      </w:pPr>
    </w:p>
    <w:p>
      <w:pPr>
        <w:ind w:left="1780" w:right="220" w:hanging="385"/>
        <w:spacing w:after="0" w:line="251" w:lineRule="auto"/>
        <w:tabs>
          <w:tab w:leader="none" w:pos="1780"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retirement (or open market purchase) of senior debt securities, our other long-term Indebtedness ranking on a parity with or senior to the senior debt securities or long-term Indebtedness of a cable guarantor; or</w:t>
      </w:r>
    </w:p>
    <w:p>
      <w:pPr>
        <w:spacing w:after="0" w:line="83" w:lineRule="exact"/>
        <w:rPr>
          <w:rFonts w:ascii="Arial" w:cs="Arial" w:eastAsia="Arial" w:hAnsi="Arial"/>
          <w:sz w:val="21"/>
          <w:szCs w:val="21"/>
          <w:color w:val="auto"/>
        </w:rPr>
      </w:pPr>
    </w:p>
    <w:p>
      <w:pPr>
        <w:ind w:left="1780" w:right="140" w:hanging="385"/>
        <w:spacing w:after="0" w:line="251" w:lineRule="auto"/>
        <w:tabs>
          <w:tab w:leader="none" w:pos="1780"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97"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314" w:lineRule="auto"/>
        <w:rPr>
          <w:sz w:val="20"/>
          <w:szCs w:val="20"/>
          <w:color w:val="auto"/>
        </w:rPr>
      </w:pPr>
      <w:r>
        <w:rPr>
          <w:rFonts w:ascii="Arial" w:cs="Arial" w:eastAsia="Arial" w:hAnsi="Arial"/>
          <w:sz w:val="16"/>
          <w:szCs w:val="16"/>
          <w:b w:val="1"/>
          <w:bCs w:val="1"/>
          <w:color w:val="auto"/>
        </w:rPr>
        <w:t xml:space="preserve">“Capitalized Lease” </w:t>
      </w:r>
      <w:r>
        <w:rPr>
          <w:rFonts w:ascii="Arial" w:cs="Arial" w:eastAsia="Arial" w:hAnsi="Arial"/>
          <w:sz w:val="16"/>
          <w:szCs w:val="16"/>
          <w:color w:val="auto"/>
        </w:rPr>
        <w:t>means, as applied to any person, any lease of any property (whether real, personal, or mixed) of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48"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with respect to any person, any and all shares, interests, participations, or other equivalents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whether voting or nonvoting) of such person’s capital stock or other ownership interests, whether outstanding as of, or issued after, the date of the senior indenture, including, without limitation, all common stock and preferred stock.</w:t>
      </w:r>
    </w:p>
    <w:p>
      <w:pPr>
        <w:spacing w:after="0" w:line="64" w:lineRule="exact"/>
        <w:rPr>
          <w:sz w:val="20"/>
          <w:szCs w:val="20"/>
          <w:color w:val="auto"/>
        </w:rPr>
      </w:pPr>
    </w:p>
    <w:p>
      <w:pPr>
        <w:ind w:left="700" w:right="880" w:firstLine="397"/>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designed to protect against the fluctuation in currency values.</w:t>
      </w:r>
    </w:p>
    <w:p>
      <w:pPr>
        <w:spacing w:after="0" w:line="67"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generally accepted accounting principles in the United States of America as in effect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60" w:lineRule="exact"/>
        <w:rPr>
          <w:sz w:val="20"/>
          <w:szCs w:val="20"/>
          <w:color w:val="auto"/>
        </w:rPr>
      </w:pPr>
    </w:p>
    <w:p>
      <w:pPr>
        <w:jc w:val="both"/>
        <w:ind w:left="700" w:right="80" w:firstLine="397"/>
        <w:spacing w:after="0" w:line="266" w:lineRule="auto"/>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any obligation, contingent or otherwise, of any person directly or indirectly guaranteeing any Indebtedness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of any other person and, without limiting the generality of the foregoing, any obligation, direct or indirect, contingent or otherwise, of such person:</w:t>
      </w:r>
    </w:p>
    <w:p>
      <w:pPr>
        <w:spacing w:after="0" w:line="86" w:lineRule="exact"/>
        <w:rPr>
          <w:sz w:val="20"/>
          <w:szCs w:val="20"/>
          <w:color w:val="auto"/>
        </w:rPr>
      </w:pPr>
    </w:p>
    <w:p>
      <w:pPr>
        <w:jc w:val="both"/>
        <w:ind w:left="1400" w:right="220" w:hanging="302"/>
        <w:spacing w:after="0" w:line="286" w:lineRule="auto"/>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7" w:lineRule="exact"/>
        <w:rPr>
          <w:rFonts w:ascii="Arial" w:cs="Arial" w:eastAsia="Arial" w:hAnsi="Arial"/>
          <w:sz w:val="17"/>
          <w:szCs w:val="17"/>
          <w:color w:val="auto"/>
        </w:rPr>
      </w:pPr>
    </w:p>
    <w:p>
      <w:pPr>
        <w:ind w:left="1400" w:right="200" w:hanging="302"/>
        <w:spacing w:after="0" w:line="277"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6"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35" w:lineRule="exact"/>
        <w:rPr>
          <w:sz w:val="20"/>
          <w:szCs w:val="20"/>
          <w:color w:val="auto"/>
        </w:rPr>
      </w:pPr>
    </w:p>
    <w:p>
      <w:pPr>
        <w:ind w:left="1400" w:hanging="302"/>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17" w:lineRule="exact"/>
        <w:rPr>
          <w:rFonts w:ascii="Arial" w:cs="Arial" w:eastAsia="Arial" w:hAnsi="Arial"/>
          <w:sz w:val="18"/>
          <w:szCs w:val="18"/>
          <w:color w:val="auto"/>
        </w:rPr>
      </w:pPr>
    </w:p>
    <w:p>
      <w:pPr>
        <w:ind w:left="1400" w:right="240" w:hanging="302"/>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in respect of letters of credit or other similar instruments (including reimbursement obligations with respect thereto);</w:t>
      </w:r>
    </w:p>
    <w:p>
      <w:pPr>
        <w:spacing w:after="0" w:line="62" w:lineRule="exact"/>
        <w:rPr>
          <w:rFonts w:ascii="Arial" w:cs="Arial" w:eastAsia="Arial" w:hAnsi="Arial"/>
          <w:sz w:val="18"/>
          <w:szCs w:val="18"/>
          <w:color w:val="auto"/>
        </w:rPr>
      </w:pPr>
    </w:p>
    <w:p>
      <w:pPr>
        <w:ind w:left="1400" w:right="620" w:hanging="302"/>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3" w:lineRule="exact"/>
        <w:rPr>
          <w:sz w:val="20"/>
          <w:szCs w:val="20"/>
          <w:color w:val="auto"/>
        </w:rPr>
      </w:pPr>
    </w:p>
    <w:p>
      <w:pPr>
        <w:ind w:left="1780" w:hanging="385"/>
        <w:spacing w:after="0"/>
        <w:tabs>
          <w:tab w:leader="none" w:pos="17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fair market value of such asset at such date of determination; and</w:t>
      </w:r>
    </w:p>
    <w:p>
      <w:pPr>
        <w:spacing w:after="0" w:line="112" w:lineRule="exact"/>
        <w:rPr>
          <w:sz w:val="20"/>
          <w:szCs w:val="20"/>
          <w:color w:val="auto"/>
        </w:rPr>
      </w:pPr>
    </w:p>
    <w:p>
      <w:pPr>
        <w:ind w:left="2080" w:hanging="293"/>
        <w:spacing w:after="0"/>
        <w:tabs>
          <w:tab w:leader="none" w:pos="20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134" w:lineRule="exact"/>
        <w:rPr>
          <w:sz w:val="20"/>
          <w:szCs w:val="20"/>
          <w:color w:val="auto"/>
        </w:rPr>
      </w:pPr>
    </w:p>
    <w:p>
      <w:pPr>
        <w:ind w:left="2080" w:hanging="293"/>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30" w:lineRule="exact"/>
        <w:rPr>
          <w:rFonts w:ascii="Arial" w:cs="Arial" w:eastAsia="Arial" w:hAnsi="Arial"/>
          <w:sz w:val="18"/>
          <w:szCs w:val="18"/>
          <w:color w:val="auto"/>
        </w:rPr>
      </w:pPr>
    </w:p>
    <w:p>
      <w:pPr>
        <w:ind w:left="1400" w:hanging="302"/>
        <w:spacing w:after="0"/>
        <w:tabs>
          <w:tab w:leader="none" w:pos="1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obligations under Currency Agreements and Interest Rate Agreements.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87" w:lineRule="exact"/>
        <w:rPr>
          <w:sz w:val="20"/>
          <w:szCs w:val="20"/>
          <w:color w:val="auto"/>
        </w:rPr>
      </w:pPr>
    </w:p>
    <w:p>
      <w:pPr>
        <w:ind w:left="1400" w:right="400" w:hanging="302"/>
        <w:spacing w:after="0" w:line="264"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27" w:lineRule="exact"/>
        <w:rPr>
          <w:sz w:val="20"/>
          <w:szCs w:val="20"/>
          <w:color w:val="auto"/>
        </w:rPr>
      </w:pPr>
    </w:p>
    <w:p>
      <w:pPr>
        <w:ind w:left="700" w:right="100" w:firstLine="397"/>
        <w:spacing w:after="0" w:line="292"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67" w:lineRule="exact"/>
        <w:rPr>
          <w:sz w:val="20"/>
          <w:szCs w:val="20"/>
          <w:color w:val="auto"/>
        </w:rPr>
      </w:pPr>
    </w:p>
    <w:p>
      <w:pPr>
        <w:ind w:left="700" w:firstLine="397"/>
        <w:spacing w:after="0" w:line="303" w:lineRule="auto"/>
        <w:rPr>
          <w:sz w:val="20"/>
          <w:szCs w:val="20"/>
          <w:color w:val="auto"/>
        </w:rPr>
      </w:pPr>
      <w:r>
        <w:rPr>
          <w:rFonts w:ascii="Arial" w:cs="Arial" w:eastAsia="Arial" w:hAnsi="Arial"/>
          <w:sz w:val="16"/>
          <w:szCs w:val="16"/>
          <w:b w:val="1"/>
          <w:bCs w:val="1"/>
          <w:color w:val="auto"/>
        </w:rPr>
        <w:t xml:space="preserve">“Lien” </w:t>
      </w:r>
      <w:r>
        <w:rPr>
          <w:rFonts w:ascii="Arial" w:cs="Arial" w:eastAsia="Arial" w:hAnsi="Arial"/>
          <w:sz w:val="16"/>
          <w:szCs w:val="16"/>
          <w:color w:val="auto"/>
        </w:rPr>
        <w:t>means, with respect to any asset, any mortgage, lien, pledge, charge, security interest or encumbrance of any kind,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35" w:lineRule="exact"/>
        <w:rPr>
          <w:sz w:val="20"/>
          <w:szCs w:val="20"/>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17" w:lineRule="exact"/>
        <w:rPr>
          <w:rFonts w:ascii="Arial" w:cs="Arial" w:eastAsia="Arial" w:hAnsi="Arial"/>
          <w:sz w:val="18"/>
          <w:szCs w:val="18"/>
          <w:color w:val="auto"/>
        </w:rPr>
      </w:pPr>
    </w:p>
    <w:p>
      <w:pPr>
        <w:ind w:left="1400" w:right="120" w:hanging="302"/>
        <w:spacing w:after="0" w:line="276" w:lineRule="auto"/>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4" w:lineRule="exact"/>
        <w:rPr>
          <w:rFonts w:ascii="Arial" w:cs="Arial" w:eastAsia="Arial" w:hAnsi="Arial"/>
          <w:sz w:val="17"/>
          <w:szCs w:val="17"/>
          <w:color w:val="auto"/>
        </w:rPr>
      </w:pPr>
    </w:p>
    <w:p>
      <w:pPr>
        <w:ind w:left="1400" w:hanging="302"/>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17"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62" w:lineRule="exact"/>
        <w:rPr>
          <w:rFonts w:ascii="Arial" w:cs="Arial" w:eastAsia="Arial" w:hAnsi="Arial"/>
          <w:sz w:val="18"/>
          <w:szCs w:val="18"/>
          <w:color w:val="auto"/>
        </w:rPr>
      </w:pPr>
    </w:p>
    <w:p>
      <w:pPr>
        <w:ind w:left="1400" w:right="260" w:hanging="302"/>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62" w:lineRule="exact"/>
        <w:rPr>
          <w:rFonts w:ascii="Arial" w:cs="Arial" w:eastAsia="Arial" w:hAnsi="Arial"/>
          <w:sz w:val="18"/>
          <w:szCs w:val="18"/>
          <w:color w:val="auto"/>
        </w:rPr>
      </w:pPr>
    </w:p>
    <w:p>
      <w:pPr>
        <w:jc w:val="both"/>
        <w:ind w:left="1400" w:right="580" w:hanging="302"/>
        <w:spacing w:after="0" w:line="312" w:lineRule="auto"/>
        <w:tabs>
          <w:tab w:leader="none" w:pos="1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48"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providing for the leasing to us or a cable guarantor of any property, whether owned by us or such cable guarantor at the date of the original issuance of the debt securities or later acquired,</w:t>
      </w: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the 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9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The senior indenture restricts our ability to consolidate with, merge with or into, or sell,</w:t>
      </w:r>
      <w:r>
        <w:rPr>
          <w:rFonts w:ascii="Arial" w:cs="Arial" w:eastAsia="Arial" w:hAnsi="Arial"/>
          <w:sz w:val="17"/>
          <w:szCs w:val="17"/>
          <w:i w:val="1"/>
          <w:iCs w:val="1"/>
          <w:color w:val="auto"/>
        </w:rPr>
        <w:t xml:space="preserve"> </w:t>
      </w:r>
      <w:r>
        <w:rPr>
          <w:rFonts w:ascii="Arial" w:cs="Arial" w:eastAsia="Arial" w:hAnsi="Arial"/>
          <w:sz w:val="17"/>
          <w:szCs w:val="17"/>
          <w:color w:val="auto"/>
        </w:rPr>
        <w:t>convey, transfer, lease, or 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78" w:lineRule="exact"/>
        <w:rPr>
          <w:sz w:val="20"/>
          <w:szCs w:val="20"/>
          <w:color w:val="auto"/>
        </w:rPr>
      </w:pPr>
    </w:p>
    <w:p>
      <w:pPr>
        <w:ind w:left="1400" w:right="180" w:hanging="302"/>
        <w:spacing w:after="0" w:line="302" w:lineRule="auto"/>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46" w:lineRule="exact"/>
        <w:rPr>
          <w:rFonts w:ascii="Arial" w:cs="Arial" w:eastAsia="Arial" w:hAnsi="Arial"/>
          <w:sz w:val="16"/>
          <w:szCs w:val="16"/>
          <w:color w:val="auto"/>
        </w:rPr>
      </w:pPr>
    </w:p>
    <w:p>
      <w:pPr>
        <w:ind w:left="1400" w:hanging="302"/>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140" w:lineRule="exact"/>
        <w:rPr>
          <w:rFonts w:ascii="Arial" w:cs="Arial" w:eastAsia="Arial" w:hAnsi="Arial"/>
          <w:sz w:val="16"/>
          <w:szCs w:val="16"/>
          <w:color w:val="auto"/>
        </w:rPr>
      </w:pPr>
    </w:p>
    <w:p>
      <w:pPr>
        <w:ind w:left="1400" w:right="160" w:hanging="302"/>
        <w:spacing w:after="0" w:line="286" w:lineRule="auto"/>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w:t>
      </w:r>
      <w:r>
        <w:rPr>
          <w:rFonts w:ascii="Arial" w:cs="Arial" w:eastAsia="Arial" w:hAnsi="Arial"/>
          <w:sz w:val="18"/>
          <w:szCs w:val="18"/>
          <w:i w:val="1"/>
          <w:iCs w:val="1"/>
          <w:color w:val="auto"/>
        </w:rPr>
        <w:t xml:space="preserve"> </w:t>
      </w:r>
      <w:r>
        <w:rPr>
          <w:rFonts w:ascii="Arial" w:cs="Arial" w:eastAsia="Arial" w:hAnsi="Arial"/>
          <w:sz w:val="18"/>
          <w:szCs w:val="18"/>
          <w:color w:val="auto"/>
        </w:rPr>
        <w:t>board resolution, the principal purpose of such transaction is to change our state of incorporation; and provided further that any such transaction shall not have as one of its purposes the evasion of the foregoing limitations.</w:t>
      </w:r>
    </w:p>
    <w:p>
      <w:pPr>
        <w:spacing w:after="0" w:line="87"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31"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31" w:lineRule="exact"/>
        <w:rPr>
          <w:sz w:val="20"/>
          <w:szCs w:val="20"/>
          <w:color w:val="auto"/>
        </w:rPr>
      </w:pPr>
    </w:p>
    <w:p>
      <w:pPr>
        <w:ind w:left="700" w:right="320" w:firstLine="390"/>
        <w:spacing w:after="0" w:line="277" w:lineRule="auto"/>
        <w:tabs>
          <w:tab w:leader="none" w:pos="13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5" w:lineRule="exact"/>
        <w:rPr>
          <w:rFonts w:ascii="Arial" w:cs="Arial" w:eastAsia="Arial" w:hAnsi="Arial"/>
          <w:sz w:val="18"/>
          <w:szCs w:val="18"/>
          <w:color w:val="auto"/>
        </w:rPr>
      </w:pPr>
    </w:p>
    <w:p>
      <w:pPr>
        <w:ind w:left="700" w:right="160" w:firstLine="390"/>
        <w:spacing w:after="0" w:line="277" w:lineRule="auto"/>
        <w:tabs>
          <w:tab w:leader="none" w:pos="13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0"/>
        <w:spacing w:after="0" w:line="259" w:lineRule="auto"/>
        <w:tabs>
          <w:tab w:leader="none" w:pos="13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92" w:lineRule="exact"/>
        <w:rPr>
          <w:rFonts w:ascii="Arial" w:cs="Arial" w:eastAsia="Arial" w:hAnsi="Arial"/>
          <w:sz w:val="18"/>
          <w:szCs w:val="18"/>
          <w:color w:val="auto"/>
        </w:rPr>
      </w:pPr>
    </w:p>
    <w:p>
      <w:pPr>
        <w:ind w:left="1340" w:hanging="250"/>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30" w:lineRule="exact"/>
        <w:rPr>
          <w:rFonts w:ascii="Arial" w:cs="Arial" w:eastAsia="Arial" w:hAnsi="Arial"/>
          <w:sz w:val="18"/>
          <w:szCs w:val="18"/>
          <w:color w:val="auto"/>
        </w:rPr>
      </w:pPr>
    </w:p>
    <w:p>
      <w:pPr>
        <w:ind w:left="1340" w:hanging="250"/>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900" w:right="100" w:hanging="411"/>
        <w:spacing w:after="0" w:line="277" w:lineRule="auto"/>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62" w:lineRule="exact"/>
        <w:rPr>
          <w:rFonts w:ascii="Arial" w:cs="Arial" w:eastAsia="Arial" w:hAnsi="Arial"/>
          <w:sz w:val="18"/>
          <w:szCs w:val="18"/>
          <w:color w:val="auto"/>
        </w:rPr>
      </w:pPr>
    </w:p>
    <w:p>
      <w:pPr>
        <w:ind w:left="1900" w:right="160" w:hanging="411"/>
        <w:spacing w:after="0" w:line="277" w:lineRule="auto"/>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62" w:lineRule="exact"/>
        <w:rPr>
          <w:rFonts w:ascii="Arial" w:cs="Arial" w:eastAsia="Arial" w:hAnsi="Arial"/>
          <w:sz w:val="18"/>
          <w:szCs w:val="18"/>
          <w:color w:val="auto"/>
        </w:rPr>
      </w:pPr>
    </w:p>
    <w:p>
      <w:pPr>
        <w:ind w:left="1900" w:right="120" w:hanging="411"/>
        <w:spacing w:after="0" w:line="277" w:lineRule="auto"/>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5" w:lineRule="exact"/>
        <w:rPr>
          <w:rFonts w:ascii="Arial" w:cs="Arial" w:eastAsia="Arial" w:hAnsi="Arial"/>
          <w:sz w:val="18"/>
          <w:szCs w:val="18"/>
          <w:color w:val="auto"/>
        </w:rPr>
      </w:pPr>
    </w:p>
    <w:p>
      <w:pPr>
        <w:ind w:left="1340" w:hanging="250"/>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30" w:lineRule="exact"/>
        <w:rPr>
          <w:rFonts w:ascii="Arial" w:cs="Arial" w:eastAsia="Arial" w:hAnsi="Arial"/>
          <w:sz w:val="18"/>
          <w:szCs w:val="18"/>
          <w:color w:val="auto"/>
        </w:rPr>
      </w:pPr>
    </w:p>
    <w:p>
      <w:pPr>
        <w:ind w:left="1900" w:right="480" w:hanging="411"/>
        <w:spacing w:after="0" w:line="308" w:lineRule="auto"/>
        <w:tabs>
          <w:tab w:leader="none" w:pos="19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 or consents to the entry of an order for relief in an involuntary case under any such law;</w:t>
      </w:r>
    </w:p>
    <w:p>
      <w:pPr>
        <w:spacing w:after="0" w:line="38" w:lineRule="exact"/>
        <w:rPr>
          <w:rFonts w:ascii="Arial" w:cs="Arial" w:eastAsia="Arial" w:hAnsi="Arial"/>
          <w:sz w:val="17"/>
          <w:szCs w:val="17"/>
          <w:color w:val="auto"/>
        </w:rPr>
      </w:pPr>
    </w:p>
    <w:p>
      <w:pPr>
        <w:ind w:left="1900" w:hanging="411"/>
        <w:spacing w:after="0" w:line="277" w:lineRule="auto"/>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62" w:lineRule="exact"/>
        <w:rPr>
          <w:rFonts w:ascii="Arial" w:cs="Arial" w:eastAsia="Arial" w:hAnsi="Arial"/>
          <w:sz w:val="18"/>
          <w:szCs w:val="18"/>
          <w:color w:val="auto"/>
        </w:rPr>
      </w:pPr>
    </w:p>
    <w:p>
      <w:pPr>
        <w:ind w:left="1900" w:hanging="411"/>
        <w:spacing w:after="0"/>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83"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4"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holders of at least a majority in aggregate principal amount of an issue of senior debt securities may direct the time, method, and place of conducting any proceeding for any remedy available to the trustee 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99" w:lineRule="exact"/>
        <w:rPr>
          <w:sz w:val="20"/>
          <w:szCs w:val="20"/>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requesting holder or holders offer the trustee indemnity satisfactory to the trustee against any costs, liability, or expense; and</w:t>
      </w:r>
    </w:p>
    <w:p>
      <w:pPr>
        <w:spacing w:after="0" w:line="140" w:lineRule="exact"/>
        <w:rPr>
          <w:rFonts w:ascii="Arial" w:cs="Arial" w:eastAsia="Arial" w:hAnsi="Arial"/>
          <w:sz w:val="16"/>
          <w:szCs w:val="16"/>
          <w:color w:val="auto"/>
        </w:rPr>
      </w:pPr>
    </w:p>
    <w:p>
      <w:pPr>
        <w:ind w:left="1400" w:hanging="302"/>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31"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2" w:lineRule="exact"/>
        <w:rPr>
          <w:sz w:val="20"/>
          <w:szCs w:val="20"/>
          <w:color w:val="auto"/>
        </w:rPr>
      </w:pPr>
    </w:p>
    <w:p>
      <w:pPr>
        <w:ind w:left="1400" w:right="540" w:hanging="302"/>
        <w:spacing w:after="0" w:line="342" w:lineRule="auto"/>
        <w:tabs>
          <w:tab w:leader="none" w:pos="1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 w:lineRule="exact"/>
        <w:rPr>
          <w:rFonts w:ascii="Arial" w:cs="Arial" w:eastAsia="Arial" w:hAnsi="Arial"/>
          <w:sz w:val="16"/>
          <w:szCs w:val="16"/>
          <w:color w:val="auto"/>
        </w:rPr>
      </w:pPr>
    </w:p>
    <w:p>
      <w:pPr>
        <w:ind w:left="1400" w:right="100" w:hanging="302"/>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6" w:lineRule="exact"/>
        <w:rPr>
          <w:sz w:val="20"/>
          <w:szCs w:val="20"/>
          <w:color w:val="auto"/>
        </w:rPr>
      </w:pPr>
    </w:p>
    <w:p>
      <w:pPr>
        <w:ind w:left="1780" w:right="20" w:hanging="385"/>
        <w:spacing w:after="0" w:line="262" w:lineRule="auto"/>
        <w:tabs>
          <w:tab w:leader="none" w:pos="1780" w:val="left"/>
        </w:tabs>
        <w:numPr>
          <w:ilvl w:val="0"/>
          <w:numId w:val="46"/>
        </w:numPr>
        <w:rPr>
          <w:rFonts w:ascii="Arial" w:cs="Arial" w:eastAsia="Arial" w:hAnsi="Arial"/>
          <w:sz w:val="21"/>
          <w:szCs w:val="21"/>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0" w:lineRule="exact"/>
        <w:rPr>
          <w:sz w:val="20"/>
          <w:szCs w:val="20"/>
          <w:color w:val="auto"/>
        </w:rPr>
      </w:pPr>
    </w:p>
    <w:p>
      <w:pPr>
        <w:ind w:left="2080" w:right="260" w:hanging="293"/>
        <w:spacing w:after="0" w:line="256" w:lineRule="auto"/>
        <w:tabs>
          <w:tab w:leader="none" w:pos="2080" w:val="left"/>
        </w:tabs>
        <w:numPr>
          <w:ilvl w:val="0"/>
          <w:numId w:val="47"/>
        </w:numPr>
        <w:rPr>
          <w:rFonts w:ascii="Arial" w:cs="Arial" w:eastAsia="Arial" w:hAnsi="Arial"/>
          <w:sz w:val="21"/>
          <w:szCs w:val="21"/>
          <w:color w:val="auto"/>
        </w:rPr>
      </w:pPr>
      <w:r>
        <w:rPr>
          <w:rFonts w:ascii="Arial" w:cs="Arial" w:eastAsia="Arial" w:hAnsi="Arial"/>
          <w:sz w:val="17"/>
          <w:szCs w:val="17"/>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5" w:lineRule="exact"/>
        <w:rPr>
          <w:sz w:val="20"/>
          <w:szCs w:val="20"/>
          <w:color w:val="auto"/>
        </w:rPr>
      </w:pPr>
    </w:p>
    <w:p>
      <w:pPr>
        <w:ind w:left="1380" w:right="60" w:firstLine="369"/>
        <w:spacing w:after="0" w:line="277" w:lineRule="auto"/>
        <w:rPr>
          <w:sz w:val="20"/>
          <w:szCs w:val="20"/>
          <w:color w:val="auto"/>
        </w:rPr>
      </w:pPr>
      <w:r>
        <w:rPr>
          <w:rFonts w:ascii="Arial" w:cs="Arial" w:eastAsia="Arial" w:hAnsi="Arial"/>
          <w:sz w:val="18"/>
          <w:szCs w:val="18"/>
          <w:color w:val="auto"/>
        </w:rPr>
        <w:t>With respect to all senior debt securities which have been delivered to the trustee for cancellation and for which have been paid all sums payable by us under the senior indenture, only our obligations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80" w:right="40"/>
        <w:spacing w:after="0" w:line="289" w:lineRule="auto"/>
        <w:rPr>
          <w:sz w:val="20"/>
          <w:szCs w:val="20"/>
          <w:color w:val="auto"/>
        </w:rPr>
      </w:pPr>
      <w:r>
        <w:rPr>
          <w:rFonts w:ascii="Arial" w:cs="Arial" w:eastAsia="Arial" w:hAnsi="Arial"/>
          <w:sz w:val="16"/>
          <w:szCs w:val="16"/>
          <w:color w:val="auto"/>
        </w:rPr>
        <w:t>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31" w:lineRule="exact"/>
        <w:rPr>
          <w:sz w:val="20"/>
          <w:szCs w:val="20"/>
          <w:color w:val="auto"/>
        </w:rPr>
      </w:pPr>
    </w:p>
    <w:p>
      <w:pPr>
        <w:ind w:left="2080" w:right="120" w:hanging="293"/>
        <w:spacing w:after="0" w:line="264" w:lineRule="auto"/>
        <w:tabs>
          <w:tab w:leader="none" w:pos="2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86" w:lineRule="exact"/>
        <w:rPr>
          <w:rFonts w:ascii="Arial" w:cs="Arial" w:eastAsia="Arial" w:hAnsi="Arial"/>
          <w:sz w:val="18"/>
          <w:szCs w:val="18"/>
          <w:color w:val="auto"/>
        </w:rPr>
      </w:pPr>
    </w:p>
    <w:p>
      <w:pPr>
        <w:ind w:left="1400" w:right="60" w:hanging="302"/>
        <w:spacing w:after="0" w:line="264"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 Events of Default” with respect to that series of senior debt securities (“covenant defeasance”);</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31" w:lineRule="exact"/>
        <w:rPr>
          <w:sz w:val="20"/>
          <w:szCs w:val="20"/>
          <w:color w:val="auto"/>
        </w:rPr>
      </w:pPr>
    </w:p>
    <w:p>
      <w:pPr>
        <w:ind w:left="1400" w:right="80" w:hanging="302"/>
        <w:spacing w:after="0" w:line="254"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84" w:lineRule="exact"/>
        <w:rPr>
          <w:rFonts w:ascii="Arial" w:cs="Arial" w:eastAsia="Arial" w:hAnsi="Arial"/>
          <w:sz w:val="18"/>
          <w:szCs w:val="18"/>
          <w:color w:val="auto"/>
        </w:rPr>
      </w:pPr>
    </w:p>
    <w:p>
      <w:pPr>
        <w:ind w:left="140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62"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31" w:lineRule="exact"/>
        <w:rPr>
          <w:sz w:val="20"/>
          <w:szCs w:val="20"/>
          <w:color w:val="auto"/>
        </w:rPr>
      </w:pPr>
    </w:p>
    <w:p>
      <w:pPr>
        <w:ind w:left="1780" w:right="20" w:hanging="385"/>
        <w:spacing w:after="0" w:line="245" w:lineRule="auto"/>
        <w:tabs>
          <w:tab w:leader="none" w:pos="17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3" w:lineRule="exact"/>
        <w:rPr>
          <w:sz w:val="20"/>
          <w:szCs w:val="20"/>
          <w:color w:val="auto"/>
        </w:rPr>
      </w:pPr>
    </w:p>
    <w:p>
      <w:pPr>
        <w:ind w:left="2080" w:right="200" w:hanging="293"/>
        <w:spacing w:after="0" w:line="232" w:lineRule="auto"/>
        <w:tabs>
          <w:tab w:leader="none" w:pos="208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right="220" w:hanging="982"/>
        <w:spacing w:after="0" w:line="264"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7"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We and the trustee may amend or supplement the senior indenture or the senior debt securities without notice to or the consent of any holder:</w:t>
      </w:r>
    </w:p>
    <w:p>
      <w:pPr>
        <w:spacing w:after="0" w:line="76" w:lineRule="exact"/>
        <w:rPr>
          <w:sz w:val="20"/>
          <w:szCs w:val="20"/>
          <w:color w:val="auto"/>
        </w:rPr>
      </w:pPr>
    </w:p>
    <w:p>
      <w:pPr>
        <w:ind w:left="1400" w:hanging="302"/>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17" w:lineRule="exact"/>
        <w:rPr>
          <w:rFonts w:ascii="Arial" w:cs="Arial" w:eastAsia="Arial" w:hAnsi="Arial"/>
          <w:sz w:val="18"/>
          <w:szCs w:val="18"/>
          <w:color w:val="auto"/>
        </w:rPr>
      </w:pPr>
    </w:p>
    <w:p>
      <w:pPr>
        <w:ind w:left="1400" w:right="580" w:hanging="302"/>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17" w:lineRule="exact"/>
        <w:rPr>
          <w:rFonts w:ascii="Arial" w:cs="Arial" w:eastAsia="Arial" w:hAnsi="Arial"/>
          <w:sz w:val="18"/>
          <w:szCs w:val="18"/>
          <w:color w:val="auto"/>
        </w:rPr>
      </w:pPr>
    </w:p>
    <w:p>
      <w:pPr>
        <w:ind w:left="1400" w:right="100" w:hanging="302"/>
        <w:spacing w:after="0" w:line="264"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31" w:lineRule="exact"/>
        <w:rPr>
          <w:sz w:val="20"/>
          <w:szCs w:val="20"/>
          <w:color w:val="auto"/>
        </w:rPr>
      </w:pPr>
    </w:p>
    <w:p>
      <w:pPr>
        <w:jc w:val="both"/>
        <w:ind w:left="700" w:right="280" w:firstLine="397"/>
        <w:spacing w:after="0" w:line="273"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84" w:lineRule="exact"/>
        <w:rPr>
          <w:sz w:val="20"/>
          <w:szCs w:val="20"/>
          <w:color w:val="auto"/>
        </w:rPr>
      </w:pPr>
    </w:p>
    <w:p>
      <w:pPr>
        <w:ind w:left="1400" w:right="140" w:hanging="302"/>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17" w:lineRule="exact"/>
        <w:rPr>
          <w:rFonts w:ascii="Arial" w:cs="Arial" w:eastAsia="Arial" w:hAnsi="Arial"/>
          <w:sz w:val="18"/>
          <w:szCs w:val="18"/>
          <w:color w:val="auto"/>
        </w:rPr>
      </w:pPr>
    </w:p>
    <w:p>
      <w:pPr>
        <w:ind w:left="1400" w:right="340" w:hanging="302"/>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the senior debt securities of the affected series;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02"/>
        <w:spacing w:after="0"/>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17" w:lineRule="exact"/>
        <w:rPr>
          <w:rFonts w:ascii="Arial" w:cs="Arial" w:eastAsia="Arial" w:hAnsi="Arial"/>
          <w:sz w:val="18"/>
          <w:szCs w:val="18"/>
          <w:color w:val="auto"/>
        </w:rPr>
      </w:pPr>
    </w:p>
    <w:p>
      <w:pPr>
        <w:ind w:left="1400" w:right="40" w:hanging="302"/>
        <w:spacing w:after="0" w:line="264"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73" w:lineRule="exact"/>
        <w:rPr>
          <w:rFonts w:ascii="Arial" w:cs="Arial" w:eastAsia="Arial" w:hAnsi="Arial"/>
          <w:sz w:val="18"/>
          <w:szCs w:val="18"/>
          <w:color w:val="auto"/>
        </w:rPr>
      </w:pPr>
    </w:p>
    <w:p>
      <w:pPr>
        <w:ind w:left="1400" w:right="160" w:hanging="302"/>
        <w:spacing w:after="0" w:line="308" w:lineRule="auto"/>
        <w:tabs>
          <w:tab w:leader="none" w:pos="1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38" w:lineRule="exact"/>
        <w:rPr>
          <w:rFonts w:ascii="Arial" w:cs="Arial" w:eastAsia="Arial" w:hAnsi="Arial"/>
          <w:sz w:val="17"/>
          <w:szCs w:val="17"/>
          <w:color w:val="auto"/>
        </w:rPr>
      </w:pPr>
    </w:p>
    <w:p>
      <w:pPr>
        <w:ind w:left="1400" w:right="320" w:hanging="302"/>
        <w:spacing w:after="0" w:line="277"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17"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62" w:lineRule="exact"/>
        <w:rPr>
          <w:rFonts w:ascii="Arial" w:cs="Arial" w:eastAsia="Arial" w:hAnsi="Arial"/>
          <w:sz w:val="18"/>
          <w:szCs w:val="18"/>
          <w:color w:val="auto"/>
        </w:rPr>
      </w:pPr>
    </w:p>
    <w:p>
      <w:pPr>
        <w:ind w:left="1400" w:right="80" w:hanging="302"/>
        <w:spacing w:after="0" w:line="264"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73" w:lineRule="exact"/>
        <w:rPr>
          <w:rFonts w:ascii="Arial" w:cs="Arial" w:eastAsia="Arial" w:hAnsi="Arial"/>
          <w:sz w:val="18"/>
          <w:szCs w:val="18"/>
          <w:color w:val="auto"/>
        </w:rPr>
      </w:pPr>
    </w:p>
    <w:p>
      <w:pPr>
        <w:ind w:left="1400" w:right="740" w:hanging="302"/>
        <w:spacing w:after="0" w:line="342" w:lineRule="auto"/>
        <w:tabs>
          <w:tab w:leader="none" w:pos="1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29"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31"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Governing Law</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senior indenture and the debt securities will be governed by, and construed in accordance with, the internal laws of the State of New York.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The Trustees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may have normal banking relationships with the trustee under the senior indenture in the ordinary course of business.</w:t>
      </w:r>
    </w:p>
    <w:p>
      <w:pPr>
        <w:spacing w:after="0" w:line="14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6"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35" w:lineRule="exact"/>
        <w:rPr>
          <w:sz w:val="20"/>
          <w:szCs w:val="20"/>
          <w:color w:val="auto"/>
        </w:rPr>
      </w:pPr>
    </w:p>
    <w:p>
      <w:pPr>
        <w:jc w:val="both"/>
        <w:ind w:left="700" w:right="520" w:firstLine="397"/>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Subordination</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87" w:lineRule="exact"/>
        <w:rPr>
          <w:sz w:val="20"/>
          <w:szCs w:val="20"/>
          <w:color w:val="auto"/>
        </w:rPr>
      </w:pPr>
    </w:p>
    <w:p>
      <w:pPr>
        <w:jc w:val="both"/>
        <w:ind w:left="700" w:right="260" w:firstLine="397"/>
        <w:spacing w:after="0" w:line="277"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w:t>
      </w:r>
    </w:p>
    <w:p>
      <w:pPr>
        <w:spacing w:after="0" w:line="76"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87" w:lineRule="exact"/>
        <w:rPr>
          <w:sz w:val="20"/>
          <w:szCs w:val="20"/>
          <w:color w:val="auto"/>
        </w:rPr>
      </w:pPr>
    </w:p>
    <w:p>
      <w:pPr>
        <w:ind w:left="1400" w:right="260" w:hanging="302"/>
        <w:spacing w:after="0" w:line="286" w:lineRule="auto"/>
        <w:tabs>
          <w:tab w:leader="none" w:pos="1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3" w:lineRule="exact"/>
        <w:rPr>
          <w:rFonts w:ascii="Arial" w:cs="Arial" w:eastAsia="Arial" w:hAnsi="Arial"/>
          <w:sz w:val="17"/>
          <w:szCs w:val="17"/>
          <w:color w:val="auto"/>
        </w:rPr>
      </w:pPr>
    </w:p>
    <w:p>
      <w:pPr>
        <w:ind w:left="1400" w:hanging="302"/>
        <w:spacing w:after="0"/>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securities sold by that person for money;</w:t>
      </w:r>
    </w:p>
    <w:p>
      <w:pPr>
        <w:spacing w:after="0" w:line="86" w:lineRule="exact"/>
        <w:rPr>
          <w:rFonts w:ascii="Arial" w:cs="Arial" w:eastAsia="Arial" w:hAnsi="Arial"/>
          <w:sz w:val="16"/>
          <w:szCs w:val="16"/>
          <w:color w:val="auto"/>
        </w:rPr>
      </w:pPr>
    </w:p>
    <w:p>
      <w:pPr>
        <w:ind w:left="1400" w:right="120" w:hanging="302"/>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the lease obligations which are capitalized on the books of that person in accordance with generally accepted accounting principles;</w:t>
      </w:r>
    </w:p>
    <w:p>
      <w:pPr>
        <w:spacing w:after="0" w:line="8" w:lineRule="exact"/>
        <w:rPr>
          <w:rFonts w:ascii="Arial" w:cs="Arial" w:eastAsia="Arial" w:hAnsi="Arial"/>
          <w:sz w:val="18"/>
          <w:szCs w:val="18"/>
          <w:color w:val="auto"/>
        </w:rPr>
      </w:pPr>
    </w:p>
    <w:p>
      <w:pPr>
        <w:ind w:left="1400" w:right="120" w:hanging="302"/>
        <w:spacing w:after="0" w:line="286" w:lineRule="auto"/>
        <w:tabs>
          <w:tab w:leader="none" w:pos="1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3" w:lineRule="exact"/>
        <w:rPr>
          <w:rFonts w:ascii="Arial" w:cs="Arial" w:eastAsia="Arial" w:hAnsi="Arial"/>
          <w:sz w:val="17"/>
          <w:szCs w:val="17"/>
          <w:color w:val="auto"/>
        </w:rPr>
      </w:pPr>
    </w:p>
    <w:p>
      <w:pPr>
        <w:ind w:left="1400" w:right="280" w:hanging="302"/>
        <w:spacing w:after="0" w:line="306" w:lineRule="auto"/>
        <w:tabs>
          <w:tab w:leader="none" w:pos="1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assumption or guarantee relating to it expressly provides that such</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9" w:lineRule="auto"/>
        <w:rPr>
          <w:sz w:val="20"/>
          <w:szCs w:val="20"/>
          <w:color w:val="auto"/>
        </w:rPr>
      </w:pPr>
      <w:r>
        <w:rPr>
          <w:rFonts w:ascii="Arial" w:cs="Arial" w:eastAsia="Arial" w:hAnsi="Arial"/>
          <w:sz w:val="17"/>
          <w:szCs w:val="17"/>
          <w:color w:val="auto"/>
        </w:rPr>
        <w:t>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Convertible Debt Securities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6"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94"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6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6" w:lineRule="exact"/>
        <w:rPr>
          <w:sz w:val="20"/>
          <w:szCs w:val="20"/>
          <w:color w:val="auto"/>
        </w:rPr>
      </w:pPr>
    </w:p>
    <w:p>
      <w:pPr>
        <w:ind w:left="1400" w:right="600" w:hanging="302"/>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8" w:lineRule="exact"/>
        <w:rPr>
          <w:rFonts w:ascii="Arial" w:cs="Arial" w:eastAsia="Arial" w:hAnsi="Arial"/>
          <w:sz w:val="18"/>
          <w:szCs w:val="18"/>
          <w:color w:val="auto"/>
        </w:rPr>
      </w:pPr>
    </w:p>
    <w:p>
      <w:pPr>
        <w:ind w:left="1400" w:right="360" w:hanging="302"/>
        <w:spacing w:after="0" w:line="305" w:lineRule="auto"/>
        <w:tabs>
          <w:tab w:leader="none" w:pos="1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ind w:left="1400" w:right="140" w:hanging="302"/>
        <w:spacing w:after="0" w:line="317" w:lineRule="auto"/>
        <w:tabs>
          <w:tab w:leader="none" w:pos="1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ind w:left="1400" w:hanging="302"/>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7"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ind w:left="700" w:right="140" w:firstLine="397"/>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2"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3"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7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interests in such global security or for maintaining, supervising or reviewing any records relating to such beneficial ownership interests.</w:t>
      </w:r>
    </w:p>
    <w:p>
      <w:pPr>
        <w:spacing w:after="0" w:line="15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9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87"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7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Rights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87" w:lineRule="exact"/>
        <w:rPr>
          <w:sz w:val="20"/>
          <w:szCs w:val="20"/>
          <w:color w:val="auto"/>
        </w:rPr>
      </w:pPr>
    </w:p>
    <w:p>
      <w:pPr>
        <w:ind w:left="700" w:right="560" w:firstLine="397"/>
        <w:spacing w:after="0" w:line="268"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as of February 28, 2006.</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Class A Common Stock has the number of votes equal to a quotient the numerator of which is the excess of</w:t>
      </w:r>
    </w:p>
    <w:p>
      <w:pPr>
        <w:spacing w:after="0" w:line="35" w:lineRule="exact"/>
        <w:rPr>
          <w:sz w:val="20"/>
          <w:szCs w:val="20"/>
          <w:color w:val="auto"/>
        </w:rPr>
      </w:pPr>
    </w:p>
    <w:p>
      <w:pPr>
        <w:ind w:left="700" w:right="80" w:hanging="7"/>
        <w:spacing w:after="0" w:line="281" w:lineRule="auto"/>
        <w:tabs>
          <w:tab w:leader="none" w:pos="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rFonts w:ascii="Arial" w:cs="Arial" w:eastAsia="Arial" w:hAnsi="Arial"/>
          <w:sz w:val="16"/>
          <w:szCs w:val="16"/>
          <w:color w:val="auto"/>
        </w:rPr>
      </w:pPr>
    </w:p>
    <w:p>
      <w:pPr>
        <w:ind w:left="700" w:hanging="7"/>
        <w:spacing w:after="0" w:line="235" w:lineRule="auto"/>
        <w:tabs>
          <w:tab w:leader="none" w:pos="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subject to reduction as described below.</w:t>
      </w:r>
    </w:p>
    <w:p>
      <w:pPr>
        <w:spacing w:after="0" w:line="109" w:lineRule="exact"/>
        <w:rPr>
          <w:sz w:val="20"/>
          <w:szCs w:val="20"/>
          <w:color w:val="auto"/>
        </w:rPr>
      </w:pPr>
    </w:p>
    <w:p>
      <w:pPr>
        <w:jc w:val="both"/>
        <w:ind w:left="700" w:right="20" w:firstLine="397"/>
        <w:spacing w:after="0" w:line="226" w:lineRule="auto"/>
        <w:rPr>
          <w:sz w:val="20"/>
          <w:szCs w:val="20"/>
          <w:color w:val="auto"/>
        </w:rPr>
      </w:pPr>
      <w:r>
        <w:rPr>
          <w:rFonts w:ascii="Arial" w:cs="Arial" w:eastAsia="Arial" w:hAnsi="Arial"/>
          <w:sz w:val="18"/>
          <w:szCs w:val="18"/>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regardless of the number of shares of our Class A Common Stock or any other</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342" w:lineRule="auto"/>
        <w:rPr>
          <w:sz w:val="20"/>
          <w:szCs w:val="20"/>
          <w:color w:val="auto"/>
        </w:rPr>
      </w:pPr>
      <w:r>
        <w:rPr>
          <w:rFonts w:ascii="Arial" w:cs="Arial" w:eastAsia="Arial" w:hAnsi="Arial"/>
          <w:sz w:val="16"/>
          <w:szCs w:val="16"/>
          <w:color w:val="auto"/>
        </w:rPr>
        <w:t>class of our capital stock outstanding at any time. If the number of shares of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conversion), the aggregate voting power of our Class B Common Stock will be proportionately reduced.</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share of our Class B Common Stock has 15 votes.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Approval Rights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Shareholder</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7"/>
          <w:szCs w:val="17"/>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of Class B Common Stock</w:t>
      </w:r>
    </w:p>
    <w:p>
      <w:pPr>
        <w:spacing w:after="0" w:line="13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Preference on Liquidation</w:t>
      </w:r>
    </w:p>
    <w:p>
      <w:pPr>
        <w:spacing w:after="0" w:line="135"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Mergers, Consolidations, Etc.</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6"/>
          <w:szCs w:val="16"/>
          <w:i w:val="1"/>
          <w:iCs w:val="1"/>
          <w:color w:val="auto"/>
        </w:rPr>
        <w:t>i.e.</w:t>
      </w:r>
      <w:r>
        <w:rPr>
          <w:rFonts w:ascii="Arial" w:cs="Arial" w:eastAsia="Arial" w:hAnsi="Arial"/>
          <w:sz w:val="16"/>
          <w:szCs w:val="16"/>
          <w:color w:val="auto"/>
        </w:rPr>
        <w:t>, shares of a class of stock having substantially equivalent rights as the applicable class of our common stock).</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6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Rights Plan</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87"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The Rights. </w:t>
      </w:r>
      <w:r>
        <w:rPr>
          <w:rFonts w:ascii="Arial" w:cs="Arial" w:eastAsia="Arial" w:hAnsi="Arial"/>
          <w:sz w:val="16"/>
          <w:szCs w:val="16"/>
          <w:color w:val="auto"/>
        </w:rPr>
        <w:t>Pursuant to the rights agreement, our board declared on November 18, 2002 a dividend of one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rights agreement includes antidilution provisions designed to prevent efforts to diminish the effectiveness of the Rights.</w:t>
      </w:r>
    </w:p>
    <w:p>
      <w:pPr>
        <w:spacing w:after="0" w:line="14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Prior to the Distribution Date, (1) the Rights will be evidenced by the certificates of the relevant underlying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64" w:lineRule="exact"/>
        <w:rPr>
          <w:sz w:val="20"/>
          <w:szCs w:val="20"/>
          <w:color w:val="auto"/>
        </w:rPr>
      </w:pPr>
    </w:p>
    <w:p>
      <w:pPr>
        <w:jc w:val="both"/>
        <w:ind w:left="700" w:right="560" w:firstLine="397"/>
        <w:spacing w:after="0" w:line="286" w:lineRule="auto"/>
        <w:rPr>
          <w:sz w:val="20"/>
          <w:szCs w:val="20"/>
          <w:color w:val="auto"/>
        </w:rPr>
      </w:pPr>
      <w:r>
        <w:rPr>
          <w:rFonts w:ascii="Arial" w:cs="Arial" w:eastAsia="Arial" w:hAnsi="Arial"/>
          <w:sz w:val="17"/>
          <w:szCs w:val="17"/>
          <w:b w:val="1"/>
          <w:bCs w:val="1"/>
          <w:i w:val="1"/>
          <w:iCs w:val="1"/>
          <w:color w:val="auto"/>
        </w:rPr>
        <w:t xml:space="preserve">Exercisability. </w:t>
      </w:r>
      <w:r>
        <w:rPr>
          <w:rFonts w:ascii="Arial" w:cs="Arial" w:eastAsia="Arial" w:hAnsi="Arial"/>
          <w:sz w:val="17"/>
          <w:szCs w:val="17"/>
          <w:color w:val="auto"/>
        </w:rPr>
        <w:t>The Rights will not be exercisable prior to the Distribution Date. After the Distribution Date, but prior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occurrence of an event described below under “—‘Flip In’ Feature” or “—‘Flip Over’ Feature,” each Right will be exercisable to purchase for $125 one one-thousandth of a share of our Series A Participating Cumulative Preferred Stock.</w:t>
      </w:r>
    </w:p>
    <w:p>
      <w:pPr>
        <w:spacing w:after="0" w:line="7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spacing w:after="0" w:line="264" w:lineRule="auto"/>
        <w:rPr>
          <w:sz w:val="20"/>
          <w:szCs w:val="20"/>
          <w:color w:val="auto"/>
        </w:rPr>
      </w:pPr>
      <w:r>
        <w:rPr>
          <w:rFonts w:ascii="Arial" w:cs="Arial" w:eastAsia="Arial" w:hAnsi="Arial"/>
          <w:sz w:val="18"/>
          <w:szCs w:val="18"/>
          <w:color w:val="auto"/>
        </w:rPr>
        <w:t>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b w:val="1"/>
          <w:bCs w:val="1"/>
          <w:i w:val="1"/>
          <w:iCs w:val="1"/>
          <w:color w:val="auto"/>
        </w:rPr>
        <w:t xml:space="preserve">“Exchange” Feature. </w:t>
      </w:r>
      <w:r>
        <w:rPr>
          <w:rFonts w:ascii="Arial" w:cs="Arial" w:eastAsia="Arial" w:hAnsi="Arial"/>
          <w:sz w:val="18"/>
          <w:szCs w:val="18"/>
          <w:color w:val="auto"/>
        </w:rPr>
        <w:t>At any time after a person becomes an Acquiring Person (but before any person becomes the beneficial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99"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b w:val="1"/>
          <w:bCs w:val="1"/>
          <w:i w:val="1"/>
          <w:iCs w:val="1"/>
          <w:color w:val="auto"/>
        </w:rPr>
        <w:t xml:space="preserve">“Flip Over” Feature. </w:t>
      </w:r>
      <w:r>
        <w:rPr>
          <w:rFonts w:ascii="Arial" w:cs="Arial" w:eastAsia="Arial" w:hAnsi="Arial"/>
          <w:sz w:val="16"/>
          <w:szCs w:val="16"/>
          <w:color w:val="auto"/>
        </w:rPr>
        <w:t>If, after a person becomes an Acquiring Person, (1) we are involved in a merger or other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which we are not the surviving corporation or any of our common stock is exchanged for other securities or assets or</w:t>
      </w:r>
    </w:p>
    <w:p>
      <w:pPr>
        <w:ind w:left="700" w:right="80" w:hanging="7"/>
        <w:spacing w:after="0" w:line="254" w:lineRule="auto"/>
        <w:tabs>
          <w:tab w:leader="none" w:pos="9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9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becomes an Acquiring Person. The right to exercise will terminate upon redemption, and at that time, holders of the Rights will have the right to receive only the redemption price for each Right they hold.</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Amendment of Rights. </w:t>
      </w:r>
      <w:r>
        <w:rPr>
          <w:rFonts w:ascii="Arial" w:cs="Arial" w:eastAsia="Arial" w:hAnsi="Arial"/>
          <w:sz w:val="18"/>
          <w:szCs w:val="18"/>
          <w:color w:val="auto"/>
        </w:rPr>
        <w:t>For so long as the Rights are redeemable, the rights agreement may be amended in any respect. At any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92"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exchanged.</w:t>
      </w:r>
    </w:p>
    <w:p>
      <w:pPr>
        <w:spacing w:after="0" w:line="76"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Anti-Takeover Effects. </w:t>
      </w:r>
      <w:r>
        <w:rPr>
          <w:rFonts w:ascii="Arial" w:cs="Arial" w:eastAsia="Arial" w:hAnsi="Arial"/>
          <w:sz w:val="18"/>
          <w:szCs w:val="18"/>
          <w:color w:val="auto"/>
        </w:rPr>
        <w:t>The Rights have certain anti-takeover effects. The Rights may cause substantial dilution to a person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92"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b w:val="1"/>
          <w:bCs w:val="1"/>
          <w:i w:val="1"/>
          <w:iCs w:val="1"/>
          <w:color w:val="auto"/>
        </w:rPr>
        <w:t xml:space="preserve">Taxation. </w:t>
      </w:r>
      <w:r>
        <w:rPr>
          <w:rFonts w:ascii="Arial" w:cs="Arial" w:eastAsia="Arial" w:hAnsi="Arial"/>
          <w:sz w:val="17"/>
          <w:szCs w:val="17"/>
          <w:color w:val="auto"/>
        </w:rPr>
        <w:t>While the dividend of the Rights was not taxable to stockholders or to us, stockholders or we may, depending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recognize taxable income in the event that the Rights become exercisable as set forth above.</w:t>
      </w:r>
    </w:p>
    <w:p>
      <w:pPr>
        <w:spacing w:after="0" w:line="52"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designated as 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31" w:lineRule="exact"/>
        <w:rPr>
          <w:sz w:val="20"/>
          <w:szCs w:val="20"/>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7"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0"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7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83"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7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400" w:hanging="302"/>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17" w:lineRule="exact"/>
        <w:rPr>
          <w:rFonts w:ascii="Arial" w:cs="Arial" w:eastAsia="Arial" w:hAnsi="Arial"/>
          <w:sz w:val="18"/>
          <w:szCs w:val="18"/>
          <w:color w:val="auto"/>
        </w:rPr>
      </w:pPr>
    </w:p>
    <w:p>
      <w:pPr>
        <w:ind w:left="1400" w:right="120" w:hanging="302"/>
        <w:spacing w:after="0" w:line="277" w:lineRule="auto"/>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17" w:lineRule="exact"/>
        <w:rPr>
          <w:rFonts w:ascii="Arial" w:cs="Arial" w:eastAsia="Arial" w:hAnsi="Arial"/>
          <w:sz w:val="18"/>
          <w:szCs w:val="18"/>
          <w:color w:val="auto"/>
        </w:rPr>
      </w:pPr>
    </w:p>
    <w:p>
      <w:pPr>
        <w:ind w:left="1400" w:right="420" w:hanging="302"/>
        <w:spacing w:after="0" w:line="308" w:lineRule="auto"/>
        <w:tabs>
          <w:tab w:leader="none" w:pos="14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description of our capital stock incorporated in our Current Report on Form 8-K12G3 and Registration Statement on Form 8-A12G, each filed on November 18, 2002, as the same may be amended from time to time.</w:t>
      </w:r>
    </w:p>
    <w:p>
      <w:pPr>
        <w:spacing w:after="0" w:line="5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400685</wp:posOffset>
            </wp:positionV>
            <wp:extent cx="1431925" cy="368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hanging="1068"/>
        <w:spacing w:after="0"/>
        <w:tabs>
          <w:tab w:leader="none" w:pos="5220" w:val="left"/>
        </w:tabs>
        <w:numPr>
          <w:ilvl w:val="0"/>
          <w:numId w:val="62"/>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-127635</wp:posOffset>
            </wp:positionV>
            <wp:extent cx="24523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17145</wp:posOffset>
            </wp:positionV>
            <wp:extent cx="24523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tcPr>
          <w:p>
            <w:pPr>
              <w:jc w:val="center"/>
              <w:ind w:right="84"/>
              <w:spacing w:after="0"/>
              <w:rPr>
                <w:sz w:val="20"/>
                <w:szCs w:val="20"/>
                <w:color w:val="auto"/>
              </w:rPr>
            </w:pPr>
            <w:r>
              <w:rPr>
                <w:rFonts w:ascii="Arial" w:cs="Arial" w:eastAsia="Arial" w:hAnsi="Arial"/>
                <w:sz w:val="18"/>
                <w:szCs w:val="18"/>
                <w:i w:val="1"/>
                <w:iCs w:val="1"/>
                <w:color w:val="auto"/>
                <w:w w:val="91"/>
              </w:rPr>
              <w:t>Joint Book-Running Managers</w:t>
            </w:r>
          </w:p>
        </w:tc>
        <w:tc>
          <w:tcPr>
            <w:tcW w:w="3560" w:type="dxa"/>
            <w:vAlign w:val="bottom"/>
          </w:tcPr>
          <w:p>
            <w:pPr>
              <w:spacing w:after="0"/>
              <w:rPr>
                <w:sz w:val="20"/>
                <w:szCs w:val="20"/>
                <w:color w:val="auto"/>
              </w:rPr>
            </w:pPr>
          </w:p>
        </w:tc>
      </w:tr>
      <w:tr>
        <w:trPr>
          <w:trHeight w:val="340"/>
        </w:trPr>
        <w:tc>
          <w:tcPr>
            <w:tcW w:w="3720" w:type="dxa"/>
            <w:vAlign w:val="bottom"/>
            <w:gridSpan w:val="2"/>
          </w:tcPr>
          <w:p>
            <w:pPr>
              <w:spacing w:after="0"/>
              <w:rPr>
                <w:sz w:val="20"/>
                <w:szCs w:val="20"/>
                <w:color w:val="auto"/>
              </w:rPr>
            </w:pPr>
            <w:r>
              <w:rPr>
                <w:rFonts w:ascii="Arial" w:cs="Arial" w:eastAsia="Arial" w:hAnsi="Arial"/>
                <w:sz w:val="23"/>
                <w:szCs w:val="23"/>
                <w:b w:val="1"/>
                <w:bCs w:val="1"/>
                <w:color w:val="auto"/>
              </w:rPr>
              <w:t>Citi</w:t>
            </w:r>
          </w:p>
        </w:tc>
        <w:tc>
          <w:tcPr>
            <w:tcW w:w="264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23"/>
                <w:szCs w:val="23"/>
                <w:b w:val="1"/>
                <w:bCs w:val="1"/>
                <w:color w:val="auto"/>
              </w:rPr>
              <w:t>Merrill Lynch &amp; Co.</w:t>
            </w:r>
          </w:p>
        </w:tc>
      </w:tr>
      <w:tr>
        <w:trPr>
          <w:trHeight w:val="349"/>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4"/>
        </w:trPr>
        <w:tc>
          <w:tcPr>
            <w:tcW w:w="3720" w:type="dxa"/>
            <w:vAlign w:val="bottom"/>
            <w:gridSpan w:val="2"/>
          </w:tcPr>
          <w:p>
            <w:pPr>
              <w:spacing w:after="0"/>
              <w:rPr>
                <w:sz w:val="20"/>
                <w:szCs w:val="20"/>
                <w:color w:val="auto"/>
              </w:rPr>
            </w:pPr>
            <w:r>
              <w:rPr>
                <w:rFonts w:ascii="Arial" w:cs="Arial" w:eastAsia="Arial" w:hAnsi="Arial"/>
                <w:sz w:val="22"/>
                <w:szCs w:val="22"/>
                <w:b w:val="1"/>
                <w:bCs w:val="1"/>
                <w:color w:val="auto"/>
              </w:rPr>
              <w:t>Morgan Stanley</w:t>
            </w:r>
          </w:p>
        </w:tc>
        <w:tc>
          <w:tcPr>
            <w:tcW w:w="2640" w:type="dxa"/>
            <w:vAlign w:val="bottom"/>
          </w:tcPr>
          <w:p>
            <w:pPr>
              <w:ind w:left="340"/>
              <w:spacing w:after="0"/>
              <w:rPr>
                <w:sz w:val="20"/>
                <w:szCs w:val="20"/>
                <w:color w:val="auto"/>
              </w:rPr>
            </w:pPr>
            <w:r>
              <w:rPr>
                <w:rFonts w:ascii="Arial" w:cs="Arial" w:eastAsia="Arial" w:hAnsi="Arial"/>
                <w:sz w:val="22"/>
                <w:szCs w:val="22"/>
                <w:b w:val="1"/>
                <w:bCs w:val="1"/>
                <w:color w:val="auto"/>
                <w:w w:val="99"/>
              </w:rPr>
              <w:t>UBS Investment Bank</w:t>
            </w:r>
          </w:p>
        </w:tc>
        <w:tc>
          <w:tcPr>
            <w:tcW w:w="3560" w:type="dxa"/>
            <w:vAlign w:val="bottom"/>
          </w:tcPr>
          <w:p>
            <w:pPr>
              <w:jc w:val="right"/>
              <w:spacing w:after="0"/>
              <w:rPr>
                <w:sz w:val="20"/>
                <w:szCs w:val="20"/>
                <w:color w:val="auto"/>
              </w:rPr>
            </w:pPr>
            <w:r>
              <w:rPr>
                <w:rFonts w:ascii="Arial" w:cs="Arial" w:eastAsia="Arial" w:hAnsi="Arial"/>
                <w:sz w:val="22"/>
                <w:szCs w:val="22"/>
                <w:b w:val="1"/>
                <w:bCs w:val="1"/>
                <w:color w:val="auto"/>
              </w:rPr>
              <w:t>Wachovia Securities</w:t>
            </w:r>
          </w:p>
        </w:tc>
      </w:tr>
      <w:tr>
        <w:trPr>
          <w:trHeight w:val="328"/>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4"/>
        </w:trPr>
        <w:tc>
          <w:tcPr>
            <w:tcW w:w="3720" w:type="dxa"/>
            <w:vAlign w:val="bottom"/>
            <w:gridSpan w:val="2"/>
          </w:tcPr>
          <w:p>
            <w:pPr>
              <w:spacing w:after="0"/>
              <w:rPr>
                <w:sz w:val="20"/>
                <w:szCs w:val="20"/>
                <w:color w:val="auto"/>
              </w:rPr>
            </w:pPr>
            <w:r>
              <w:rPr>
                <w:rFonts w:ascii="Arial" w:cs="Arial" w:eastAsia="Arial" w:hAnsi="Arial"/>
                <w:sz w:val="22"/>
                <w:szCs w:val="22"/>
                <w:b w:val="1"/>
                <w:bCs w:val="1"/>
                <w:color w:val="auto"/>
              </w:rPr>
              <w:t>A.G. Edwards</w:t>
            </w:r>
          </w:p>
        </w:tc>
        <w:tc>
          <w:tcPr>
            <w:tcW w:w="264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328"/>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33"/>
        </w:trPr>
        <w:tc>
          <w:tcPr>
            <w:tcW w:w="3720" w:type="dxa"/>
            <w:vAlign w:val="bottom"/>
            <w:gridSpan w:val="2"/>
          </w:tcPr>
          <w:p>
            <w:pPr>
              <w:jc w:val="center"/>
              <w:ind w:left="1136"/>
              <w:spacing w:after="0"/>
              <w:rPr>
                <w:sz w:val="20"/>
                <w:szCs w:val="20"/>
                <w:color w:val="auto"/>
              </w:rPr>
            </w:pPr>
            <w:r>
              <w:rPr>
                <w:rFonts w:ascii="Arial" w:cs="Arial" w:eastAsia="Arial" w:hAnsi="Arial"/>
                <w:sz w:val="16"/>
                <w:szCs w:val="16"/>
                <w:b w:val="1"/>
                <w:bCs w:val="1"/>
                <w:color w:val="auto"/>
                <w:w w:val="92"/>
              </w:rPr>
              <w:t>Banc of America Securities LLC</w:t>
            </w:r>
          </w:p>
        </w:tc>
        <w:tc>
          <w:tcPr>
            <w:tcW w:w="2640" w:type="dxa"/>
            <w:vAlign w:val="bottom"/>
          </w:tcPr>
          <w:p>
            <w:pPr>
              <w:spacing w:after="0"/>
              <w:rPr>
                <w:sz w:val="24"/>
                <w:szCs w:val="24"/>
                <w:color w:val="auto"/>
              </w:rPr>
            </w:pPr>
          </w:p>
        </w:tc>
        <w:tc>
          <w:tcPr>
            <w:tcW w:w="3560" w:type="dxa"/>
            <w:vAlign w:val="bottom"/>
          </w:tcPr>
          <w:p>
            <w:pPr>
              <w:jc w:val="right"/>
              <w:ind w:right="1461"/>
              <w:spacing w:after="0"/>
              <w:rPr>
                <w:sz w:val="20"/>
                <w:szCs w:val="20"/>
                <w:color w:val="auto"/>
              </w:rPr>
            </w:pPr>
            <w:r>
              <w:rPr>
                <w:rFonts w:ascii="Arial" w:cs="Arial" w:eastAsia="Arial" w:hAnsi="Arial"/>
                <w:sz w:val="16"/>
                <w:szCs w:val="16"/>
                <w:b w:val="1"/>
                <w:bCs w:val="1"/>
                <w:color w:val="auto"/>
              </w:rPr>
              <w:t>Deutsche Bank Securities</w:t>
            </w:r>
          </w:p>
        </w:tc>
      </w:tr>
      <w:tr>
        <w:trPr>
          <w:trHeight w:val="210"/>
        </w:trPr>
        <w:tc>
          <w:tcPr>
            <w:tcW w:w="1780" w:type="dxa"/>
            <w:vAlign w:val="bottom"/>
          </w:tcPr>
          <w:p>
            <w:pPr>
              <w:spacing w:after="0"/>
              <w:rPr>
                <w:sz w:val="18"/>
                <w:szCs w:val="18"/>
                <w:color w:val="auto"/>
              </w:rPr>
            </w:pPr>
          </w:p>
        </w:tc>
        <w:tc>
          <w:tcPr>
            <w:tcW w:w="1940" w:type="dxa"/>
            <w:vAlign w:val="bottom"/>
          </w:tcPr>
          <w:p>
            <w:pPr>
              <w:jc w:val="center"/>
              <w:ind w:right="479"/>
              <w:spacing w:after="0"/>
              <w:rPr>
                <w:sz w:val="20"/>
                <w:szCs w:val="20"/>
                <w:color w:val="auto"/>
              </w:rPr>
            </w:pPr>
            <w:r>
              <w:rPr>
                <w:rFonts w:ascii="Arial" w:cs="Arial" w:eastAsia="Arial" w:hAnsi="Arial"/>
                <w:sz w:val="16"/>
                <w:szCs w:val="16"/>
                <w:b w:val="1"/>
                <w:bCs w:val="1"/>
                <w:color w:val="auto"/>
                <w:w w:val="95"/>
              </w:rPr>
              <w:t>JPMorgan</w:t>
            </w:r>
          </w:p>
        </w:tc>
        <w:tc>
          <w:tcPr>
            <w:tcW w:w="2640" w:type="dxa"/>
            <w:vAlign w:val="bottom"/>
          </w:tcPr>
          <w:p>
            <w:pPr>
              <w:spacing w:after="0"/>
              <w:rPr>
                <w:sz w:val="18"/>
                <w:szCs w:val="18"/>
                <w:color w:val="auto"/>
              </w:rPr>
            </w:pPr>
          </w:p>
        </w:tc>
        <w:tc>
          <w:tcPr>
            <w:tcW w:w="3560" w:type="dxa"/>
            <w:vAlign w:val="bottom"/>
          </w:tcPr>
          <w:p>
            <w:pPr>
              <w:jc w:val="right"/>
              <w:ind w:right="1721"/>
              <w:spacing w:after="0"/>
              <w:rPr>
                <w:sz w:val="20"/>
                <w:szCs w:val="20"/>
                <w:color w:val="auto"/>
              </w:rPr>
            </w:pPr>
            <w:r>
              <w:rPr>
                <w:rFonts w:ascii="Arial" w:cs="Arial" w:eastAsia="Arial" w:hAnsi="Arial"/>
                <w:sz w:val="16"/>
                <w:szCs w:val="16"/>
                <w:b w:val="1"/>
                <w:bCs w:val="1"/>
                <w:color w:val="auto"/>
              </w:rPr>
              <w:t>Lehman Brothers</w:t>
            </w:r>
          </w:p>
        </w:tc>
      </w:tr>
      <w:tr>
        <w:trPr>
          <w:trHeight w:val="290"/>
        </w:trPr>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jc w:val="center"/>
              <w:ind w:right="64"/>
              <w:spacing w:after="0"/>
              <w:rPr>
                <w:sz w:val="20"/>
                <w:szCs w:val="20"/>
                <w:color w:val="auto"/>
              </w:rPr>
            </w:pPr>
            <w:r>
              <w:rPr>
                <w:rFonts w:ascii="Arial" w:cs="Arial" w:eastAsia="Arial" w:hAnsi="Arial"/>
                <w:sz w:val="18"/>
                <w:szCs w:val="18"/>
                <w:color w:val="auto"/>
              </w:rPr>
              <w:t>May   , 2007</w:t>
            </w:r>
          </w:p>
        </w:tc>
        <w:tc>
          <w:tcPr>
            <w:tcW w:w="3560" w:type="dxa"/>
            <w:vAlign w:val="bottom"/>
          </w:tcPr>
          <w:p>
            <w:pPr>
              <w:spacing w:after="0"/>
              <w:rPr>
                <w:sz w:val="24"/>
                <w:szCs w:val="24"/>
                <w:color w:val="auto"/>
              </w:rPr>
            </w:pPr>
          </w:p>
        </w:tc>
      </w:tr>
      <w:tr>
        <w:trPr>
          <w:trHeight w:val="196"/>
        </w:trPr>
        <w:tc>
          <w:tcPr>
            <w:tcW w:w="17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620"/>
      </w:cols>
      <w:pgMar w:left="240" w:top="419" w:right="10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decimal"/>
      <w:start w:val="2"/>
    </w:lvl>
  </w:abstractNum>
  <w:abstractNum w:abstractNumId="2">
    <w:nsid w:val="22221A70"/>
    <w:multiLevelType w:val="hybridMultilevel"/>
    <w:lvl w:ilvl="0">
      <w:lvlJc w:val="left"/>
      <w:lvlText w:val="(%1)"/>
      <w:numFmt w:val="decimal"/>
      <w:start w:val="215"/>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lowerLetter"/>
      <w:start w:val="26"/>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lvl w:ilvl="1">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lvl w:ilvl="1">
      <w:lvlJc w:val="left"/>
      <w:lvlText w:val="(%2)"/>
      <w:numFmt w:val="lowerRoman"/>
      <w:start w:val="1"/>
    </w:lvl>
  </w:abstractNum>
  <w:abstractNum w:abstractNumId="17">
    <w:nsid w:val="2D517796"/>
    <w:multiLevelType w:val="hybridMultilevel"/>
    <w:lvl w:ilvl="0">
      <w:lvlJc w:val="left"/>
      <w:lvlText w:val="(%1)"/>
      <w:numFmt w:val="decimal"/>
      <w:start w:val="2"/>
    </w:lvl>
    <w:lvl w:ilvl="1">
      <w:lvlJc w:val="left"/>
      <w:lvlText w:val="(%2)"/>
      <w:numFmt w:val="lowerRoman"/>
      <w:start w:val="3"/>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lowerLetter"/>
      <w:start w:val="26"/>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o"/>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o"/>
      <w:numFmt w:val="bullet"/>
      <w:start w:val="1"/>
    </w:lvl>
  </w:abstractNum>
  <w:abstractNum w:abstractNumId="36">
    <w:nsid w:val="579478FE"/>
    <w:multiLevelType w:val="hybridMultilevel"/>
    <w:lvl w:ilvl="0">
      <w:lvlJc w:val="left"/>
      <w:lvlText w:val="o"/>
      <w:numFmt w:val="bullet"/>
      <w:start w:val="1"/>
    </w:lvl>
  </w:abstractNum>
  <w:abstractNum w:abstractNumId="37">
    <w:nsid w:val="749ABB43"/>
    <w:multiLevelType w:val="hybridMultilevel"/>
    <w:lvl w:ilvl="0">
      <w:lvlJc w:val="left"/>
      <w:lvlText w:val="•"/>
      <w:numFmt w:val="bullet"/>
      <w:start w:val="1"/>
    </w:lvl>
    <w:lvl w:ilvl="1">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3"/>
    </w:lvl>
    <w:lvl w:ilvl="1">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o"/>
      <w:numFmt w:val="bullet"/>
      <w:start w:val="1"/>
    </w:lvl>
  </w:abstractNum>
  <w:abstractNum w:abstractNumId="46">
    <w:nsid w:val="4F4EF005"/>
    <w:multiLevelType w:val="hybridMultilevel"/>
    <w:lvl w:ilvl="0">
      <w:lvlJc w:val="left"/>
      <w:lvlText w:val="o"/>
      <w:numFmt w:val="bullet"/>
      <w:start w:val="1"/>
    </w:lvl>
  </w:abstractNum>
  <w:abstractNum w:abstractNumId="47">
    <w:nsid w:val="23F9C13C"/>
    <w:multiLevelType w:val="hybridMultilevel"/>
    <w:lvl w:ilvl="0">
      <w:lvlJc w:val="left"/>
      <w:lvlText w:val="•"/>
      <w:numFmt w:val="bullet"/>
      <w:start w:val="1"/>
    </w:lvl>
    <w:lvl w:ilvl="1">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o"/>
      <w:numFmt w:val="bullet"/>
      <w:start w:val="1"/>
    </w:lvl>
  </w:abstractNum>
  <w:abstractNum w:abstractNumId="50">
    <w:nsid w:val="39386575"/>
    <w:multiLevelType w:val="hybridMultilevel"/>
    <w:lvl w:ilvl="0">
      <w:lvlJc w:val="left"/>
      <w:lvlText w:val="o"/>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2"/>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2019-12-15T05:15:59Z</dcterms:created>
  <dcterms:modified xsi:type="dcterms:W3CDTF">2019-12-15T05:15:59Z</dcterms:modified>
</cp:coreProperties>
</file>