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C</w:t>
      </w:r>
      <w:r>
        <w:rPr>
          <w:rFonts w:ascii="Arial" w:cs="Arial" w:eastAsia="Arial" w:hAnsi="Arial"/>
          <w:sz w:val="12"/>
          <w:szCs w:val="12"/>
          <w:color w:val="auto"/>
        </w:rPr>
        <w:t>OMMUNICATIONS</w:t>
      </w:r>
      <w:r>
        <w:rPr>
          <w:rFonts w:ascii="Arial" w:cs="Arial" w:eastAsia="Arial" w:hAnsi="Arial"/>
          <w:sz w:val="18"/>
          <w:szCs w:val="18"/>
          <w:color w:val="auto"/>
        </w:rPr>
        <w:t>,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C</w:t>
      </w:r>
      <w:r>
        <w:rPr>
          <w:rFonts w:ascii="Arial" w:cs="Arial" w:eastAsia="Arial" w:hAnsi="Arial"/>
          <w:sz w:val="12"/>
          <w:szCs w:val="12"/>
          <w:color w:val="auto"/>
        </w:rPr>
        <w:t>OMMUNICATIONS</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C</w:t>
      </w:r>
      <w:r>
        <w:rPr>
          <w:rFonts w:ascii="Arial" w:cs="Arial" w:eastAsia="Arial" w:hAnsi="Arial"/>
          <w:sz w:val="12"/>
          <w:szCs w:val="12"/>
          <w:color w:val="auto"/>
        </w:rPr>
        <w:t>ABLE</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MO G</w:t>
      </w:r>
      <w:r>
        <w:rPr>
          <w:rFonts w:ascii="Arial" w:cs="Arial" w:eastAsia="Arial" w:hAnsi="Arial"/>
          <w:sz w:val="12"/>
          <w:szCs w:val="12"/>
          <w:color w:val="auto"/>
        </w:rPr>
        <w:t>ROUP</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OMCAST</w:t>
      </w:r>
      <w:r>
        <w:rPr>
          <w:rFonts w:ascii="Arial" w:cs="Arial" w:eastAsia="Arial" w:hAnsi="Arial"/>
          <w:sz w:val="18"/>
          <w:szCs w:val="18"/>
          <w:color w:val="auto"/>
        </w:rPr>
        <w:t xml:space="preserve"> MO </w:t>
      </w:r>
      <w:r>
        <w:rPr>
          <w:rFonts w:ascii="Arial" w:cs="Arial" w:eastAsia="Arial" w:hAnsi="Arial"/>
          <w:sz w:val="12"/>
          <w:szCs w:val="12"/>
          <w:color w:val="auto"/>
        </w:rPr>
        <w:t>OF</w:t>
      </w:r>
      <w:r>
        <w:rPr>
          <w:rFonts w:ascii="Arial" w:cs="Arial" w:eastAsia="Arial" w:hAnsi="Arial"/>
          <w:sz w:val="18"/>
          <w:szCs w:val="18"/>
          <w:color w:val="auto"/>
        </w:rPr>
        <w:t xml:space="preserve"> D</w:t>
      </w:r>
      <w:r>
        <w:rPr>
          <w:rFonts w:ascii="Arial" w:cs="Arial" w:eastAsia="Arial" w:hAnsi="Arial"/>
          <w:sz w:val="12"/>
          <w:szCs w:val="12"/>
          <w:color w:val="auto"/>
        </w:rPr>
        <w:t>ELAWARE</w:t>
      </w:r>
      <w:r>
        <w:rPr>
          <w:rFonts w:ascii="Arial" w:cs="Arial" w:eastAsia="Arial" w:hAnsi="Arial"/>
          <w:sz w:val="18"/>
          <w:szCs w:val="18"/>
          <w:color w:val="auto"/>
        </w:rPr>
        <w:t>,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PENNSYLVANIA</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27-0000798</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23-2175755</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04-3592397</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84-1260157</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91-2047743</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5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DELAWARE</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84-1372033</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5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(State of Incorporation or Organization)</w:t>
            </w:r>
          </w:p>
        </w:tc>
        <w:tc>
          <w:tcPr>
            <w:tcW w:w="420" w:type="dxa"/>
            <w:vAlign w:val="bottom"/>
          </w:tcPr>
          <w:p>
            <w:pPr>
              <w:spacing w:after="0"/>
              <w:rPr>
                <w:sz w:val="20"/>
                <w:szCs w:val="20"/>
                <w:color w:val="auto"/>
              </w:rPr>
            </w:pPr>
          </w:p>
        </w:tc>
        <w:tc>
          <w:tcPr>
            <w:tcW w:w="542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1500 Market Street</w:t>
            </w:r>
          </w:p>
        </w:tc>
        <w:tc>
          <w:tcPr>
            <w:tcW w:w="4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19102-2148</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5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Philadelphia, PA</w:t>
            </w:r>
          </w:p>
        </w:tc>
        <w:tc>
          <w:tcPr>
            <w:tcW w:w="420" w:type="dxa"/>
            <w:vAlign w:val="bottom"/>
          </w:tcPr>
          <w:p>
            <w:pPr>
              <w:spacing w:after="0"/>
              <w:rPr>
                <w:sz w:val="19"/>
                <w:szCs w:val="19"/>
                <w:color w:val="auto"/>
              </w:rPr>
            </w:pPr>
          </w:p>
        </w:tc>
        <w:tc>
          <w:tcPr>
            <w:tcW w:w="542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(Zip Code)</w:t>
            </w:r>
          </w:p>
        </w:tc>
      </w:tr>
      <w:tr>
        <w:trPr>
          <w:trHeight w:val="230"/>
        </w:trPr>
        <w:tc>
          <w:tcPr>
            <w:tcW w:w="5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580" w:type="dxa"/>
            <w:vAlign w:val="bottom"/>
            <w:gridSpan w:val="2"/>
          </w:tcPr>
          <w:p>
            <w:pPr>
              <w:spacing w:after="0"/>
              <w:rPr>
                <w:sz w:val="20"/>
                <w:szCs w:val="20"/>
                <w:color w:val="auto"/>
              </w:rPr>
            </w:pPr>
            <w:r>
              <w:rPr>
                <w:rFonts w:ascii="Arial" w:cs="Arial" w:eastAsia="Arial" w:hAnsi="Arial"/>
                <w:sz w:val="18"/>
                <w:szCs w:val="18"/>
                <w:color w:val="auto"/>
                <w:w w:val="98"/>
              </w:rPr>
              <w:t>If this form relates to the registration of a class of securities pursuant to</w:t>
            </w:r>
          </w:p>
        </w:tc>
        <w:tc>
          <w:tcPr>
            <w:tcW w:w="5840" w:type="dxa"/>
            <w:vAlign w:val="bottom"/>
            <w:gridSpan w:val="4"/>
          </w:tcPr>
          <w:p>
            <w:pPr>
              <w:ind w:left="140"/>
              <w:spacing w:after="0"/>
              <w:rPr>
                <w:sz w:val="20"/>
                <w:szCs w:val="20"/>
                <w:color w:val="auto"/>
              </w:rPr>
            </w:pPr>
            <w:r>
              <w:rPr>
                <w:rFonts w:ascii="Arial" w:cs="Arial" w:eastAsia="Arial" w:hAnsi="Arial"/>
                <w:sz w:val="18"/>
                <w:szCs w:val="18"/>
                <w:color w:val="auto"/>
              </w:rPr>
              <w:t>If this form relates to the registration of a class of securities pursuant to</w:t>
            </w:r>
          </w:p>
        </w:tc>
      </w:tr>
      <w:tr>
        <w:trPr>
          <w:trHeight w:val="183"/>
        </w:trPr>
        <w:tc>
          <w:tcPr>
            <w:tcW w:w="5580" w:type="dxa"/>
            <w:vAlign w:val="bottom"/>
            <w:gridSpan w:val="2"/>
          </w:tcPr>
          <w:p>
            <w:pPr>
              <w:spacing w:after="0" w:line="183" w:lineRule="exact"/>
              <w:rPr>
                <w:sz w:val="20"/>
                <w:szCs w:val="20"/>
                <w:color w:val="auto"/>
              </w:rPr>
            </w:pPr>
            <w:r>
              <w:rPr>
                <w:rFonts w:ascii="Arial" w:cs="Arial" w:eastAsia="Arial" w:hAnsi="Arial"/>
                <w:sz w:val="18"/>
                <w:szCs w:val="18"/>
                <w:color w:val="auto"/>
                <w:w w:val="98"/>
              </w:rPr>
              <w:t>Section 12(b) of the Exchange Act and is effective pursuant to General</w:t>
            </w:r>
          </w:p>
        </w:tc>
        <w:tc>
          <w:tcPr>
            <w:tcW w:w="5840" w:type="dxa"/>
            <w:vAlign w:val="bottom"/>
            <w:gridSpan w:val="4"/>
          </w:tcPr>
          <w:p>
            <w:pPr>
              <w:ind w:left="140"/>
              <w:spacing w:after="0" w:line="183" w:lineRule="exact"/>
              <w:rPr>
                <w:sz w:val="20"/>
                <w:szCs w:val="20"/>
                <w:color w:val="auto"/>
              </w:rPr>
            </w:pPr>
            <w:r>
              <w:rPr>
                <w:rFonts w:ascii="Arial" w:cs="Arial" w:eastAsia="Arial" w:hAnsi="Arial"/>
                <w:sz w:val="18"/>
                <w:szCs w:val="18"/>
                <w:color w:val="auto"/>
              </w:rPr>
              <w:t>Section 12(g) of the Exchange Act and is effective pursuant to General</w:t>
            </w:r>
          </w:p>
        </w:tc>
      </w:tr>
      <w:tr>
        <w:trPr>
          <w:trHeight w:val="283"/>
        </w:trPr>
        <w:tc>
          <w:tcPr>
            <w:tcW w:w="55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Instruction A.(c), please check the following box. </w:t>
            </w:r>
            <w:r>
              <w:rPr>
                <w:rFonts w:ascii="MS PGothic" w:cs="MS PGothic" w:eastAsia="MS PGothic" w:hAnsi="MS PGothic"/>
                <w:sz w:val="18"/>
                <w:szCs w:val="18"/>
                <w:color w:val="auto"/>
              </w:rPr>
              <w:t>☑</w:t>
            </w:r>
          </w:p>
        </w:tc>
        <w:tc>
          <w:tcPr>
            <w:tcW w:w="5840" w:type="dxa"/>
            <w:vAlign w:val="bottom"/>
            <w:gridSpan w:val="4"/>
          </w:tcPr>
          <w:p>
            <w:pPr>
              <w:ind w:left="140"/>
              <w:spacing w:after="0"/>
              <w:rPr>
                <w:sz w:val="20"/>
                <w:szCs w:val="20"/>
                <w:color w:val="auto"/>
              </w:rPr>
            </w:pPr>
            <w:r>
              <w:rPr>
                <w:rFonts w:ascii="Arial" w:cs="Arial" w:eastAsia="Arial" w:hAnsi="Arial"/>
                <w:sz w:val="18"/>
                <w:szCs w:val="18"/>
                <w:color w:val="auto"/>
              </w:rPr>
              <w:t>Instruction A.(d), please check the following box. o</w:t>
            </w:r>
          </w:p>
        </w:tc>
      </w:tr>
      <w:tr>
        <w:trPr>
          <w:trHeight w:val="372"/>
        </w:trPr>
        <w:tc>
          <w:tcPr>
            <w:tcW w:w="55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Securities Act registration statement file number to which this form relates:</w:t>
            </w:r>
          </w:p>
        </w:tc>
        <w:tc>
          <w:tcPr>
            <w:tcW w:w="5760" w:type="dxa"/>
            <w:vAlign w:val="bottom"/>
            <w:gridSpan w:val="3"/>
          </w:tcPr>
          <w:p>
            <w:pPr>
              <w:jc w:val="right"/>
              <w:spacing w:after="0"/>
              <w:rPr>
                <w:sz w:val="20"/>
                <w:szCs w:val="20"/>
                <w:color w:val="auto"/>
              </w:rPr>
            </w:pPr>
            <w:r>
              <w:rPr>
                <w:rFonts w:ascii="Arial" w:cs="Arial" w:eastAsia="Arial" w:hAnsi="Arial"/>
                <w:sz w:val="18"/>
                <w:szCs w:val="18"/>
                <w:color w:val="auto"/>
              </w:rPr>
              <w:t>333-132750</w:t>
            </w:r>
          </w:p>
        </w:tc>
        <w:tc>
          <w:tcPr>
            <w:tcW w:w="80" w:type="dxa"/>
            <w:vAlign w:val="bottom"/>
          </w:tcPr>
          <w:p>
            <w:pPr>
              <w:spacing w:after="0"/>
              <w:rPr>
                <w:sz w:val="24"/>
                <w:szCs w:val="24"/>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20" w:type="dxa"/>
            <w:vAlign w:val="bottom"/>
            <w:gridSpan w:val="3"/>
          </w:tcPr>
          <w:p>
            <w:pPr>
              <w:jc w:val="center"/>
              <w:ind w:left="4310"/>
              <w:spacing w:after="0"/>
              <w:rPr>
                <w:sz w:val="20"/>
                <w:szCs w:val="20"/>
                <w:color w:val="auto"/>
              </w:rPr>
            </w:pPr>
            <w:r>
              <w:rPr>
                <w:rFonts w:ascii="Arial" w:cs="Arial" w:eastAsia="Arial" w:hAnsi="Arial"/>
                <w:sz w:val="18"/>
                <w:szCs w:val="18"/>
                <w:color w:val="auto"/>
                <w:w w:val="94"/>
              </w:rPr>
              <w:t>(If applicable)</w:t>
            </w: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4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55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Title of Each Class</w:t>
            </w:r>
          </w:p>
        </w:tc>
        <w:tc>
          <w:tcPr>
            <w:tcW w:w="420" w:type="dxa"/>
            <w:vAlign w:val="bottom"/>
          </w:tcPr>
          <w:p>
            <w:pPr>
              <w:spacing w:after="0"/>
              <w:rPr>
                <w:sz w:val="24"/>
                <w:szCs w:val="24"/>
                <w:color w:val="auto"/>
              </w:rPr>
            </w:pPr>
          </w:p>
        </w:tc>
        <w:tc>
          <w:tcPr>
            <w:tcW w:w="5420" w:type="dxa"/>
            <w:vAlign w:val="bottom"/>
            <w:gridSpan w:val="3"/>
          </w:tcPr>
          <w:p>
            <w:pPr>
              <w:jc w:val="center"/>
              <w:spacing w:after="0"/>
              <w:rPr>
                <w:sz w:val="20"/>
                <w:szCs w:val="20"/>
                <w:color w:val="auto"/>
              </w:rPr>
            </w:pPr>
            <w:r>
              <w:rPr>
                <w:rFonts w:ascii="Arial" w:cs="Arial" w:eastAsia="Arial" w:hAnsi="Arial"/>
                <w:sz w:val="18"/>
                <w:szCs w:val="18"/>
                <w:color w:val="auto"/>
                <w:w w:val="90"/>
              </w:rPr>
              <w:t>Name of Each Exchange on Which</w:t>
            </w:r>
          </w:p>
        </w:tc>
      </w:tr>
      <w:tr>
        <w:trPr>
          <w:trHeight w:val="230"/>
        </w:trPr>
        <w:tc>
          <w:tcPr>
            <w:tcW w:w="5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to be so Registered</w:t>
            </w:r>
          </w:p>
        </w:tc>
        <w:tc>
          <w:tcPr>
            <w:tcW w:w="420" w:type="dxa"/>
            <w:vAlign w:val="bottom"/>
          </w:tcPr>
          <w:p>
            <w:pPr>
              <w:spacing w:after="0"/>
              <w:rPr>
                <w:sz w:val="20"/>
                <w:szCs w:val="20"/>
                <w:color w:val="auto"/>
              </w:rPr>
            </w:pPr>
          </w:p>
        </w:tc>
        <w:tc>
          <w:tcPr>
            <w:tcW w:w="5420" w:type="dxa"/>
            <w:vAlign w:val="bottom"/>
            <w:gridSpan w:val="3"/>
          </w:tcPr>
          <w:p>
            <w:pPr>
              <w:jc w:val="center"/>
              <w:spacing w:after="0"/>
              <w:rPr>
                <w:sz w:val="20"/>
                <w:szCs w:val="20"/>
                <w:color w:val="auto"/>
              </w:rPr>
            </w:pPr>
            <w:r>
              <w:rPr>
                <w:rFonts w:ascii="Arial" w:cs="Arial" w:eastAsia="Arial" w:hAnsi="Arial"/>
                <w:sz w:val="18"/>
                <w:szCs w:val="18"/>
                <w:color w:val="auto"/>
                <w:w w:val="88"/>
              </w:rPr>
              <w:t>Each Class is to be Registered</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7.00% Notes Due 2055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Item 1. Description of Registrant’s Securities to be Registered</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description of the 7.00% Notes Due 2055 and the guarantees thereof presented under the caption “Description of the Notes” in the Prospectus Supplement dated May 3, 2006 and filed with the Securities and Exchange Commission on May 4, 2006 and under the caption “Description of Debt Securities and Cable Guarantees” in the Prospectus contained in the Registrants’ effective Registration Statement on Form S-3 (Registration No. 333-132750) as amended, which Registration Statement was filed with the Securities and Exchange Commission on March 27, 2006,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2. Exhibits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right="40" w:hanging="809"/>
        <w:spacing w:after="0" w:line="291"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Company, the Comcast Cable Communications, LLC (formerly known as Comcast Cable Communications, Inc.), Comcast Cable Communications Holdings, Inc., Comcast Cable Holdings, LLC, Comcast MO Group, Inc. (collectively with Comcast MO of Delaware, LLC (formerly known as Comcast MO of Delaware, Inc.),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relating to the Registrant’s debt securities (Incorporated by reference to the Registration Statement on Form S-3, File No. 333-101861, filed with the Securities and Exchange Commission on December 16, 2002).</w:t>
      </w:r>
    </w:p>
    <w:p>
      <w:pPr>
        <w:spacing w:after="0" w:line="165" w:lineRule="exact"/>
        <w:rPr>
          <w:sz w:val="20"/>
          <w:szCs w:val="20"/>
          <w:color w:val="auto"/>
        </w:rPr>
      </w:pPr>
    </w:p>
    <w:p>
      <w:pPr>
        <w:jc w:val="both"/>
        <w:ind w:left="820" w:right="400" w:hanging="809"/>
        <w:spacing w:after="0" w:line="264"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as of March 25, 2003 by and among the Company, the Cable Guarantors and the Trustee (incorporated by reference to the Registration Statement on Form S-3, File No. 333-104034, filed with the Securities and Exchange Commission on March 26, 2003).</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Officers’ Certificate setting forth the terms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its behalf by the undersigned, thereto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Cable Communications Holdings, Inc.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Comcast MO of Delaware, LLC</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3, 2006</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958"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4.3</w:t>
      </w: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Form of Officers’ Certificate</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Pursuant to Section 2.03 of the Indenture dated as of January 7, 2003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the Cable Guarantors (as defined below) other than Comcast MO of Delaware, LLC and The Bank of New York,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March 25, 2003 by and among the Company, the Cable Guarantors and the Trustee, and guaranteed on an unsecured and unsubordinated basis by Comcast Cable Communications, LLC (formerly known as Comcast Cable Communications, Inc.), Comcast Cable Communications Holdings, Inc., Comcast Cable Holdings, LLC, Comcast MO Group, Inc., and Comcast MO of Delaware, LLC (formerly known as Comcast MO of Delaware, Inc.) (the “</w:t>
      </w:r>
      <w:r>
        <w:rPr>
          <w:rFonts w:ascii="Arial" w:cs="Arial" w:eastAsia="Arial" w:hAnsi="Arial"/>
          <w:sz w:val="17"/>
          <w:szCs w:val="17"/>
          <w:b w:val="1"/>
          <w:bCs w:val="1"/>
          <w:color w:val="auto"/>
        </w:rPr>
        <w:t>Cable Guarantors</w:t>
      </w:r>
      <w:r>
        <w:rPr>
          <w:rFonts w:ascii="Arial" w:cs="Arial" w:eastAsia="Arial" w:hAnsi="Arial"/>
          <w:sz w:val="17"/>
          <w:szCs w:val="17"/>
          <w:color w:val="auto"/>
        </w:rPr>
        <w:t>”), the undersigned officers of the Company do hereby certify, in connection with the issuance of the Company’s 7.00% Notes Due 2055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8520" w:type="dxa"/>
            <w:vAlign w:val="bottom"/>
          </w:tcPr>
          <w:p>
            <w:pPr>
              <w:ind w:left="760"/>
              <w:spacing w:after="0"/>
              <w:rPr>
                <w:sz w:val="20"/>
                <w:szCs w:val="20"/>
                <w:color w:val="auto"/>
              </w:rPr>
            </w:pPr>
            <w:r>
              <w:rPr>
                <w:rFonts w:ascii="Arial" w:cs="Arial" w:eastAsia="Arial" w:hAnsi="Arial"/>
                <w:sz w:val="18"/>
                <w:szCs w:val="18"/>
                <w:color w:val="auto"/>
              </w:rPr>
              <w:t>7.00% Notes Due 2055</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Aggregate Principal Amount:</w:t>
            </w:r>
          </w:p>
        </w:tc>
        <w:tc>
          <w:tcPr>
            <w:tcW w:w="8520" w:type="dxa"/>
            <w:vAlign w:val="bottom"/>
          </w:tcPr>
          <w:p>
            <w:pPr>
              <w:ind w:left="760"/>
              <w:spacing w:after="0"/>
              <w:rPr>
                <w:sz w:val="20"/>
                <w:szCs w:val="20"/>
                <w:color w:val="auto"/>
              </w:rPr>
            </w:pPr>
            <w:r>
              <w:rPr>
                <w:rFonts w:ascii="Arial" w:cs="Arial" w:eastAsia="Arial" w:hAnsi="Arial"/>
                <w:sz w:val="18"/>
                <w:szCs w:val="18"/>
                <w:color w:val="auto"/>
              </w:rPr>
              <w:t>$300,000,000 ($345,000,000 if the underwriters’ over-allotment option is exercised in full)</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8520" w:type="dxa"/>
            <w:vAlign w:val="bottom"/>
          </w:tcPr>
          <w:p>
            <w:pPr>
              <w:ind w:left="760"/>
              <w:spacing w:after="0"/>
              <w:rPr>
                <w:sz w:val="20"/>
                <w:szCs w:val="20"/>
                <w:color w:val="auto"/>
              </w:rPr>
            </w:pPr>
            <w:r>
              <w:rPr>
                <w:rFonts w:ascii="Arial" w:cs="Arial" w:eastAsia="Arial" w:hAnsi="Arial"/>
                <w:sz w:val="18"/>
                <w:szCs w:val="18"/>
                <w:color w:val="auto"/>
              </w:rPr>
              <w:t>May 15, 2055</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8520" w:type="dxa"/>
            <w:vAlign w:val="bottom"/>
          </w:tcPr>
          <w:p>
            <w:pPr>
              <w:ind w:left="760"/>
              <w:spacing w:after="0"/>
              <w:rPr>
                <w:sz w:val="20"/>
                <w:szCs w:val="20"/>
                <w:color w:val="auto"/>
              </w:rPr>
            </w:pPr>
            <w:r>
              <w:rPr>
                <w:rFonts w:ascii="Arial" w:cs="Arial" w:eastAsia="Arial" w:hAnsi="Arial"/>
                <w:sz w:val="18"/>
                <w:szCs w:val="18"/>
                <w:color w:val="auto"/>
              </w:rPr>
              <w:t>7.00%</w:t>
            </w:r>
          </w:p>
        </w:tc>
      </w:tr>
      <w:tr>
        <w:trPr>
          <w:trHeight w:val="418"/>
        </w:trPr>
        <w:tc>
          <w:tcPr>
            <w:tcW w:w="29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8520" w:type="dxa"/>
            <w:vAlign w:val="bottom"/>
          </w:tcPr>
          <w:p>
            <w:pPr>
              <w:ind w:left="760"/>
              <w:spacing w:after="0"/>
              <w:rPr>
                <w:sz w:val="20"/>
                <w:szCs w:val="20"/>
                <w:color w:val="auto"/>
              </w:rPr>
            </w:pPr>
            <w:r>
              <w:rPr>
                <w:rFonts w:ascii="Arial" w:cs="Arial" w:eastAsia="Arial" w:hAnsi="Arial"/>
                <w:sz w:val="18"/>
                <w:szCs w:val="18"/>
                <w:color w:val="auto"/>
                <w:w w:val="93"/>
              </w:rPr>
              <w:t>The Company may at its option redeem the Notes in whole or in part, at any time or from time to time on</w:t>
            </w:r>
          </w:p>
        </w:tc>
      </w:tr>
      <w:tr>
        <w:trPr>
          <w:trHeight w:val="216"/>
        </w:trPr>
        <w:tc>
          <w:tcPr>
            <w:tcW w:w="290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6"/>
              </w:rPr>
              <w:t>or after May 15, 2011 and prior to their maturity, on at least 30 days, but not more than 60 days, prior</w:t>
            </w:r>
          </w:p>
        </w:tc>
      </w:tr>
      <w:tr>
        <w:trPr>
          <w:trHeight w:val="216"/>
        </w:trPr>
        <w:tc>
          <w:tcPr>
            <w:tcW w:w="290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1"/>
              </w:rPr>
              <w:t>notice mailed to the registered address of each holder of the Notes, at a redemption price equal to 100% of</w:t>
            </w:r>
          </w:p>
        </w:tc>
      </w:tr>
      <w:tr>
        <w:trPr>
          <w:trHeight w:val="216"/>
        </w:trPr>
        <w:tc>
          <w:tcPr>
            <w:tcW w:w="2900" w:type="dxa"/>
            <w:vAlign w:val="bottom"/>
          </w:tcPr>
          <w:p>
            <w:pPr>
              <w:spacing w:after="0"/>
              <w:rPr>
                <w:sz w:val="18"/>
                <w:szCs w:val="18"/>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w w:val="97"/>
              </w:rPr>
              <w:t>the principal amount of the redeemed Notes plus accrued and unpaid interest thereon to the date of</w:t>
            </w:r>
          </w:p>
        </w:tc>
      </w:tr>
      <w:tr>
        <w:trPr>
          <w:trHeight w:val="230"/>
        </w:trPr>
        <w:tc>
          <w:tcPr>
            <w:tcW w:w="290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redemption, and as further described in the Prospectus Supplement dated May 3, 2006.</w:t>
            </w:r>
          </w:p>
        </w:tc>
      </w:tr>
      <w:tr>
        <w:trPr>
          <w:trHeight w:val="418"/>
        </w:trPr>
        <w:tc>
          <w:tcPr>
            <w:tcW w:w="29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520" w:type="dxa"/>
            <w:vAlign w:val="bottom"/>
          </w:tcPr>
          <w:p>
            <w:pPr>
              <w:ind w:left="760"/>
              <w:spacing w:after="0"/>
              <w:rPr>
                <w:sz w:val="20"/>
                <w:szCs w:val="20"/>
                <w:color w:val="auto"/>
              </w:rPr>
            </w:pPr>
            <w:r>
              <w:rPr>
                <w:rFonts w:ascii="Arial" w:cs="Arial" w:eastAsia="Arial" w:hAnsi="Arial"/>
                <w:sz w:val="18"/>
                <w:szCs w:val="18"/>
                <w:color w:val="auto"/>
                <w:w w:val="89"/>
              </w:rPr>
              <w:t>The Notes need not be issued at the same time and the series may be reopened for issuance of an unlimited</w:t>
            </w:r>
          </w:p>
        </w:tc>
      </w:tr>
      <w:tr>
        <w:trPr>
          <w:trHeight w:val="230"/>
        </w:trPr>
        <w:tc>
          <w:tcPr>
            <w:tcW w:w="2900" w:type="dxa"/>
            <w:vAlign w:val="bottom"/>
          </w:tcPr>
          <w:p>
            <w:pPr>
              <w:spacing w:after="0"/>
              <w:rPr>
                <w:sz w:val="20"/>
                <w:szCs w:val="20"/>
                <w:color w:val="auto"/>
              </w:rPr>
            </w:pPr>
          </w:p>
        </w:tc>
        <w:tc>
          <w:tcPr>
            <w:tcW w:w="8520" w:type="dxa"/>
            <w:vAlign w:val="bottom"/>
          </w:tcPr>
          <w:p>
            <w:pPr>
              <w:ind w:left="760"/>
              <w:spacing w:after="0"/>
              <w:rPr>
                <w:sz w:val="20"/>
                <w:szCs w:val="20"/>
                <w:color w:val="auto"/>
              </w:rPr>
            </w:pPr>
            <w:r>
              <w:rPr>
                <w:rFonts w:ascii="Arial" w:cs="Arial" w:eastAsia="Arial" w:hAnsi="Arial"/>
                <w:sz w:val="18"/>
                <w:szCs w:val="18"/>
                <w:color w:val="auto"/>
              </w:rPr>
              <w:t>principal amount of additional</w:t>
            </w:r>
          </w:p>
        </w:tc>
      </w:tr>
      <w:tr>
        <w:trPr>
          <w:trHeight w:val="632"/>
        </w:trPr>
        <w:tc>
          <w:tcPr>
            <w:tcW w:w="2900" w:type="dxa"/>
            <w:vAlign w:val="bottom"/>
            <w:tcBorders>
              <w:bottom w:val="single" w:sz="8" w:color="808080"/>
            </w:tcBorders>
          </w:tcPr>
          <w:p>
            <w:pPr>
              <w:spacing w:after="0"/>
              <w:rPr>
                <w:sz w:val="24"/>
                <w:szCs w:val="24"/>
                <w:color w:val="auto"/>
              </w:rPr>
            </w:pPr>
          </w:p>
        </w:tc>
        <w:tc>
          <w:tcPr>
            <w:tcW w:w="8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w w:val="92"/>
              </w:rPr>
              <w:t>Notes under this series. Additional Notes of this series will be consolidated with, and form a single series</w:t>
            </w:r>
          </w:p>
        </w:tc>
      </w:tr>
      <w:tr>
        <w:trPr>
          <w:trHeight w:val="216"/>
        </w:trPr>
        <w:tc>
          <w:tcPr>
            <w:tcW w:w="2380" w:type="dxa"/>
            <w:vAlign w:val="bottom"/>
          </w:tcPr>
          <w:p>
            <w:pPr>
              <w:spacing w:after="0"/>
              <w:rPr>
                <w:sz w:val="18"/>
                <w:szCs w:val="18"/>
                <w:color w:val="auto"/>
              </w:rPr>
            </w:pP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w w:val="90"/>
              </w:rPr>
              <w:t>with, Notes then outstanding, including for purposes of determining whether the required percentage of the</w:t>
            </w:r>
          </w:p>
        </w:tc>
      </w:tr>
      <w:tr>
        <w:trPr>
          <w:trHeight w:val="216"/>
        </w:trPr>
        <w:tc>
          <w:tcPr>
            <w:tcW w:w="2380" w:type="dxa"/>
            <w:vAlign w:val="bottom"/>
          </w:tcPr>
          <w:p>
            <w:pPr>
              <w:spacing w:after="0"/>
              <w:rPr>
                <w:sz w:val="18"/>
                <w:szCs w:val="18"/>
                <w:color w:val="auto"/>
              </w:rPr>
            </w:pP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w w:val="96"/>
              </w:rPr>
              <w:t>holders of record has given approval or consent to an amendment or waiver or joined in directing the</w:t>
            </w:r>
          </w:p>
        </w:tc>
      </w:tr>
      <w:tr>
        <w:trPr>
          <w:trHeight w:val="230"/>
        </w:trPr>
        <w:tc>
          <w:tcPr>
            <w:tcW w:w="2380" w:type="dxa"/>
            <w:vAlign w:val="bottom"/>
          </w:tcPr>
          <w:p>
            <w:pPr>
              <w:spacing w:after="0"/>
              <w:rPr>
                <w:sz w:val="20"/>
                <w:szCs w:val="20"/>
                <w:color w:val="auto"/>
              </w:rPr>
            </w:pP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rPr>
              <w:t>Trustee to take certain actions on behalf of all holders.</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rPr>
              <w:t>None</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rPr>
              <w:t>None</w:t>
            </w:r>
          </w:p>
        </w:tc>
      </w:tr>
      <w:tr>
        <w:trPr>
          <w:trHeight w:val="414"/>
        </w:trPr>
        <w:tc>
          <w:tcPr>
            <w:tcW w:w="23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9000" w:type="dxa"/>
            <w:vAlign w:val="bottom"/>
            <w:gridSpan w:val="3"/>
          </w:tcPr>
          <w:p>
            <w:pPr>
              <w:ind w:left="1280"/>
              <w:spacing w:after="0"/>
              <w:rPr>
                <w:sz w:val="20"/>
                <w:szCs w:val="20"/>
                <w:color w:val="auto"/>
              </w:rPr>
            </w:pPr>
            <w:r>
              <w:rPr>
                <w:rFonts w:ascii="Arial" w:cs="Arial" w:eastAsia="Arial" w:hAnsi="Arial"/>
                <w:sz w:val="18"/>
                <w:szCs w:val="18"/>
                <w:color w:val="auto"/>
                <w:w w:val="96"/>
              </w:rPr>
              <w:t>The terms of the Notes shall include such other terms as are set forth in the form of Notes Due 2055</w:t>
            </w:r>
          </w:p>
        </w:tc>
      </w:tr>
      <w:tr>
        <w:trPr>
          <w:trHeight w:val="194"/>
        </w:trPr>
        <w:tc>
          <w:tcPr>
            <w:tcW w:w="2380" w:type="dxa"/>
            <w:vAlign w:val="bottom"/>
          </w:tcPr>
          <w:p>
            <w:pPr>
              <w:spacing w:after="0"/>
              <w:rPr>
                <w:sz w:val="16"/>
                <w:szCs w:val="16"/>
                <w:color w:val="auto"/>
              </w:rPr>
            </w:pPr>
          </w:p>
        </w:tc>
        <w:tc>
          <w:tcPr>
            <w:tcW w:w="9000" w:type="dxa"/>
            <w:vAlign w:val="bottom"/>
            <w:gridSpan w:val="3"/>
          </w:tcPr>
          <w:p>
            <w:pPr>
              <w:ind w:left="1280"/>
              <w:spacing w:after="0" w:line="194" w:lineRule="exact"/>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 WITNESS WHEREOF, the undersigned officers of the Company have duly executed this certificate as of May ___, 2006.</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2872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Kenneth Mikalauskas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 — Finance</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14605</wp:posOffset>
            </wp:positionV>
            <wp:extent cx="28727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Senior Vice President, General Counsel and Secretary</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 Note Due 2055</w:t>
      </w:r>
    </w:p>
    <w:p>
      <w:pPr>
        <w:spacing w:after="0" w:line="211" w:lineRule="exact"/>
        <w:rPr>
          <w:sz w:val="20"/>
          <w:szCs w:val="20"/>
          <w:color w:val="auto"/>
        </w:rPr>
      </w:pPr>
    </w:p>
    <w:p>
      <w:pPr>
        <w:spacing w:after="0"/>
        <w:tabs>
          <w:tab w:leader="none" w:pos="964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20030N309</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corporation), for value received promises to</w:t>
      </w:r>
    </w:p>
    <w:p>
      <w:pPr>
        <w:spacing w:after="0" w:line="50" w:lineRule="exact"/>
        <w:rPr>
          <w:sz w:val="20"/>
          <w:szCs w:val="20"/>
          <w:color w:val="auto"/>
        </w:rPr>
      </w:pPr>
    </w:p>
    <w:p>
      <w:pPr>
        <w:spacing w:after="0"/>
        <w:tabs>
          <w:tab w:leader="none" w:pos="5520" w:val="left"/>
          <w:tab w:leader="none" w:pos="6420" w:val="left"/>
        </w:tabs>
        <w:rPr>
          <w:sz w:val="20"/>
          <w:szCs w:val="20"/>
          <w:color w:val="auto"/>
        </w:rPr>
      </w:pPr>
      <w:r>
        <w:rPr>
          <w:rFonts w:ascii="Arial" w:cs="Arial" w:eastAsia="Arial" w:hAnsi="Arial"/>
          <w:sz w:val="18"/>
          <w:szCs w:val="18"/>
          <w:color w:val="auto"/>
        </w:rPr>
        <w:t>pay to CEDE &amp; CO. or registered assigns, the principal sum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Dollars) on May 15, 2055.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Interest Payment Dates: May 15, August 15, November 15 and February 15 (each, an “</w:t>
      </w:r>
      <w:r>
        <w:rPr>
          <w:rFonts w:ascii="Arial" w:cs="Arial" w:eastAsia="Arial" w:hAnsi="Arial"/>
          <w:sz w:val="17"/>
          <w:szCs w:val="17"/>
          <w:b w:val="1"/>
          <w:bCs w:val="1"/>
          <w:color w:val="auto"/>
        </w:rPr>
        <w:t>Interest Payment Date</w:t>
      </w:r>
      <w:r>
        <w:rPr>
          <w:rFonts w:ascii="Arial" w:cs="Arial" w:eastAsia="Arial" w:hAnsi="Arial"/>
          <w:sz w:val="17"/>
          <w:szCs w:val="17"/>
          <w:color w:val="auto"/>
        </w:rPr>
        <w:t>”), commencing on August 15, 2006.</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Record Dates: May 1, August 1, November 1 and February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 place.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240"/>
        <w:spacing w:after="0"/>
        <w:rPr>
          <w:sz w:val="20"/>
          <w:szCs w:val="20"/>
          <w:color w:val="auto"/>
        </w:rPr>
      </w:pPr>
      <w:r>
        <w:rPr>
          <w:rFonts w:ascii="Arial" w:cs="Arial" w:eastAsia="Arial" w:hAnsi="Arial"/>
          <w:sz w:val="16"/>
          <w:szCs w:val="16"/>
          <w:color w:val="auto"/>
        </w:rPr>
        <w:t>IN WITNESS WHEREOF, the Issuer has caused this Security to be signed manually or by facsimile by its duly authorized officer under its corporate seal.</w:t>
      </w:r>
    </w:p>
    <w:p>
      <w:pPr>
        <w:spacing w:after="0" w:line="24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Kenneth Mikalauskas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Vice President – Finance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30"/>
        </w:trPr>
        <w:tc>
          <w:tcPr>
            <w:tcW w:w="60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bl>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___, 2006</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THE BANK OF NEW YORK, as Trustee</w:t>
      </w:r>
    </w:p>
    <w:p>
      <w:pPr>
        <w:spacing w:after="0" w:line="22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Authorized Signatory</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(FORM OF REVERSE OF NOTE)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7.00% Note Due 2055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Interest.</w:t>
      </w:r>
    </w:p>
    <w:p>
      <w:pPr>
        <w:spacing w:after="0" w:line="113"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10, 2006. The Issuer will pay interest quarterly in arrears on each Interest Payment Date, commencing August 15, 2006. Interest will be computed on the basis of a 360-day year of twelve 30-day months.</w:t>
      </w:r>
    </w:p>
    <w:p>
      <w:pPr>
        <w:spacing w:after="0" w:line="76"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Paying Agent.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Initially, The Bank of New York (the “</w:t>
      </w:r>
      <w:r>
        <w:rPr>
          <w:rFonts w:ascii="Arial" w:cs="Arial" w:eastAsia="Arial" w:hAnsi="Arial"/>
          <w:sz w:val="17"/>
          <w:szCs w:val="17"/>
          <w:b w:val="1"/>
          <w:bCs w:val="1"/>
          <w:color w:val="auto"/>
        </w:rPr>
        <w:t>Trustee</w:t>
      </w:r>
      <w:r>
        <w:rPr>
          <w:rFonts w:ascii="Arial" w:cs="Arial" w:eastAsia="Arial" w:hAnsi="Arial"/>
          <w:sz w:val="17"/>
          <w:szCs w:val="17"/>
          <w:color w:val="auto"/>
        </w:rPr>
        <w:t>”) will act as Paying Agent. The Issuer may change any Paying Agent without notice to the Holders.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4. Indenture.</w:t>
      </w:r>
    </w:p>
    <w:p>
      <w:pPr>
        <w:spacing w:after="0" w:line="113"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Issuer issued the Securities under an Indenture dated as of January 7, 2003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Issuer, the Cable Guarantors other than Comcast MO of Delaware, LLC and The Bank of New York,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March 25, 2003 by and among the Issuer, the Cable Guarantors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 Cable Guarantees.</w:t>
      </w:r>
    </w:p>
    <w:p>
      <w:pPr>
        <w:spacing w:after="0" w:line="117"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 Denominations; Transfer; Exchange.</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Securities are in registered form, without coupons, in denominations of $25.00 and multiples of $25.00.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 Persons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 Unclaimed Funds.</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color w:val="auto"/>
        </w:rPr>
        <w:t>9. Legal Defeasance and Covenant Defeasance.</w:t>
      </w:r>
    </w:p>
    <w:p>
      <w:pPr>
        <w:spacing w:after="0" w:line="117" w:lineRule="exact"/>
        <w:rPr>
          <w:sz w:val="20"/>
          <w:szCs w:val="20"/>
          <w:color w:val="auto"/>
        </w:rPr>
      </w:pPr>
    </w:p>
    <w:p>
      <w:pPr>
        <w:jc w:val="both"/>
        <w:ind w:right="180" w:firstLine="222"/>
        <w:spacing w:after="0" w:line="286" w:lineRule="auto"/>
        <w:rPr>
          <w:sz w:val="20"/>
          <w:szCs w:val="20"/>
          <w:color w:val="auto"/>
        </w:rPr>
      </w:pPr>
      <w:r>
        <w:rPr>
          <w:rFonts w:ascii="Arial" w:cs="Arial" w:eastAsia="Arial" w:hAnsi="Arial"/>
          <w:sz w:val="17"/>
          <w:szCs w:val="17"/>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 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 Restrictive Covenants.</w:t>
      </w:r>
    </w:p>
    <w:p>
      <w:pPr>
        <w:spacing w:after="0" w:line="117"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 Redemption.</w:t>
      </w:r>
    </w:p>
    <w:p>
      <w:pPr>
        <w:spacing w:after="0" w:line="117" w:lineRule="exact"/>
        <w:rPr>
          <w:sz w:val="20"/>
          <w:szCs w:val="20"/>
          <w:color w:val="auto"/>
        </w:rPr>
      </w:pPr>
    </w:p>
    <w:p>
      <w:pPr>
        <w:jc w:val="both"/>
        <w:ind w:right="240" w:firstLine="222"/>
        <w:spacing w:after="0" w:line="31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on or after May 15, 2011 and prior to their maturity, on at least 30 days, but not more than 60 days, prior notice mailed to the registered address of each Holder of the Securities, at a redemption price equal to 100% of the principal amount of such Securities plus accrued and unpaid interest thereon on the date of redemption.</w:t>
      </w:r>
    </w:p>
    <w:p>
      <w:pPr>
        <w:spacing w:after="0" w:line="3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color w:val="auto"/>
        </w:rPr>
        <w:t>13. Defaults and Remedies.</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 Trustee Dealings with Issuer.</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No Recourse Against Others.</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Abbreviations and Defined Terms.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240"/>
        <w:spacing w:after="0"/>
        <w:rPr>
          <w:sz w:val="20"/>
          <w:szCs w:val="20"/>
          <w:color w:val="auto"/>
        </w:rPr>
      </w:pPr>
      <w:r>
        <w:rPr>
          <w:rFonts w:ascii="Arial" w:cs="Arial" w:eastAsia="Arial" w:hAnsi="Arial"/>
          <w:sz w:val="18"/>
          <w:szCs w:val="18"/>
          <w:color w:val="auto"/>
        </w:rPr>
        <w:t>18. CUSIP Numbers.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19. 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5" w:name="page16"/>
    <w:bookmarkEnd w:id="15"/>
    <w:p>
      <w:pPr>
        <w:jc w:val="center"/>
        <w:ind w:right="-15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and irrevocably appoint agent to transfer this Security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-20320</wp:posOffset>
            </wp:positionV>
            <wp:extent cx="2286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60032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(Signed exactly as name appears on the other side of this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14605</wp:posOffset>
            </wp:positionV>
            <wp:extent cx="46393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16" w:lineRule="exact"/>
        <w:rPr>
          <w:sz w:val="20"/>
          <w:szCs w:val="20"/>
          <w:color w:val="auto"/>
        </w:rPr>
      </w:pPr>
    </w:p>
    <w:p>
      <w:pPr>
        <w:ind w:left="2660" w:right="158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sectPr>
      <w:pgSz w:w="11900" w:h="16838" w:orient="portrait"/>
      <w:cols w:equalWidth="0" w:num="1">
        <w:col w:w="11260"/>
      </w:cols>
      <w:pgMar w:left="240" w:top="96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2019-12-16T07:26:16Z</dcterms:created>
  <dcterms:modified xsi:type="dcterms:W3CDTF">2019-12-16T07:26:16Z</dcterms:modified>
</cp:coreProperties>
</file>