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201930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460" w:type="dxa"/>
        <w:tblCellMar>
          <w:top w:w="0" w:type="dxa"/>
          <w:left w:w="0" w:type="dxa"/>
          <w:bottom w:w="0" w:type="dxa"/>
          <w:right w:w="0" w:type="dxa"/>
        </w:tblCellMar>
      </w:tblPr>
      <w:tr>
        <w:trPr>
          <w:trHeight w:val="421"/>
        </w:trPr>
        <w:tc>
          <w:tcPr>
            <w:tcW w:w="7880" w:type="dxa"/>
            <w:vAlign w:val="bottom"/>
          </w:tcPr>
          <w:p>
            <w:pPr>
              <w:jc w:val="center"/>
              <w:ind w:left="2542"/>
              <w:spacing w:after="0"/>
              <w:rPr>
                <w:sz w:val="20"/>
                <w:szCs w:val="20"/>
                <w:color w:val="auto"/>
              </w:rPr>
            </w:pPr>
            <w:r>
              <w:rPr>
                <w:rFonts w:ascii="Arial" w:cs="Arial" w:eastAsia="Arial" w:hAnsi="Arial"/>
                <w:sz w:val="32"/>
                <w:szCs w:val="32"/>
                <w:b w:val="1"/>
                <w:bCs w:val="1"/>
                <w:color w:val="auto"/>
              </w:rPr>
              <w:t>FORM 8-K</w:t>
            </w:r>
          </w:p>
        </w:tc>
        <w:tc>
          <w:tcPr>
            <w:tcW w:w="2640" w:type="dxa"/>
            <w:vAlign w:val="bottom"/>
          </w:tcPr>
          <w:p>
            <w:pPr>
              <w:spacing w:after="0"/>
              <w:rPr>
                <w:sz w:val="24"/>
                <w:szCs w:val="24"/>
                <w:color w:val="auto"/>
              </w:rPr>
            </w:pPr>
          </w:p>
        </w:tc>
      </w:tr>
      <w:tr>
        <w:trPr>
          <w:trHeight w:val="444"/>
        </w:trPr>
        <w:tc>
          <w:tcPr>
            <w:tcW w:w="7880" w:type="dxa"/>
            <w:vAlign w:val="bottom"/>
          </w:tcPr>
          <w:p>
            <w:pPr>
              <w:jc w:val="center"/>
              <w:ind w:left="2522"/>
              <w:spacing w:after="0"/>
              <w:rPr>
                <w:sz w:val="20"/>
                <w:szCs w:val="20"/>
                <w:color w:val="auto"/>
              </w:rPr>
            </w:pPr>
            <w:r>
              <w:rPr>
                <w:rFonts w:ascii="Arial" w:cs="Arial" w:eastAsia="Arial" w:hAnsi="Arial"/>
                <w:sz w:val="22"/>
                <w:szCs w:val="22"/>
                <w:b w:val="1"/>
                <w:bCs w:val="1"/>
                <w:color w:val="auto"/>
                <w:w w:val="98"/>
              </w:rPr>
              <w:t>CURRENT REPORT</w:t>
            </w:r>
          </w:p>
        </w:tc>
        <w:tc>
          <w:tcPr>
            <w:tcW w:w="2640" w:type="dxa"/>
            <w:vAlign w:val="bottom"/>
          </w:tcPr>
          <w:p>
            <w:pPr>
              <w:spacing w:after="0"/>
              <w:rPr>
                <w:sz w:val="24"/>
                <w:szCs w:val="24"/>
                <w:color w:val="auto"/>
              </w:rPr>
            </w:pPr>
          </w:p>
        </w:tc>
      </w:tr>
      <w:tr>
        <w:trPr>
          <w:trHeight w:val="243"/>
        </w:trPr>
        <w:tc>
          <w:tcPr>
            <w:tcW w:w="7880" w:type="dxa"/>
            <w:vAlign w:val="bottom"/>
          </w:tcPr>
          <w:p>
            <w:pPr>
              <w:jc w:val="center"/>
              <w:ind w:left="2522"/>
              <w:spacing w:after="0" w:line="243" w:lineRule="exact"/>
              <w:rPr>
                <w:sz w:val="20"/>
                <w:szCs w:val="20"/>
                <w:color w:val="auto"/>
              </w:rPr>
            </w:pPr>
            <w:r>
              <w:rPr>
                <w:rFonts w:ascii="Arial" w:cs="Arial" w:eastAsia="Arial" w:hAnsi="Arial"/>
                <w:sz w:val="22"/>
                <w:szCs w:val="22"/>
                <w:b w:val="1"/>
                <w:bCs w:val="1"/>
                <w:color w:val="auto"/>
                <w:w w:val="88"/>
              </w:rPr>
              <w:t>Pursuant to Section 13 or 15(d) of the</w:t>
            </w:r>
          </w:p>
        </w:tc>
        <w:tc>
          <w:tcPr>
            <w:tcW w:w="2640" w:type="dxa"/>
            <w:vAlign w:val="bottom"/>
          </w:tcPr>
          <w:p>
            <w:pPr>
              <w:spacing w:after="0"/>
              <w:rPr>
                <w:sz w:val="21"/>
                <w:szCs w:val="21"/>
                <w:color w:val="auto"/>
              </w:rPr>
            </w:pPr>
          </w:p>
        </w:tc>
      </w:tr>
      <w:tr>
        <w:trPr>
          <w:trHeight w:val="281"/>
        </w:trPr>
        <w:tc>
          <w:tcPr>
            <w:tcW w:w="7880" w:type="dxa"/>
            <w:vAlign w:val="bottom"/>
          </w:tcPr>
          <w:p>
            <w:pPr>
              <w:jc w:val="center"/>
              <w:ind w:left="2542"/>
              <w:spacing w:after="0"/>
              <w:rPr>
                <w:sz w:val="20"/>
                <w:szCs w:val="20"/>
                <w:color w:val="auto"/>
              </w:rPr>
            </w:pPr>
            <w:r>
              <w:rPr>
                <w:rFonts w:ascii="Arial" w:cs="Arial" w:eastAsia="Arial" w:hAnsi="Arial"/>
                <w:sz w:val="22"/>
                <w:szCs w:val="22"/>
                <w:b w:val="1"/>
                <w:bCs w:val="1"/>
                <w:color w:val="auto"/>
                <w:w w:val="87"/>
              </w:rPr>
              <w:t>Securities Exchange Act of 1934</w:t>
            </w:r>
          </w:p>
        </w:tc>
        <w:tc>
          <w:tcPr>
            <w:tcW w:w="2640" w:type="dxa"/>
            <w:vAlign w:val="bottom"/>
          </w:tcPr>
          <w:p>
            <w:pPr>
              <w:spacing w:after="0"/>
              <w:rPr>
                <w:sz w:val="24"/>
                <w:szCs w:val="24"/>
                <w:color w:val="auto"/>
              </w:rPr>
            </w:pPr>
          </w:p>
        </w:tc>
      </w:tr>
      <w:tr>
        <w:trPr>
          <w:trHeight w:val="449"/>
        </w:trPr>
        <w:tc>
          <w:tcPr>
            <w:tcW w:w="7880" w:type="dxa"/>
            <w:vAlign w:val="bottom"/>
          </w:tcPr>
          <w:p>
            <w:pPr>
              <w:jc w:val="center"/>
              <w:ind w:left="2522"/>
              <w:spacing w:after="0"/>
              <w:rPr>
                <w:sz w:val="20"/>
                <w:szCs w:val="20"/>
                <w:color w:val="auto"/>
              </w:rPr>
            </w:pPr>
            <w:r>
              <w:rPr>
                <w:rFonts w:ascii="Arial" w:cs="Arial" w:eastAsia="Arial" w:hAnsi="Arial"/>
                <w:sz w:val="18"/>
                <w:szCs w:val="18"/>
                <w:color w:val="auto"/>
                <w:w w:val="91"/>
              </w:rPr>
              <w:t>Date of report (Date of earliest event reported): February 22, 2011</w:t>
            </w:r>
          </w:p>
        </w:tc>
        <w:tc>
          <w:tcPr>
            <w:tcW w:w="2640" w:type="dxa"/>
            <w:vAlign w:val="bottom"/>
          </w:tcPr>
          <w:p>
            <w:pPr>
              <w:spacing w:after="0"/>
              <w:rPr>
                <w:sz w:val="24"/>
                <w:szCs w:val="24"/>
                <w:color w:val="auto"/>
              </w:rPr>
            </w:pPr>
          </w:p>
        </w:tc>
      </w:tr>
      <w:tr>
        <w:trPr>
          <w:trHeight w:val="445"/>
        </w:trPr>
        <w:tc>
          <w:tcPr>
            <w:tcW w:w="7880" w:type="dxa"/>
            <w:vAlign w:val="bottom"/>
          </w:tcPr>
          <w:p>
            <w:pPr>
              <w:jc w:val="center"/>
              <w:ind w:left="2522"/>
              <w:spacing w:after="0"/>
              <w:rPr>
                <w:sz w:val="20"/>
                <w:szCs w:val="20"/>
                <w:color w:val="auto"/>
              </w:rPr>
            </w:pPr>
            <w:r>
              <w:rPr>
                <w:rFonts w:ascii="Arial" w:cs="Arial" w:eastAsia="Arial" w:hAnsi="Arial"/>
                <w:sz w:val="22"/>
                <w:szCs w:val="22"/>
                <w:b w:val="1"/>
                <w:bCs w:val="1"/>
                <w:color w:val="auto"/>
                <w:w w:val="89"/>
              </w:rPr>
              <w:t>Comcast Corporation</w:t>
            </w:r>
          </w:p>
        </w:tc>
        <w:tc>
          <w:tcPr>
            <w:tcW w:w="2640" w:type="dxa"/>
            <w:vAlign w:val="bottom"/>
          </w:tcPr>
          <w:p>
            <w:pPr>
              <w:spacing w:after="0"/>
              <w:rPr>
                <w:sz w:val="24"/>
                <w:szCs w:val="24"/>
                <w:color w:val="auto"/>
              </w:rPr>
            </w:pPr>
          </w:p>
        </w:tc>
      </w:tr>
      <w:tr>
        <w:trPr>
          <w:trHeight w:val="216"/>
        </w:trPr>
        <w:tc>
          <w:tcPr>
            <w:tcW w:w="7880" w:type="dxa"/>
            <w:vAlign w:val="bottom"/>
          </w:tcPr>
          <w:p>
            <w:pPr>
              <w:jc w:val="center"/>
              <w:ind w:left="2542"/>
              <w:spacing w:after="0"/>
              <w:rPr>
                <w:sz w:val="20"/>
                <w:szCs w:val="20"/>
                <w:color w:val="auto"/>
              </w:rPr>
            </w:pPr>
            <w:r>
              <w:rPr>
                <w:rFonts w:ascii="Arial" w:cs="Arial" w:eastAsia="Arial" w:hAnsi="Arial"/>
                <w:sz w:val="18"/>
                <w:szCs w:val="18"/>
                <w:color w:val="auto"/>
                <w:w w:val="90"/>
              </w:rPr>
              <w:t>(Exact Name of Registrant</w:t>
            </w:r>
          </w:p>
        </w:tc>
        <w:tc>
          <w:tcPr>
            <w:tcW w:w="2640" w:type="dxa"/>
            <w:vAlign w:val="bottom"/>
          </w:tcPr>
          <w:p>
            <w:pPr>
              <w:spacing w:after="0"/>
              <w:rPr>
                <w:sz w:val="18"/>
                <w:szCs w:val="18"/>
                <w:color w:val="auto"/>
              </w:rPr>
            </w:pPr>
          </w:p>
        </w:tc>
      </w:tr>
      <w:tr>
        <w:trPr>
          <w:trHeight w:val="230"/>
        </w:trPr>
        <w:tc>
          <w:tcPr>
            <w:tcW w:w="7880" w:type="dxa"/>
            <w:vAlign w:val="bottom"/>
          </w:tcPr>
          <w:p>
            <w:pPr>
              <w:jc w:val="center"/>
              <w:ind w:left="2542"/>
              <w:spacing w:after="0"/>
              <w:rPr>
                <w:sz w:val="20"/>
                <w:szCs w:val="20"/>
                <w:color w:val="auto"/>
              </w:rPr>
            </w:pPr>
            <w:r>
              <w:rPr>
                <w:rFonts w:ascii="Arial" w:cs="Arial" w:eastAsia="Arial" w:hAnsi="Arial"/>
                <w:sz w:val="18"/>
                <w:szCs w:val="18"/>
                <w:color w:val="auto"/>
                <w:w w:val="90"/>
              </w:rPr>
              <w:t>as Specified in its Charter)</w:t>
            </w:r>
          </w:p>
        </w:tc>
        <w:tc>
          <w:tcPr>
            <w:tcW w:w="2640" w:type="dxa"/>
            <w:vAlign w:val="bottom"/>
          </w:tcPr>
          <w:p>
            <w:pPr>
              <w:spacing w:after="0"/>
              <w:rPr>
                <w:sz w:val="20"/>
                <w:szCs w:val="20"/>
                <w:color w:val="auto"/>
              </w:rPr>
            </w:pPr>
          </w:p>
        </w:tc>
      </w:tr>
      <w:tr>
        <w:trPr>
          <w:trHeight w:val="418"/>
        </w:trPr>
        <w:tc>
          <w:tcPr>
            <w:tcW w:w="7880" w:type="dxa"/>
            <w:vAlign w:val="bottom"/>
          </w:tcPr>
          <w:p>
            <w:pPr>
              <w:jc w:val="center"/>
              <w:ind w:left="2602"/>
              <w:spacing w:after="0"/>
              <w:rPr>
                <w:sz w:val="20"/>
                <w:szCs w:val="20"/>
                <w:color w:val="auto"/>
              </w:rPr>
            </w:pPr>
            <w:r>
              <w:rPr>
                <w:rFonts w:ascii="Arial" w:cs="Arial" w:eastAsia="Arial" w:hAnsi="Arial"/>
                <w:sz w:val="18"/>
                <w:szCs w:val="18"/>
                <w:b w:val="1"/>
                <w:bCs w:val="1"/>
                <w:color w:val="auto"/>
                <w:w w:val="88"/>
              </w:rPr>
              <w:t>Pennsylvania</w:t>
            </w:r>
          </w:p>
        </w:tc>
        <w:tc>
          <w:tcPr>
            <w:tcW w:w="2640" w:type="dxa"/>
            <w:vAlign w:val="bottom"/>
          </w:tcPr>
          <w:p>
            <w:pPr>
              <w:spacing w:after="0"/>
              <w:rPr>
                <w:sz w:val="24"/>
                <w:szCs w:val="24"/>
                <w:color w:val="auto"/>
              </w:rPr>
            </w:pPr>
          </w:p>
        </w:tc>
      </w:tr>
      <w:tr>
        <w:trPr>
          <w:trHeight w:val="230"/>
        </w:trPr>
        <w:tc>
          <w:tcPr>
            <w:tcW w:w="7880" w:type="dxa"/>
            <w:vAlign w:val="bottom"/>
          </w:tcPr>
          <w:p>
            <w:pPr>
              <w:jc w:val="center"/>
              <w:ind w:left="2622"/>
              <w:spacing w:after="0"/>
              <w:rPr>
                <w:sz w:val="20"/>
                <w:szCs w:val="20"/>
                <w:color w:val="auto"/>
              </w:rPr>
            </w:pPr>
            <w:r>
              <w:rPr>
                <w:rFonts w:ascii="Arial" w:cs="Arial" w:eastAsia="Arial" w:hAnsi="Arial"/>
                <w:sz w:val="18"/>
                <w:szCs w:val="18"/>
                <w:color w:val="auto"/>
                <w:w w:val="92"/>
              </w:rPr>
              <w:t>(State or Other Jurisdiction of Incorporation)</w:t>
            </w:r>
          </w:p>
        </w:tc>
        <w:tc>
          <w:tcPr>
            <w:tcW w:w="2640" w:type="dxa"/>
            <w:vAlign w:val="bottom"/>
          </w:tcPr>
          <w:p>
            <w:pPr>
              <w:spacing w:after="0"/>
              <w:rPr>
                <w:sz w:val="20"/>
                <w:szCs w:val="20"/>
                <w:color w:val="auto"/>
              </w:rPr>
            </w:pPr>
          </w:p>
        </w:tc>
      </w:tr>
      <w:tr>
        <w:trPr>
          <w:trHeight w:val="418"/>
        </w:trPr>
        <w:tc>
          <w:tcPr>
            <w:tcW w:w="7880" w:type="dxa"/>
            <w:vAlign w:val="bottom"/>
          </w:tcPr>
          <w:p>
            <w:pPr>
              <w:jc w:val="center"/>
              <w:ind w:right="4842"/>
              <w:spacing w:after="0"/>
              <w:rPr>
                <w:sz w:val="20"/>
                <w:szCs w:val="20"/>
                <w:color w:val="auto"/>
              </w:rPr>
            </w:pPr>
            <w:r>
              <w:rPr>
                <w:rFonts w:ascii="Arial" w:cs="Arial" w:eastAsia="Arial" w:hAnsi="Arial"/>
                <w:sz w:val="18"/>
                <w:szCs w:val="18"/>
                <w:b w:val="1"/>
                <w:bCs w:val="1"/>
                <w:color w:val="auto"/>
                <w:w w:val="90"/>
              </w:rPr>
              <w:t>001-32871</w:t>
            </w:r>
          </w:p>
        </w:tc>
        <w:tc>
          <w:tcPr>
            <w:tcW w:w="26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880" w:type="dxa"/>
            <w:vAlign w:val="bottom"/>
          </w:tcPr>
          <w:p>
            <w:pPr>
              <w:jc w:val="center"/>
              <w:ind w:right="4842"/>
              <w:spacing w:after="0"/>
              <w:rPr>
                <w:sz w:val="20"/>
                <w:szCs w:val="20"/>
                <w:color w:val="auto"/>
              </w:rPr>
            </w:pPr>
            <w:r>
              <w:rPr>
                <w:rFonts w:ascii="Arial" w:cs="Arial" w:eastAsia="Arial" w:hAnsi="Arial"/>
                <w:sz w:val="18"/>
                <w:szCs w:val="18"/>
                <w:color w:val="auto"/>
                <w:w w:val="92"/>
              </w:rPr>
              <w:t>(Commission File Number)</w:t>
            </w:r>
          </w:p>
        </w:tc>
        <w:tc>
          <w:tcPr>
            <w:tcW w:w="2640" w:type="dxa"/>
            <w:vAlign w:val="bottom"/>
          </w:tcPr>
          <w:p>
            <w:pPr>
              <w:jc w:val="center"/>
              <w:ind w:left="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7880" w:type="dxa"/>
            <w:vAlign w:val="bottom"/>
          </w:tcPr>
          <w:p>
            <w:pPr>
              <w:jc w:val="center"/>
              <w:ind w:right="4842"/>
              <w:spacing w:after="0"/>
              <w:rPr>
                <w:sz w:val="20"/>
                <w:szCs w:val="20"/>
                <w:color w:val="auto"/>
              </w:rPr>
            </w:pPr>
            <w:r>
              <w:rPr>
                <w:rFonts w:ascii="Arial" w:cs="Arial" w:eastAsia="Arial" w:hAnsi="Arial"/>
                <w:sz w:val="18"/>
                <w:szCs w:val="18"/>
                <w:b w:val="1"/>
                <w:bCs w:val="1"/>
                <w:color w:val="auto"/>
                <w:w w:val="90"/>
              </w:rPr>
              <w:t>One Comcast Center</w:t>
            </w:r>
          </w:p>
        </w:tc>
        <w:tc>
          <w:tcPr>
            <w:tcW w:w="2640" w:type="dxa"/>
            <w:vAlign w:val="bottom"/>
          </w:tcPr>
          <w:p>
            <w:pPr>
              <w:spacing w:after="0"/>
              <w:rPr>
                <w:sz w:val="24"/>
                <w:szCs w:val="24"/>
                <w:color w:val="auto"/>
              </w:rPr>
            </w:pPr>
          </w:p>
        </w:tc>
      </w:tr>
      <w:tr>
        <w:trPr>
          <w:trHeight w:val="220"/>
        </w:trPr>
        <w:tc>
          <w:tcPr>
            <w:tcW w:w="7880" w:type="dxa"/>
            <w:vAlign w:val="bottom"/>
          </w:tcPr>
          <w:p>
            <w:pPr>
              <w:jc w:val="center"/>
              <w:ind w:right="4842"/>
              <w:spacing w:after="0"/>
              <w:rPr>
                <w:sz w:val="20"/>
                <w:szCs w:val="20"/>
                <w:color w:val="auto"/>
              </w:rPr>
            </w:pPr>
            <w:r>
              <w:rPr>
                <w:rFonts w:ascii="Arial" w:cs="Arial" w:eastAsia="Arial" w:hAnsi="Arial"/>
                <w:sz w:val="18"/>
                <w:szCs w:val="18"/>
                <w:b w:val="1"/>
                <w:bCs w:val="1"/>
                <w:color w:val="auto"/>
                <w:w w:val="92"/>
              </w:rPr>
              <w:t>Philadelphia, PA</w:t>
            </w:r>
          </w:p>
        </w:tc>
        <w:tc>
          <w:tcPr>
            <w:tcW w:w="26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880" w:type="dxa"/>
            <w:vAlign w:val="bottom"/>
          </w:tcPr>
          <w:p>
            <w:pPr>
              <w:jc w:val="center"/>
              <w:ind w:right="4842"/>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648"/>
        </w:trPr>
        <w:tc>
          <w:tcPr>
            <w:tcW w:w="7880" w:type="dxa"/>
            <w:vAlign w:val="bottom"/>
          </w:tcPr>
          <w:p>
            <w:pPr>
              <w:jc w:val="center"/>
              <w:ind w:left="2522"/>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640" w:type="dxa"/>
            <w:vAlign w:val="bottom"/>
          </w:tcPr>
          <w:p>
            <w:pPr>
              <w:spacing w:after="0"/>
              <w:rPr>
                <w:sz w:val="24"/>
                <w:szCs w:val="24"/>
                <w:color w:val="auto"/>
              </w:rPr>
            </w:pPr>
          </w:p>
        </w:tc>
      </w:tr>
      <w:tr>
        <w:trPr>
          <w:trHeight w:val="648"/>
        </w:trPr>
        <w:tc>
          <w:tcPr>
            <w:tcW w:w="7880" w:type="dxa"/>
            <w:vAlign w:val="bottom"/>
          </w:tcPr>
          <w:p>
            <w:pPr>
              <w:jc w:val="center"/>
              <w:ind w:left="2522"/>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64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787" w:right="6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February 22, 2011, Comcast Corporation (the “Company”) entered into a new employment agreement with Mr. David L. Cohen, our Executive Vice President, which was effective as of such date. The agreement secures Mr. Cohen’s employment with the Company for five years, through December 31, 2015.</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agreement follows the standard form of employment agreement used by the Company for its named executive officers and includes an obligation to work full-time for the Company, as well as non-solicitation, non-competition and confidentiality obligations. The agreement does not provide for any increase in base salary (Mr. Cohen has had the same base salary since March 1, 2008), but increased his annual cash bonus opportunity to 200% of base salary (based on the achievement of performance goals). The agreement continues the structure of Mr. Cohen’s prior employment agreement of crediting a specified contribution amount to the Company’s deferred compensation plan in each year during the term of the agreement, beginning in 2012 in the amount of $1,050,000.</w:t>
      </w:r>
    </w:p>
    <w:p>
      <w:pPr>
        <w:spacing w:after="0" w:line="2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Also under the agreement, Mr. Cohen is eligible to receive two cash bonuses, each of $1,500,000, and two restricted stock unit grants, each having a value of approximately $1,000,000. One cash bonus and restricted stock unit grant will be made as soon as practicable following the effective date of the agreement, and the other cash bonus and restricted stock unit grant will be made as soon as practicable following January 1, 2012. The restricted stock unit grants will be immediately vested upon the grant date. Mr. Cohen will continue to be subject to the Company’s Stock Ownership Policy.</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above summary is qualified by its entirety by the terms and conditions set forth in the employment agreement of Mr. Cohen, a copy of which is attached hereto as Exhibit 99.1.</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on February 23, 2011, two of the Company’s directors, Julian A. Brodsky and Michael I. Sovern, informed the Board of Directors that they intend to retire, effective as of the date of the Company’s 2011 annual meeting of shareholders. In light of their past contributions to the Board, the Board has requested that Messrs. Brodsky and Sovern serve, and each has agreed to serve, as a Director Emeritus for a one year term, effective as of the date of the 2011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Employment Agreement with David L. Cohen entered into on February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6060" w:val="left"/>
          <w:tab w:leader="none" w:pos="6620" w:val="left"/>
        </w:tabs>
        <w:rPr>
          <w:sz w:val="20"/>
          <w:szCs w:val="20"/>
          <w:color w:val="auto"/>
        </w:rPr>
      </w:pPr>
      <w:r>
        <w:rPr>
          <w:rFonts w:ascii="Arial" w:cs="Arial" w:eastAsia="Arial" w:hAnsi="Arial"/>
          <w:sz w:val="18"/>
          <w:szCs w:val="18"/>
          <w:color w:val="auto"/>
        </w:rPr>
        <w:t>Date: February 25,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 and Secretary</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513"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EMPLOYMENT AGREEMENT (the “Agreement”) is entered into as of the 22nd day of February, 2011, between COMCAST CORPORATION, a Pennsylvania corporation (together with its subsidiaries, the “Company”), and DAVID L. COHEN (“Employee”).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52"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1142"/>
        <w:spacing w:after="0" w:line="286" w:lineRule="auto"/>
        <w:tabs>
          <w:tab w:leader="none" w:pos="1379"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from time to time hereunder will be those assigned by the Company commensurate with Employee’s education, skills and experience.</w:t>
      </w:r>
    </w:p>
    <w:p>
      <w:pPr>
        <w:spacing w:after="0" w:line="192" w:lineRule="exact"/>
        <w:rPr>
          <w:rFonts w:ascii="Arial" w:cs="Arial" w:eastAsia="Arial" w:hAnsi="Arial"/>
          <w:sz w:val="17"/>
          <w:szCs w:val="17"/>
          <w:color w:val="auto"/>
        </w:rPr>
      </w:pPr>
    </w:p>
    <w:p>
      <w:pPr>
        <w:ind w:right="60" w:firstLine="1142"/>
        <w:spacing w:after="0" w:line="279" w:lineRule="auto"/>
        <w:tabs>
          <w:tab w:leader="none" w:pos="1389"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198" w:lineRule="exact"/>
        <w:rPr>
          <w:rFonts w:ascii="Arial" w:cs="Arial" w:eastAsia="Arial" w:hAnsi="Arial"/>
          <w:sz w:val="17"/>
          <w:szCs w:val="17"/>
          <w:color w:val="auto"/>
        </w:rPr>
      </w:pPr>
    </w:p>
    <w:p>
      <w:pPr>
        <w:ind w:left="1380" w:hanging="238"/>
        <w:spacing w:after="0"/>
        <w:tabs>
          <w:tab w:leader="none" w:pos="1380" w:val="left"/>
        </w:tabs>
        <w:numPr>
          <w:ilvl w:val="1"/>
          <w:numId w:val="2"/>
        </w:numPr>
        <w:rPr>
          <w:rFonts w:ascii="Arial" w:cs="Arial" w:eastAsia="Arial" w:hAnsi="Arial"/>
          <w:sz w:val="17"/>
          <w:szCs w:val="17"/>
          <w:color w:val="auto"/>
        </w:rPr>
      </w:pPr>
      <w:r>
        <w:rPr>
          <w:rFonts w:ascii="Arial" w:cs="Arial" w:eastAsia="Arial" w:hAnsi="Arial"/>
          <w:sz w:val="17"/>
          <w:szCs w:val="17"/>
          <w:color w:val="auto"/>
        </w:rPr>
        <w:t>Employee shall comply with all policies of the Company applicable to Employee, including the Employee Handbook and the Code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Conduct.</w:t>
      </w:r>
    </w:p>
    <w:p>
      <w:pPr>
        <w:spacing w:after="0" w:line="237" w:lineRule="exact"/>
        <w:rPr>
          <w:rFonts w:ascii="Arial" w:cs="Arial" w:eastAsia="Arial" w:hAnsi="Arial"/>
          <w:sz w:val="17"/>
          <w:szCs w:val="17"/>
          <w:color w:val="auto"/>
        </w:rPr>
      </w:pPr>
    </w:p>
    <w:p>
      <w:pPr>
        <w:ind w:left="1280" w:hanging="624"/>
        <w:spacing w:after="0"/>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w:t>
      </w:r>
    </w:p>
    <w:p>
      <w:pPr>
        <w:spacing w:after="0" w:line="46"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occur of: (a) the date Employee’s employment is terminated in accordance with Paragraph 6; or (b) December 31, 2015 (the date specified in subparagraph (b) above is referred to as the “Regular End Date”). Notwithstanding the end of the Term, the Company’s obligation to make any payments expressly set forth herein to be made after the Term, and Employee’s covenants contained in Paragraphs 8, 9 and 10, shall be enforceable after the end of the Term.</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52" w:lineRule="exact"/>
        <w:rPr>
          <w:sz w:val="20"/>
          <w:szCs w:val="20"/>
          <w:color w:val="auto"/>
        </w:rPr>
      </w:pPr>
    </w:p>
    <w:p>
      <w:pPr>
        <w:ind w:right="120" w:firstLine="8"/>
        <w:spacing w:after="0" w:line="297" w:lineRule="auto"/>
        <w:tabs>
          <w:tab w:leader="none" w:pos="29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Employee’s base salary (“Base Salary”) from the Commencement Date through February 28, 2012 shall be at the annual rate set forth on Schedule 1 and shall not thereafter be reduced other than as part of a salary reduction program effected on a basis consistent with that applicable to other employees at Employee’s level. Employee shall thereafter be entitled to participate in any salary increase program offered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185" w:lineRule="exact"/>
        <w:rPr>
          <w:rFonts w:ascii="Arial" w:cs="Arial" w:eastAsia="Arial" w:hAnsi="Arial"/>
          <w:sz w:val="16"/>
          <w:szCs w:val="16"/>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Signing Bonus</w:t>
      </w:r>
      <w:r>
        <w:rPr>
          <w:rFonts w:ascii="Arial" w:cs="Arial" w:eastAsia="Arial" w:hAnsi="Arial"/>
          <w:sz w:val="18"/>
          <w:szCs w:val="18"/>
          <w:color w:val="auto"/>
        </w:rPr>
        <w:t>. Employee shall receive a signing bonus on the terms set forth on Schedule 1.</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Restricted Stock/Stock Option Grants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360" w:firstLine="1772"/>
        <w:spacing w:after="0" w:line="286" w:lineRule="auto"/>
        <w:tabs>
          <w:tab w:leader="none" w:pos="2024" w:val="left"/>
        </w:tabs>
        <w:numPr>
          <w:ilvl w:val="2"/>
          <w:numId w:val="4"/>
        </w:numPr>
        <w:rPr>
          <w:rFonts w:ascii="Arial" w:cs="Arial" w:eastAsia="Arial" w:hAnsi="Arial"/>
          <w:sz w:val="17"/>
          <w:szCs w:val="17"/>
          <w:color w:val="auto"/>
        </w:rPr>
      </w:pPr>
      <w:r>
        <w:rPr>
          <w:rFonts w:ascii="Arial" w:cs="Arial" w:eastAsia="Arial" w:hAnsi="Arial"/>
          <w:sz w:val="17"/>
          <w:szCs w:val="17"/>
          <w:color w:val="auto"/>
        </w:rPr>
        <w:t>Continuing in 2011,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92" w:lineRule="exact"/>
        <w:rPr>
          <w:rFonts w:ascii="Arial" w:cs="Arial" w:eastAsia="Arial" w:hAnsi="Arial"/>
          <w:sz w:val="17"/>
          <w:szCs w:val="17"/>
          <w:color w:val="auto"/>
        </w:rPr>
      </w:pPr>
    </w:p>
    <w:p>
      <w:pPr>
        <w:ind w:left="1600" w:hanging="295"/>
        <w:spacing w:after="0"/>
        <w:tabs>
          <w:tab w:leader="none" w:pos="16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52"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Employee shall be entitled to continue to participate in the Company’s Cash Bonus Plan as set forth on Schedule 1 for</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2011.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189" w:lineRule="exact"/>
        <w:rPr>
          <w:sz w:val="20"/>
          <w:szCs w:val="20"/>
          <w:color w:val="auto"/>
        </w:rPr>
      </w:pPr>
    </w:p>
    <w:p>
      <w:pPr>
        <w:ind w:firstLine="1772"/>
        <w:spacing w:after="0" w:line="279" w:lineRule="auto"/>
        <w:tabs>
          <w:tab w:leader="none" w:pos="2074" w:val="left"/>
        </w:tabs>
        <w:numPr>
          <w:ilvl w:val="2"/>
          <w:numId w:val="5"/>
        </w:numPr>
        <w:rPr>
          <w:rFonts w:ascii="Arial" w:cs="Arial" w:eastAsia="Arial" w:hAnsi="Arial"/>
          <w:sz w:val="17"/>
          <w:szCs w:val="17"/>
          <w:color w:val="auto"/>
        </w:rPr>
      </w:pPr>
      <w:r>
        <w:rPr>
          <w:rFonts w:ascii="Arial" w:cs="Arial" w:eastAsia="Arial" w:hAnsi="Arial"/>
          <w:sz w:val="17"/>
          <w:szCs w:val="17"/>
          <w:color w:val="auto"/>
        </w:rPr>
        <w:t>Employee shall be entitled to continued participation in the Company’s Cash Bonus Plan (or any successor performance-based cash incentive compensation plan) with respect to each subsequent calendar year (or portion thereof) in the Term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98" w:lineRule="exact"/>
        <w:rPr>
          <w:rFonts w:ascii="Arial" w:cs="Arial" w:eastAsia="Arial" w:hAnsi="Arial"/>
          <w:sz w:val="17"/>
          <w:szCs w:val="17"/>
          <w:color w:val="auto"/>
        </w:rPr>
      </w:pPr>
    </w:p>
    <w:p>
      <w:pPr>
        <w:ind w:left="1600" w:hanging="295"/>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0" w:firstLine="1629"/>
        <w:spacing w:after="0" w:line="277" w:lineRule="auto"/>
        <w:tabs>
          <w:tab w:leader="none" w:pos="2016"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offiers.</w:t>
      </w:r>
    </w:p>
    <w:p>
      <w:pPr>
        <w:spacing w:after="0" w:line="197" w:lineRule="exact"/>
        <w:rPr>
          <w:rFonts w:ascii="Arial" w:cs="Arial" w:eastAsia="Arial" w:hAnsi="Arial"/>
          <w:sz w:val="18"/>
          <w:szCs w:val="18"/>
          <w:color w:val="auto"/>
        </w:rPr>
      </w:pPr>
    </w:p>
    <w:p>
      <w:pPr>
        <w:ind w:left="1940" w:hanging="311"/>
        <w:spacing w:after="0"/>
        <w:tabs>
          <w:tab w:leader="none" w:pos="1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addition, the Company shall credit to Employee’s account under, and pursuant to the terms and conditions of, the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2005 Deferred Compensation Plan (or any successor plan), as of January 1 of each of the following calendar years, the following amounts:</w:t>
      </w: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84"/>
              </w:rPr>
              <w:t>Year</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6"/>
                <w:szCs w:val="16"/>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2012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$1,050,000</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2013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$1,102,500</w:t>
            </w: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rPr>
              <w:t>2014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$1,157,625</w:t>
            </w: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2015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$1,215,506</w:t>
            </w:r>
          </w:p>
        </w:tc>
      </w:tr>
    </w:tbl>
    <w:p>
      <w:pPr>
        <w:spacing w:after="0" w:line="229" w:lineRule="exact"/>
        <w:rPr>
          <w:sz w:val="20"/>
          <w:szCs w:val="20"/>
          <w:color w:val="auto"/>
        </w:rPr>
      </w:pPr>
    </w:p>
    <w:p>
      <w:pPr>
        <w:ind w:right="320" w:firstLine="8"/>
        <w:spacing w:after="0" w:line="264"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5" w:name="page6"/>
    <w:bookmarkEnd w:id="5"/>
    <w:p>
      <w:pPr>
        <w:spacing w:after="0" w:line="297" w:lineRule="auto"/>
        <w:rPr>
          <w:sz w:val="20"/>
          <w:szCs w:val="20"/>
          <w:color w:val="auto"/>
        </w:rPr>
      </w:pPr>
      <w:r>
        <w:rPr>
          <w:rFonts w:ascii="Arial" w:cs="Arial" w:eastAsia="Arial" w:hAnsi="Arial"/>
          <w:sz w:val="16"/>
          <w:szCs w:val="16"/>
          <w:color w:val="auto"/>
        </w:rPr>
        <w:t>provisions relating to claims made by third parties against Employee in Employee’s role as a director, officer or employee) (“Other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Other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185" w:lineRule="exact"/>
        <w:rPr>
          <w:sz w:val="20"/>
          <w:szCs w:val="20"/>
          <w:color w:val="auto"/>
        </w:rPr>
      </w:pPr>
    </w:p>
    <w:p>
      <w:pPr>
        <w:jc w:val="both"/>
        <w:ind w:right="500" w:firstLine="8"/>
        <w:spacing w:after="0" w:line="286" w:lineRule="auto"/>
        <w:tabs>
          <w:tab w:leader="none" w:pos="63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192" w:lineRule="exact"/>
        <w:rPr>
          <w:rFonts w:ascii="Arial" w:cs="Arial" w:eastAsia="Arial" w:hAnsi="Arial"/>
          <w:sz w:val="17"/>
          <w:szCs w:val="17"/>
          <w:color w:val="auto"/>
        </w:rPr>
      </w:pPr>
    </w:p>
    <w:p>
      <w:pPr>
        <w:ind w:right="280" w:firstLine="8"/>
        <w:spacing w:after="0" w:line="286" w:lineRule="auto"/>
        <w:tabs>
          <w:tab w:leader="none" w:pos="63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benefit plans or programs), shall or may be terminated, in the circumstances set forth below.</w:t>
      </w:r>
    </w:p>
    <w:p>
      <w:pPr>
        <w:spacing w:after="0" w:line="193" w:lineRule="exact"/>
        <w:rPr>
          <w:sz w:val="20"/>
          <w:szCs w:val="20"/>
          <w:color w:val="auto"/>
        </w:rPr>
      </w:pPr>
    </w:p>
    <w:p>
      <w:pPr>
        <w:ind w:left="1600" w:hanging="295"/>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52" w:lineRule="exact"/>
        <w:rPr>
          <w:rFonts w:ascii="Arial" w:cs="Arial" w:eastAsia="Arial" w:hAnsi="Arial"/>
          <w:sz w:val="18"/>
          <w:szCs w:val="18"/>
          <w:color w:val="auto"/>
        </w:rPr>
      </w:pPr>
    </w:p>
    <w:p>
      <w:pPr>
        <w:jc w:val="both"/>
        <w:ind w:right="180" w:firstLine="8"/>
        <w:spacing w:after="0" w:line="259"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213"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40" w:firstLine="1629"/>
        <w:spacing w:after="0" w:line="255" w:lineRule="auto"/>
        <w:tabs>
          <w:tab w:leader="none" w:pos="1877"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20" w:lineRule="exact"/>
        <w:rPr>
          <w:rFonts w:ascii="Arial" w:cs="Arial" w:eastAsia="Arial" w:hAnsi="Arial"/>
          <w:sz w:val="18"/>
          <w:szCs w:val="18"/>
          <w:color w:val="auto"/>
        </w:rPr>
      </w:pPr>
    </w:p>
    <w:p>
      <w:pPr>
        <w:ind w:right="200" w:firstLine="1629"/>
        <w:spacing w:after="0" w:line="277" w:lineRule="auto"/>
        <w:tabs>
          <w:tab w:leader="none" w:pos="1931" w:val="left"/>
        </w:tabs>
        <w:numPr>
          <w:ilvl w:val="2"/>
          <w:numId w:val="10"/>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ind w:left="-8" w:right="200" w:firstLine="1629"/>
        <w:spacing w:after="0" w:line="277" w:lineRule="auto"/>
        <w:tabs>
          <w:tab w:leader="none" w:pos="1869" w:val="left"/>
        </w:tabs>
        <w:numPr>
          <w:ilvl w:val="3"/>
          <w:numId w:val="11"/>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197" w:lineRule="exact"/>
        <w:rPr>
          <w:rFonts w:ascii="Arial" w:cs="Arial" w:eastAsia="Arial" w:hAnsi="Arial"/>
          <w:sz w:val="18"/>
          <w:szCs w:val="18"/>
          <w:color w:val="auto"/>
        </w:rPr>
      </w:pPr>
    </w:p>
    <w:p>
      <w:pPr>
        <w:ind w:left="-8" w:right="40" w:firstLine="1629"/>
        <w:spacing w:after="0" w:line="302" w:lineRule="auto"/>
        <w:tabs>
          <w:tab w:leader="none" w:pos="1923" w:val="left"/>
        </w:tabs>
        <w:numPr>
          <w:ilvl w:val="3"/>
          <w:numId w:val="11"/>
        </w:numPr>
        <w:rPr>
          <w:rFonts w:ascii="Arial" w:cs="Arial" w:eastAsia="Arial" w:hAnsi="Arial"/>
          <w:sz w:val="16"/>
          <w:szCs w:val="16"/>
          <w:color w:val="auto"/>
        </w:rPr>
      </w:pPr>
      <w:r>
        <w:rPr>
          <w:rFonts w:ascii="Arial" w:cs="Arial" w:eastAsia="Arial" w:hAnsi="Arial"/>
          <w:sz w:val="16"/>
          <w:szCs w:val="16"/>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181" w:lineRule="exact"/>
        <w:rPr>
          <w:rFonts w:ascii="Arial" w:cs="Arial" w:eastAsia="Arial" w:hAnsi="Arial"/>
          <w:sz w:val="16"/>
          <w:szCs w:val="16"/>
          <w:color w:val="auto"/>
        </w:rPr>
      </w:pPr>
    </w:p>
    <w:p>
      <w:pPr>
        <w:ind w:left="-8" w:right="100" w:firstLine="656"/>
        <w:spacing w:after="0" w:line="277" w:lineRule="auto"/>
        <w:tabs>
          <w:tab w:leader="none" w:pos="127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97" w:lineRule="exact"/>
        <w:rPr>
          <w:rFonts w:ascii="Arial" w:cs="Arial" w:eastAsia="Arial" w:hAnsi="Arial"/>
          <w:sz w:val="18"/>
          <w:szCs w:val="18"/>
          <w:color w:val="auto"/>
        </w:rPr>
      </w:pPr>
    </w:p>
    <w:p>
      <w:pPr>
        <w:ind w:left="-8" w:right="80" w:firstLine="1305"/>
        <w:spacing w:after="0" w:line="293" w:lineRule="auto"/>
        <w:tabs>
          <w:tab w:leader="none" w:pos="1578"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Other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 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 (a) shall be paid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of termination.</w:t>
      </w:r>
    </w:p>
    <w:p>
      <w:pPr>
        <w:spacing w:after="0" w:line="90" w:lineRule="exact"/>
        <w:rPr>
          <w:rFonts w:ascii="Arial" w:cs="Arial" w:eastAsia="Arial" w:hAnsi="Arial"/>
          <w:sz w:val="16"/>
          <w:szCs w:val="16"/>
          <w:color w:val="auto"/>
        </w:rPr>
      </w:pPr>
    </w:p>
    <w:p>
      <w:pPr>
        <w:ind w:left="-8" w:right="40" w:firstLine="1305"/>
        <w:spacing w:after="0" w:line="273" w:lineRule="auto"/>
        <w:tabs>
          <w:tab w:leader="none" w:pos="1588" w:val="left"/>
        </w:tabs>
        <w:numPr>
          <w:ilvl w:val="2"/>
          <w:numId w:val="12"/>
        </w:numPr>
        <w:rPr>
          <w:rFonts w:ascii="Arial" w:cs="Arial" w:eastAsia="Arial" w:hAnsi="Arial"/>
          <w:sz w:val="17"/>
          <w:szCs w:val="17"/>
          <w:color w:val="auto"/>
        </w:rPr>
      </w:pPr>
      <w:r>
        <w:rPr>
          <w:rFonts w:ascii="Arial" w:cs="Arial" w:eastAsia="Arial" w:hAnsi="Arial"/>
          <w:sz w:val="17"/>
          <w:szCs w:val="17"/>
          <w:u w:val="single" w:color="auto"/>
          <w:color w:val="auto"/>
        </w:rPr>
        <w:t>Termination With Cause or Termination Without Good Reason</w:t>
      </w:r>
      <w:r>
        <w:rPr>
          <w:rFonts w:ascii="Arial" w:cs="Arial" w:eastAsia="Arial" w:hAnsi="Arial"/>
          <w:sz w:val="17"/>
          <w:szCs w:val="17"/>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07" w:lineRule="exact"/>
        <w:rPr>
          <w:rFonts w:ascii="Arial" w:cs="Arial" w:eastAsia="Arial" w:hAnsi="Arial"/>
          <w:sz w:val="17"/>
          <w:szCs w:val="17"/>
          <w:color w:val="auto"/>
        </w:rPr>
      </w:pPr>
    </w:p>
    <w:p>
      <w:pPr>
        <w:ind w:left="-8" w:right="80" w:firstLine="8"/>
        <w:spacing w:after="0" w:line="276" w:lineRule="auto"/>
        <w:tabs>
          <w:tab w:leader="none" w:pos="282"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Termination With Good Reason</w:t>
      </w:r>
      <w:r>
        <w:rPr>
          <w:rFonts w:ascii="Arial" w:cs="Arial" w:eastAsia="Arial" w:hAnsi="Arial"/>
          <w:sz w:val="17"/>
          <w:szCs w:val="17"/>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within thirty (30) days following the date of termination, in a form and containing terms as the Company customarily requires of terminated employees receiving salary continuation payments:</w:t>
      </w:r>
    </w:p>
    <w:p>
      <w:pPr>
        <w:spacing w:after="0" w:line="199" w:lineRule="exact"/>
        <w:rPr>
          <w:rFonts w:ascii="Arial" w:cs="Arial" w:eastAsia="Arial" w:hAnsi="Arial"/>
          <w:sz w:val="17"/>
          <w:szCs w:val="17"/>
          <w:color w:val="auto"/>
        </w:rPr>
      </w:pPr>
    </w:p>
    <w:p>
      <w:pPr>
        <w:ind w:left="-8" w:firstLine="1629"/>
        <w:spacing w:after="0" w:line="302" w:lineRule="auto"/>
        <w:tabs>
          <w:tab w:leader="none" w:pos="1873" w:val="left"/>
        </w:tabs>
        <w:numPr>
          <w:ilvl w:val="3"/>
          <w:numId w:val="13"/>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or receipt of benefits,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w:t>
      </w:r>
    </w:p>
    <w:p>
      <w:pPr>
        <w:spacing w:after="0" w:line="3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760" w:right="299" w:bottom="1440" w:gutter="0" w:footer="0" w:header="0"/>
        </w:sectPr>
      </w:pPr>
    </w:p>
    <w:bookmarkStart w:id="7" w:name="page8"/>
    <w:bookmarkEnd w:id="7"/>
    <w:p>
      <w:pPr>
        <w:ind w:right="280"/>
        <w:spacing w:after="0" w:line="312" w:lineRule="auto"/>
        <w:rPr>
          <w:sz w:val="20"/>
          <w:szCs w:val="20"/>
          <w:color w:val="auto"/>
        </w:rPr>
      </w:pPr>
      <w:r>
        <w:rPr>
          <w:rFonts w:ascii="Arial" w:cs="Arial" w:eastAsia="Arial" w:hAnsi="Arial"/>
          <w:sz w:val="16"/>
          <w:szCs w:val="16"/>
          <w:color w:val="auto"/>
        </w:rPr>
        <w:t>concurrently with Employee’s participation during such period of time. To the extent the provision of health and welfare benefits to Employee pursuant to subparagraph (B) above constitutes a “deferral of compensation” within the meaning of Section 409A of the Internal Revenue Code (the “Code”), and its implementing regulations and guidance, the provision of such benefits shall be subject to the terms and conditions of subparagraph 13(a).</w:t>
      </w:r>
    </w:p>
    <w:p>
      <w:pPr>
        <w:spacing w:after="0" w:line="174" w:lineRule="exact"/>
        <w:rPr>
          <w:sz w:val="20"/>
          <w:szCs w:val="20"/>
          <w:color w:val="auto"/>
        </w:rPr>
      </w:pPr>
    </w:p>
    <w:p>
      <w:pPr>
        <w:ind w:right="300" w:firstLine="1629"/>
        <w:spacing w:after="0" w:line="255" w:lineRule="auto"/>
        <w:tabs>
          <w:tab w:leader="none" w:pos="2336" w:val="left"/>
        </w:tabs>
        <w:numPr>
          <w:ilvl w:val="2"/>
          <w:numId w:val="14"/>
        </w:numPr>
        <w:rPr>
          <w:rFonts w:ascii="Arial" w:cs="Arial" w:eastAsia="Arial" w:hAnsi="Arial"/>
          <w:sz w:val="18"/>
          <w:szCs w:val="18"/>
          <w:color w:val="auto"/>
        </w:rPr>
      </w:pPr>
      <w:r>
        <w:rPr>
          <w:rFonts w:ascii="Arial" w:cs="Arial" w:eastAsia="Arial" w:hAnsi="Arial"/>
          <w:sz w:val="18"/>
          <w:szCs w:val="18"/>
          <w:color w:val="auto"/>
        </w:rPr>
        <w:t>Employee shall also receive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(ii) shall be paid no later than the 90th day following the date of termination.</w:t>
      </w:r>
    </w:p>
    <w:p>
      <w:pPr>
        <w:spacing w:after="0" w:line="220" w:lineRule="exact"/>
        <w:rPr>
          <w:rFonts w:ascii="Arial" w:cs="Arial" w:eastAsia="Arial" w:hAnsi="Arial"/>
          <w:sz w:val="18"/>
          <w:szCs w:val="18"/>
          <w:color w:val="auto"/>
        </w:rPr>
      </w:pPr>
    </w:p>
    <w:p>
      <w:pPr>
        <w:ind w:right="20" w:firstLine="1629"/>
        <w:spacing w:after="0" w:line="255" w:lineRule="auto"/>
        <w:tabs>
          <w:tab w:leader="none" w:pos="2386" w:val="left"/>
        </w:tabs>
        <w:numPr>
          <w:ilvl w:val="2"/>
          <w:numId w:val="14"/>
        </w:numPr>
        <w:rPr>
          <w:rFonts w:ascii="Arial" w:cs="Arial" w:eastAsia="Arial" w:hAnsi="Arial"/>
          <w:sz w:val="18"/>
          <w:szCs w:val="18"/>
          <w:color w:val="auto"/>
        </w:rPr>
      </w:pPr>
      <w:r>
        <w:rPr>
          <w:rFonts w:ascii="Arial" w:cs="Arial" w:eastAsia="Arial" w:hAnsi="Arial"/>
          <w:sz w:val="18"/>
          <w:szCs w:val="18"/>
          <w:color w:val="auto"/>
        </w:rPr>
        <w:t>Employee shall be obligated to seek to obtain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or other compensation earned or received by Employee for services through employment or self-employment. Employee shall provide the Company with prompt written notice of any such employment and amounts. The Company’s obligation to continue health and welfare benefits shall cease upon Employee’s eligibility for health and w elfare benefits from any subsequent employer.</w:t>
      </w:r>
    </w:p>
    <w:p>
      <w:pPr>
        <w:spacing w:after="0" w:line="220" w:lineRule="exact"/>
        <w:rPr>
          <w:rFonts w:ascii="Arial" w:cs="Arial" w:eastAsia="Arial" w:hAnsi="Arial"/>
          <w:sz w:val="18"/>
          <w:szCs w:val="18"/>
          <w:color w:val="auto"/>
        </w:rPr>
      </w:pPr>
    </w:p>
    <w:p>
      <w:pPr>
        <w:ind w:right="20" w:firstLine="1629"/>
        <w:spacing w:after="0" w:line="259" w:lineRule="auto"/>
        <w:tabs>
          <w:tab w:leader="none" w:pos="2376" w:val="left"/>
        </w:tabs>
        <w:numPr>
          <w:ilvl w:val="2"/>
          <w:numId w:val="14"/>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targets at 100% (payable at such times as otherwise applicable absent such termination).</w:t>
      </w:r>
    </w:p>
    <w:p>
      <w:pPr>
        <w:spacing w:after="0" w:line="213" w:lineRule="exact"/>
        <w:rPr>
          <w:rFonts w:ascii="Arial" w:cs="Arial" w:eastAsia="Arial" w:hAnsi="Arial"/>
          <w:sz w:val="18"/>
          <w:szCs w:val="18"/>
          <w:color w:val="auto"/>
        </w:rPr>
      </w:pPr>
    </w:p>
    <w:p>
      <w:pPr>
        <w:ind w:right="40" w:firstLine="1629"/>
        <w:spacing w:after="0" w:line="259" w:lineRule="auto"/>
        <w:tabs>
          <w:tab w:leader="none" w:pos="2326" w:val="left"/>
        </w:tabs>
        <w:numPr>
          <w:ilvl w:val="2"/>
          <w:numId w:val="14"/>
        </w:numPr>
        <w:rPr>
          <w:rFonts w:ascii="Arial" w:cs="Arial" w:eastAsia="Arial" w:hAnsi="Arial"/>
          <w:sz w:val="18"/>
          <w:szCs w:val="18"/>
          <w:color w:val="auto"/>
        </w:rPr>
      </w:pPr>
      <w:r>
        <w:rPr>
          <w:rFonts w:ascii="Arial" w:cs="Arial" w:eastAsia="Arial" w:hAnsi="Arial"/>
          <w:sz w:val="18"/>
          <w:szCs w:val="18"/>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213" w:lineRule="exact"/>
        <w:rPr>
          <w:rFonts w:ascii="Arial" w:cs="Arial" w:eastAsia="Arial" w:hAnsi="Arial"/>
          <w:sz w:val="18"/>
          <w:szCs w:val="18"/>
          <w:color w:val="auto"/>
        </w:rPr>
      </w:pPr>
    </w:p>
    <w:p>
      <w:pPr>
        <w:ind w:firstLine="503"/>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that will be used by the Company, the confidentiality of which has significant value to the Company and its future success; and certain restrictions on Employee’s activities as set forth below are necessary to protect the value of the goodwill and other tangible and intangible assets of the Company. 60; Based upon the foregoing, Employee agrees as follows:</w:t>
      </w:r>
    </w:p>
    <w:p>
      <w:pPr>
        <w:spacing w:after="0" w:line="215" w:lineRule="exact"/>
        <w:rPr>
          <w:rFonts w:ascii="Arial" w:cs="Arial" w:eastAsia="Arial" w:hAnsi="Arial"/>
          <w:sz w:val="18"/>
          <w:szCs w:val="18"/>
          <w:color w:val="auto"/>
        </w:rPr>
      </w:pPr>
    </w:p>
    <w:p>
      <w:pPr>
        <w:ind w:right="100" w:firstLine="1305"/>
        <w:spacing w:after="0" w:line="257" w:lineRule="auto"/>
        <w:tabs>
          <w:tab w:leader="none" w:pos="15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person, firm or entity to do or perform any of the acts that Employee is prohibited from doing by subparagraphs (i) or (ii) above.</w:t>
      </w:r>
    </w:p>
    <w:p>
      <w:pPr>
        <w:spacing w:after="0" w:line="252" w:lineRule="exact"/>
        <w:rPr>
          <w:sz w:val="20"/>
          <w:szCs w:val="20"/>
          <w:color w:val="auto"/>
        </w:rPr>
      </w:pPr>
    </w:p>
    <w:p>
      <w:pPr>
        <w:ind w:firstLine="8"/>
        <w:spacing w:after="0" w:line="270"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 TY CONTROLLING, CONTROLLED BY OR UNDER COMMON CONTROL WITH SUCH BUSINESS, WITH ANY OF THE BUSINESS ACTIVITIES CARRIED ON BY THE COMPANY OR BEING PLANNED BY THE COMPANY WITH EMPLOYEE’S PARTICIPATION.</w:t>
      </w:r>
    </w:p>
    <w:p>
      <w:pPr>
        <w:spacing w:after="0" w:line="208" w:lineRule="exact"/>
        <w:rPr>
          <w:rFonts w:ascii="Arial" w:cs="Arial" w:eastAsia="Arial" w:hAnsi="Arial"/>
          <w:sz w:val="17"/>
          <w:szCs w:val="17"/>
          <w:color w:val="auto"/>
        </w:rPr>
      </w:pPr>
    </w:p>
    <w:p>
      <w:pPr>
        <w:ind w:right="80" w:firstLine="1817"/>
        <w:spacing w:after="0" w:line="264" w:lineRule="auto"/>
        <w:tabs>
          <w:tab w:leader="none" w:pos="2116" w:val="left"/>
        </w:tabs>
        <w:numPr>
          <w:ilvl w:val="4"/>
          <w:numId w:val="16"/>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OF THE COMPANY’S BUSINESSES, THE PARTIES AGREE THAT ANY BUSINESS ENGAGED IN ANY OF THE ACTIVITIES SET FORTH ON SCHEDULE 2 SHALL BE DEEMED TO BE A COMPETITIVE BUSINESS UNDER SUBPARAGRAPH (i) ABOVE.</w:t>
      </w:r>
    </w:p>
    <w:p>
      <w:pPr>
        <w:spacing w:after="0" w:line="208" w:lineRule="exact"/>
        <w:rPr>
          <w:rFonts w:ascii="Arial" w:cs="Arial" w:eastAsia="Arial" w:hAnsi="Arial"/>
          <w:sz w:val="18"/>
          <w:szCs w:val="18"/>
          <w:color w:val="auto"/>
        </w:rPr>
      </w:pPr>
    </w:p>
    <w:p>
      <w:pPr>
        <w:ind w:right="60" w:firstLine="1736"/>
        <w:spacing w:after="0" w:line="259" w:lineRule="auto"/>
        <w:tabs>
          <w:tab w:leader="none" w:pos="2130" w:val="left"/>
        </w:tabs>
        <w:numPr>
          <w:ilvl w:val="3"/>
          <w:numId w:val="16"/>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OF THE UNITED STATES IN WHICH THE COMPANY CARRIES OUT BUSINESS ACTIVITIES. EMPLOYEE AGREES THAT NOT SPECIFYING A MORE LIMITED GEOGRAPHIC AREA IS REASONABLE IN LIGHT OF THE BROAD GEOGRAPHIC SCOPE OF THE ACTIVITIES CARRIED OUT BY THE COMPANY IN THE UNITED STATES.</w:t>
      </w:r>
    </w:p>
    <w:p>
      <w:pPr>
        <w:spacing w:after="0" w:line="213" w:lineRule="exact"/>
        <w:rPr>
          <w:rFonts w:ascii="Arial" w:cs="Arial" w:eastAsia="Arial" w:hAnsi="Arial"/>
          <w:sz w:val="18"/>
          <w:szCs w:val="18"/>
          <w:color w:val="auto"/>
        </w:rPr>
      </w:pPr>
    </w:p>
    <w:p>
      <w:pPr>
        <w:jc w:val="both"/>
        <w:ind w:right="160" w:firstLine="1629"/>
        <w:spacing w:after="0" w:line="264" w:lineRule="auto"/>
        <w:tabs>
          <w:tab w:leader="none" w:pos="1971" w:val="left"/>
        </w:tabs>
        <w:numPr>
          <w:ilvl w:val="2"/>
          <w:numId w:val="16"/>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 or similar services to other businesses.</w:t>
      </w:r>
    </w:p>
    <w:p>
      <w:pPr>
        <w:spacing w:after="0" w:line="208" w:lineRule="exact"/>
        <w:rPr>
          <w:rFonts w:ascii="Arial" w:cs="Arial" w:eastAsia="Arial" w:hAnsi="Arial"/>
          <w:sz w:val="18"/>
          <w:szCs w:val="18"/>
          <w:color w:val="auto"/>
        </w:rPr>
      </w:pPr>
    </w:p>
    <w:p>
      <w:pPr>
        <w:ind w:right="140" w:firstLine="1629"/>
        <w:spacing w:after="0" w:line="264" w:lineRule="auto"/>
        <w:tabs>
          <w:tab w:leader="none" w:pos="1921" w:val="left"/>
        </w:tabs>
        <w:numPr>
          <w:ilvl w:val="2"/>
          <w:numId w:val="16"/>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208" w:lineRule="exact"/>
        <w:rPr>
          <w:rFonts w:ascii="Arial" w:cs="Arial" w:eastAsia="Arial" w:hAnsi="Arial"/>
          <w:sz w:val="18"/>
          <w:szCs w:val="18"/>
          <w:color w:val="auto"/>
        </w:rPr>
      </w:pPr>
    </w:p>
    <w:p>
      <w:pPr>
        <w:ind w:right="160" w:firstLine="1305"/>
        <w:spacing w:after="0" w:line="271" w:lineRule="auto"/>
        <w:tabs>
          <w:tab w:leader="none" w:pos="1586"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w:t>
      </w:r>
    </w:p>
    <w:p>
      <w:pPr>
        <w:ind w:right="140"/>
        <w:spacing w:after="0" w:line="277" w:lineRule="auto"/>
        <w:rPr>
          <w:rFonts w:ascii="Arial" w:cs="Arial" w:eastAsia="Arial" w:hAnsi="Arial"/>
          <w:sz w:val="17"/>
          <w:szCs w:val="17"/>
          <w:color w:val="auto"/>
        </w:rPr>
      </w:pPr>
      <w:r>
        <w:rPr>
          <w:rFonts w:ascii="Arial" w:cs="Arial" w:eastAsia="Arial" w:hAnsi="Arial"/>
          <w:sz w:val="17"/>
          <w:szCs w:val="17"/>
          <w:color w:val="auto"/>
        </w:rPr>
        <w:t>ABOVE SHALL APPLY TO EMPLOYEE FOR A ONE-YEAR PERIOD FOLLOWING SUCH TERMINATION; AND (ii) THE COMPANY SHALL PROVIDE TO EMPLOYEE, FOR A ONE-YEAR PERIOD FOLLOWING SUCH TERMINATION, THE PAYMENTS AND BENEFITS DESCRIBED IN SUBPARAGRAPHS 7(c)(i) AND 7(c)(iv) ON THE TERMS SET FORTH THEREIN, AS IF THERE HAD BEEN NO TERMINATION.</w:t>
      </w:r>
    </w:p>
    <w:p>
      <w:pPr>
        <w:spacing w:after="0" w:line="200" w:lineRule="exact"/>
        <w:rPr>
          <w:sz w:val="20"/>
          <w:szCs w:val="20"/>
          <w:color w:val="auto"/>
        </w:rPr>
      </w:pPr>
    </w:p>
    <w:p>
      <w:pPr>
        <w:ind w:right="280" w:firstLine="8"/>
        <w:spacing w:after="0" w:line="342"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right="100"/>
        <w:spacing w:after="0" w:line="267" w:lineRule="auto"/>
        <w:rPr>
          <w:sz w:val="20"/>
          <w:szCs w:val="20"/>
          <w:color w:val="auto"/>
        </w:rPr>
      </w:pPr>
      <w:r>
        <w:rPr>
          <w:rFonts w:ascii="Arial" w:cs="Arial" w:eastAsia="Arial" w:hAnsi="Arial"/>
          <w:sz w:val="17"/>
          <w:szCs w:val="17"/>
          <w:color w:val="auto"/>
        </w:rPr>
        <w:t>confidential information, knowledge or data of the Company or any of its affiliates,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(ii )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w:t>
      </w:r>
    </w:p>
    <w:p>
      <w:pPr>
        <w:spacing w:after="0" w:line="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or its affiliates,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 greement.</w:t>
      </w:r>
    </w:p>
    <w:p>
      <w:pPr>
        <w:spacing w:after="0" w:line="214" w:lineRule="exact"/>
        <w:rPr>
          <w:sz w:val="20"/>
          <w:szCs w:val="20"/>
          <w:color w:val="auto"/>
        </w:rPr>
      </w:pPr>
    </w:p>
    <w:p>
      <w:pPr>
        <w:ind w:right="20" w:firstLine="8"/>
        <w:spacing w:after="0" w:line="289" w:lineRule="auto"/>
        <w:tabs>
          <w:tab w:leader="none" w:pos="2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benefit plans and programs hereunder or thereunder (including in each case any arising followi ng termination of employment); and (ii)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93" w:lineRule="exact"/>
        <w:rPr>
          <w:rFonts w:ascii="Arial" w:cs="Arial" w:eastAsia="Arial" w:hAnsi="Arial"/>
          <w:sz w:val="16"/>
          <w:szCs w:val="16"/>
          <w:color w:val="auto"/>
        </w:rPr>
      </w:pPr>
    </w:p>
    <w:p>
      <w:pPr>
        <w:ind w:firstLine="8"/>
        <w:spacing w:after="0" w:line="257"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0" w:name="page11"/>
    <w:bookmarkEnd w:id="10"/>
    <w:p>
      <w:pPr>
        <w:ind w:left="-40" w:right="340" w:firstLine="1448"/>
        <w:spacing w:after="0" w:line="308" w:lineRule="auto"/>
        <w:tabs>
          <w:tab w:leader="none" w:pos="17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3" w:lineRule="exact"/>
        <w:rPr>
          <w:rFonts w:ascii="Arial" w:cs="Arial" w:eastAsia="Arial" w:hAnsi="Arial"/>
          <w:sz w:val="17"/>
          <w:szCs w:val="17"/>
          <w:color w:val="auto"/>
        </w:rPr>
      </w:pPr>
    </w:p>
    <w:p>
      <w:pPr>
        <w:ind w:left="-40" w:right="180" w:firstLine="1305"/>
        <w:spacing w:after="0" w:line="264" w:lineRule="auto"/>
        <w:tabs>
          <w:tab w:leader="none" w:pos="155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208" w:lineRule="exact"/>
        <w:rPr>
          <w:rFonts w:ascii="Arial" w:cs="Arial" w:eastAsia="Arial" w:hAnsi="Arial"/>
          <w:sz w:val="18"/>
          <w:szCs w:val="18"/>
          <w:color w:val="auto"/>
        </w:rPr>
      </w:pPr>
    </w:p>
    <w:p>
      <w:pPr>
        <w:ind w:left="-40" w:firstLine="656"/>
        <w:spacing w:after="0" w:line="273" w:lineRule="auto"/>
        <w:tabs>
          <w:tab w:leader="none" w:pos="83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Non-Derogatory Statements</w:t>
      </w:r>
      <w:r>
        <w:rPr>
          <w:rFonts w:ascii="Arial" w:cs="Arial" w:eastAsia="Arial" w:hAnsi="Arial"/>
          <w:sz w:val="17"/>
          <w:szCs w:val="17"/>
          <w:color w:val="auto"/>
        </w:rPr>
        <w:t>. During the period of Employee’s employment (whether during the Term or thereafter), and for a period of three (3) years thereafter, neither party shall engage in any communication with any person or entity, including any actual or potential employer, customer, consultant, independent contractor, investor, lender, service provider or supplier of the other party, or any media outlet, which constitutes derogatory or disparaging statements – orally, written or otherwise – against the other party or any of its, his or her directors, officers, agents, employees, contractors or affiliates (or any of their respective directors, officers, agents, employees, contractors or affilia tes). The foregoing shall not be deemed to restrict either party’s obligations to testify truthfully in any proceeding or cooperate in any governmental investigation.</w:t>
      </w:r>
    </w:p>
    <w:p>
      <w:pPr>
        <w:spacing w:after="0" w:line="205" w:lineRule="exact"/>
        <w:rPr>
          <w:rFonts w:ascii="Arial" w:cs="Arial" w:eastAsia="Arial" w:hAnsi="Arial"/>
          <w:sz w:val="17"/>
          <w:szCs w:val="17"/>
          <w:color w:val="auto"/>
        </w:rPr>
      </w:pPr>
    </w:p>
    <w:p>
      <w:pPr>
        <w:ind w:left="940" w:hanging="32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80" w:firstLine="1305"/>
        <w:spacing w:after="0" w:line="269" w:lineRule="auto"/>
        <w:tabs>
          <w:tab w:leader="none" w:pos="1546" w:val="left"/>
        </w:tabs>
        <w:numPr>
          <w:ilvl w:val="1"/>
          <w:numId w:val="21"/>
        </w:numPr>
        <w:rPr>
          <w:rFonts w:ascii="Arial" w:cs="Arial" w:eastAsia="Arial" w:hAnsi="Arial"/>
          <w:sz w:val="17"/>
          <w:szCs w:val="17"/>
          <w:color w:val="auto"/>
        </w:rPr>
      </w:pPr>
      <w:r>
        <w:rPr>
          <w:rFonts w:ascii="Arial" w:cs="Arial" w:eastAsia="Arial" w:hAnsi="Arial"/>
          <w:sz w:val="17"/>
          <w:szCs w:val="17"/>
          <w:color w:val="auto"/>
        </w:rPr>
        <w:t>To the extent any Company Intellectual Property (as defined in subparagraph (e) below) is not already owned by the Company as a matter of law or prior written assignments by Employee to the Company, Employee hereby assigns to the Company, and agrees to assign the Company in the future (to the extent necessary), all right, title and interest that Employee now has or acquires in the future in and to any and all Company Intellectual Property. Employee shal 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 nd is not contingent upon, the substance of any testimony Employee may give or provide while assisting the Company.</w:t>
      </w:r>
    </w:p>
    <w:p>
      <w:pPr>
        <w:spacing w:after="0" w:line="236" w:lineRule="exact"/>
        <w:rPr>
          <w:rFonts w:ascii="Arial" w:cs="Arial" w:eastAsia="Arial" w:hAnsi="Arial"/>
          <w:sz w:val="17"/>
          <w:szCs w:val="17"/>
          <w:color w:val="auto"/>
        </w:rPr>
      </w:pPr>
    </w:p>
    <w:p>
      <w:pPr>
        <w:ind w:left="-40" w:right="40" w:firstLine="1305"/>
        <w:spacing w:after="0" w:line="270" w:lineRule="auto"/>
        <w:tabs>
          <w:tab w:leader="none" w:pos="1817" w:val="left"/>
        </w:tabs>
        <w:numPr>
          <w:ilvl w:val="1"/>
          <w:numId w:val="21"/>
        </w:numPr>
        <w:rPr>
          <w:rFonts w:ascii="Arial" w:cs="Arial" w:eastAsia="Arial" w:hAnsi="Arial"/>
          <w:sz w:val="17"/>
          <w:szCs w:val="17"/>
          <w:color w:val="auto"/>
        </w:rPr>
      </w:pPr>
      <w:r>
        <w:rPr>
          <w:rFonts w:ascii="Arial" w:cs="Arial" w:eastAsia="Arial" w:hAnsi="Arial"/>
          <w:sz w:val="17"/>
          <w:szCs w:val="17"/>
          <w:color w:val="auto"/>
        </w:rPr>
        <w:t>Employee will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copyrighted, including without limitation any Intellectual Property (to be held in confidence by the Company) that qualifies fully as a nonassignable invention under Section 2870 of the California Labor Code (“Nonassig 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or Confidential Information. Employee has reviewed the notification on Schedule 3 and agrees that Employee’s execution hereof acknowledges receipt of such notification.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760" w:right="259" w:bottom="1440" w:gutter="0" w:footer="0" w:header="0"/>
        </w:sectPr>
      </w:pPr>
    </w:p>
    <w:bookmarkStart w:id="11" w:name="page12"/>
    <w:bookmarkEnd w:id="11"/>
    <w:p>
      <w:pPr>
        <w:ind w:right="160" w:firstLine="1305"/>
        <w:spacing w:after="0" w:line="255" w:lineRule="auto"/>
        <w:tabs>
          <w:tab w:leader="none" w:pos="17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Intellectual Property application or registration, Employee hereby irrevocably designates and appoints the Company and its duly authorized officers and agents as Em ployee’s agents and attorneys-in-fact to act for and on Employee’s behalf and instead of Employee to execute and file such lawful and necessary documents and to do all other lawfully permitted acts to further prosecute, issue and/or register patents, copyrights and any other Intellectual Property rights registrations thereon with the same legal force and effect as if executed by Employee.</w:t>
      </w:r>
    </w:p>
    <w:p>
      <w:pPr>
        <w:spacing w:after="0" w:line="220" w:lineRule="exact"/>
        <w:rPr>
          <w:rFonts w:ascii="Arial" w:cs="Arial" w:eastAsia="Arial" w:hAnsi="Arial"/>
          <w:sz w:val="18"/>
          <w:szCs w:val="18"/>
          <w:color w:val="auto"/>
        </w:rPr>
      </w:pPr>
    </w:p>
    <w:p>
      <w:pPr>
        <w:ind w:right="100" w:firstLine="1305"/>
        <w:spacing w:after="0" w:line="302" w:lineRule="auto"/>
        <w:tabs>
          <w:tab w:leader="none" w:pos="1728"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or its suppliers, distributors or customers qualify as “work made for hire,” as such term is defined and used in the copyright laws of the United States of America, then such materials shall be done by Employee as “work made for hire&amp; #8221; under such law.</w:t>
      </w:r>
    </w:p>
    <w:p>
      <w:pPr>
        <w:spacing w:after="0" w:line="181" w:lineRule="exact"/>
        <w:rPr>
          <w:rFonts w:ascii="Arial" w:cs="Arial" w:eastAsia="Arial" w:hAnsi="Arial"/>
          <w:sz w:val="16"/>
          <w:szCs w:val="16"/>
          <w:color w:val="auto"/>
        </w:rPr>
      </w:pPr>
    </w:p>
    <w:p>
      <w:pPr>
        <w:ind w:firstLine="1305"/>
        <w:spacing w:after="0" w:line="291" w:lineRule="auto"/>
        <w:tabs>
          <w:tab w:leader="none" w:pos="1721"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“Intellectual Property” means any and all ideas, inventions, formulae, know how, trade secrets, devices, designs, models, methods, techniques, processes, specifications, tooling, computer programs, works of authorship, copyrighted and copyrightable works, mask works, trademarks and service marks, Internet domain names, technical and product information, patents and patent applications throughout the world and any other intellectual property rights or applications throughout the world. “Company Intellectual Property” means any Intellect ual Property created, fixed, conceived or reduced to practice, in whole or in part, by Employee, either alone or jointly with others, whether or not such Intellectual Property is patentable or copyrightable, either (i) that relates to the Company’s current or planned businesses or (ii) that is created, etc. during working hours, in the performance of Employee’s duties or using the Company’s information, facilities or equipment or other assets. “Company Intellectual Property” does not include Nonassignable IP.</w:t>
      </w:r>
    </w:p>
    <w:p>
      <w:pPr>
        <w:spacing w:after="0" w:line="194" w:lineRule="exact"/>
        <w:rPr>
          <w:rFonts w:ascii="Arial" w:cs="Arial" w:eastAsia="Arial" w:hAnsi="Arial"/>
          <w:sz w:val="16"/>
          <w:szCs w:val="16"/>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252" w:lineRule="exact"/>
        <w:rPr>
          <w:rFonts w:ascii="Arial" w:cs="Arial" w:eastAsia="Arial" w:hAnsi="Arial"/>
          <w:sz w:val="18"/>
          <w:szCs w:val="18"/>
          <w:color w:val="auto"/>
        </w:rPr>
      </w:pPr>
    </w:p>
    <w:p>
      <w:pPr>
        <w:ind w:left="1720" w:hanging="415"/>
        <w:spacing w:after="0"/>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52" w:lineRule="exact"/>
        <w:rPr>
          <w:rFonts w:ascii="Arial" w:cs="Arial" w:eastAsia="Arial" w:hAnsi="Arial"/>
          <w:sz w:val="18"/>
          <w:szCs w:val="18"/>
          <w:color w:val="auto"/>
        </w:rPr>
      </w:pPr>
    </w:p>
    <w:p>
      <w:pPr>
        <w:ind w:left="1880" w:hanging="251"/>
        <w:spacing w:after="0"/>
        <w:tabs>
          <w:tab w:leader="none" w:pos="1880" w:val="left"/>
        </w:tabs>
        <w:numPr>
          <w:ilvl w:val="2"/>
          <w:numId w:val="23"/>
        </w:numPr>
        <w:rPr>
          <w:rFonts w:ascii="Arial" w:cs="Arial" w:eastAsia="Arial" w:hAnsi="Arial"/>
          <w:sz w:val="17"/>
          <w:szCs w:val="17"/>
          <w:color w:val="auto"/>
        </w:rPr>
      </w:pPr>
      <w:r>
        <w:rPr>
          <w:rFonts w:ascii="Arial" w:cs="Arial" w:eastAsia="Arial" w:hAnsi="Arial"/>
          <w:sz w:val="17"/>
          <w:szCs w:val="17"/>
          <w:color w:val="auto"/>
        </w:rPr>
        <w:t>Employee has had the opportunity to retain and consult with legal counsel and tax advisors of Employee’s choice regarding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terms of this Agreement.</w:t>
      </w:r>
    </w:p>
    <w:p>
      <w:pPr>
        <w:spacing w:after="0" w:line="237" w:lineRule="exact"/>
        <w:rPr>
          <w:rFonts w:ascii="Arial" w:cs="Arial" w:eastAsia="Arial" w:hAnsi="Arial"/>
          <w:sz w:val="17"/>
          <w:szCs w:val="17"/>
          <w:color w:val="auto"/>
        </w:rPr>
      </w:pPr>
    </w:p>
    <w:p>
      <w:pPr>
        <w:ind w:left="1940" w:hanging="311"/>
        <w:spacing w:after="0"/>
        <w:tabs>
          <w:tab w:leader="none" w:pos="19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Subject to bankruptcy and insolvency laws, and general equitable principles, this Agreement is enforceable against Employee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accordance with its terms.</w:t>
      </w:r>
    </w:p>
    <w:p>
      <w:pPr>
        <w:spacing w:after="0" w:line="237" w:lineRule="exact"/>
        <w:rPr>
          <w:rFonts w:ascii="Arial" w:cs="Arial" w:eastAsia="Arial" w:hAnsi="Arial"/>
          <w:sz w:val="16"/>
          <w:szCs w:val="16"/>
          <w:color w:val="auto"/>
        </w:rPr>
      </w:pPr>
    </w:p>
    <w:p>
      <w:pPr>
        <w:ind w:right="120" w:firstLine="1629"/>
        <w:spacing w:after="0" w:line="342" w:lineRule="auto"/>
        <w:tabs>
          <w:tab w:leader="none" w:pos="1977"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This Agreement, and the performance of Employee’s obligations hereunder, do not conflict with, violate or give rise to any rights of third parties under, any agreement, benefit plan or program, order, decree or judgment to which Employee is a party or by which Employee is bound.</w:t>
      </w:r>
    </w:p>
    <w:p>
      <w:pPr>
        <w:spacing w:after="0" w:line="150" w:lineRule="exact"/>
        <w:rPr>
          <w:rFonts w:ascii="Arial" w:cs="Arial" w:eastAsia="Arial" w:hAnsi="Arial"/>
          <w:sz w:val="16"/>
          <w:szCs w:val="16"/>
          <w:color w:val="auto"/>
        </w:rPr>
      </w:pPr>
    </w:p>
    <w:p>
      <w:pPr>
        <w:ind w:left="1780" w:hanging="475"/>
        <w:spacing w:after="0"/>
        <w:tabs>
          <w:tab w:leader="none" w:pos="1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52" w:lineRule="exact"/>
        <w:rPr>
          <w:rFonts w:ascii="Arial" w:cs="Arial" w:eastAsia="Arial" w:hAnsi="Arial"/>
          <w:sz w:val="18"/>
          <w:szCs w:val="18"/>
          <w:color w:val="auto"/>
        </w:rPr>
      </w:pPr>
    </w:p>
    <w:p>
      <w:pPr>
        <w:ind w:left="1880" w:hanging="251"/>
        <w:spacing w:after="0"/>
        <w:tabs>
          <w:tab w:leader="none" w:pos="18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Subject to bankruptcy and insolvency laws, and general equitable principles, this Agreement is enforceable against the Company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accordance with its terms.</w:t>
      </w:r>
    </w:p>
    <w:p>
      <w:pPr>
        <w:spacing w:after="0" w:line="237" w:lineRule="exact"/>
        <w:rPr>
          <w:rFonts w:ascii="Arial" w:cs="Arial" w:eastAsia="Arial" w:hAnsi="Arial"/>
          <w:sz w:val="16"/>
          <w:szCs w:val="16"/>
          <w:color w:val="auto"/>
        </w:rPr>
      </w:pPr>
    </w:p>
    <w:p>
      <w:pPr>
        <w:ind w:right="400" w:firstLine="1629"/>
        <w:spacing w:after="0" w:line="277" w:lineRule="auto"/>
        <w:tabs>
          <w:tab w:leader="none" w:pos="1927"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This Agreement, and the performance of the Company’s obligations hereunder, do not conflict with, violate or give rise to any rights to third parties under, any agreement, order, decree or judgment to which the Company is a party or by which it is bound.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right="360" w:firstLine="548"/>
        <w:spacing w:after="0" w:line="264" w:lineRule="auto"/>
        <w:tabs>
          <w:tab w:leader="none" w:pos="85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Withholding/Deductions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208" w:lineRule="exact"/>
        <w:rPr>
          <w:rFonts w:ascii="Arial" w:cs="Arial" w:eastAsia="Arial" w:hAnsi="Arial"/>
          <w:sz w:val="18"/>
          <w:szCs w:val="18"/>
          <w:color w:val="auto"/>
        </w:rPr>
      </w:pPr>
    </w:p>
    <w:p>
      <w:pPr>
        <w:ind w:left="820" w:hanging="31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80" w:firstLine="998"/>
        <w:spacing w:after="0" w:line="293" w:lineRule="auto"/>
        <w:tabs>
          <w:tab w:leader="none" w:pos="1280" w:val="left"/>
        </w:tabs>
        <w:numPr>
          <w:ilvl w:val="3"/>
          <w:numId w:val="25"/>
        </w:numPr>
        <w:rPr>
          <w:rFonts w:ascii="Arial" w:cs="Arial" w:eastAsia="Arial" w:hAnsi="Arial"/>
          <w:sz w:val="16"/>
          <w:szCs w:val="16"/>
          <w:color w:val="auto"/>
        </w:rPr>
      </w:pPr>
      <w:r>
        <w:rPr>
          <w:rFonts w:ascii="Arial" w:cs="Arial" w:eastAsia="Arial" w:hAnsi="Arial"/>
          <w:sz w:val="16"/>
          <w:szCs w:val="16"/>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91" w:lineRule="exact"/>
        <w:rPr>
          <w:rFonts w:ascii="Arial" w:cs="Arial" w:eastAsia="Arial" w:hAnsi="Arial"/>
          <w:sz w:val="16"/>
          <w:szCs w:val="16"/>
          <w:color w:val="auto"/>
        </w:rPr>
      </w:pPr>
    </w:p>
    <w:p>
      <w:pPr>
        <w:ind w:right="120" w:firstLine="998"/>
        <w:spacing w:after="0" w:line="277" w:lineRule="auto"/>
        <w:tabs>
          <w:tab w:leader="none" w:pos="1290" w:val="left"/>
        </w:tabs>
        <w:numPr>
          <w:ilvl w:val="3"/>
          <w:numId w:val="25"/>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197" w:lineRule="exact"/>
        <w:rPr>
          <w:rFonts w:ascii="Arial" w:cs="Arial" w:eastAsia="Arial" w:hAnsi="Arial"/>
          <w:sz w:val="18"/>
          <w:szCs w:val="18"/>
          <w:color w:val="auto"/>
        </w:rPr>
      </w:pPr>
    </w:p>
    <w:p>
      <w:pPr>
        <w:ind w:firstLine="998"/>
        <w:spacing w:after="0" w:line="269" w:lineRule="auto"/>
        <w:tabs>
          <w:tab w:leader="none" w:pos="1280" w:val="left"/>
        </w:tabs>
        <w:numPr>
          <w:ilvl w:val="3"/>
          <w:numId w:val="2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 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 (i) Employee’s annualized compensation for the year prior to the “separation from service;” and (ii) the maximum amount that may be taken into account under a qualified plan pursuant to s ection 401(a)(17) of the Code, being paid to Employee in the first six months following his “separation from service.”</w:t>
      </w:r>
    </w:p>
    <w:p>
      <w:pPr>
        <w:spacing w:after="0" w:line="206" w:lineRule="exact"/>
        <w:rPr>
          <w:rFonts w:ascii="Arial" w:cs="Arial" w:eastAsia="Arial" w:hAnsi="Arial"/>
          <w:sz w:val="17"/>
          <w:szCs w:val="17"/>
          <w:color w:val="auto"/>
        </w:rPr>
      </w:pPr>
    </w:p>
    <w:p>
      <w:pPr>
        <w:ind w:right="120" w:firstLine="998"/>
        <w:spacing w:after="0" w:line="291" w:lineRule="auto"/>
        <w:tabs>
          <w:tab w:leader="none" w:pos="1280" w:val="left"/>
        </w:tabs>
        <w:numPr>
          <w:ilvl w:val="3"/>
          <w:numId w:val="25"/>
        </w:numPr>
        <w:rPr>
          <w:rFonts w:ascii="Arial" w:cs="Arial" w:eastAsia="Arial" w:hAnsi="Arial"/>
          <w:sz w:val="16"/>
          <w:szCs w:val="16"/>
          <w:color w:val="auto"/>
        </w:rPr>
      </w:pPr>
      <w:r>
        <w:rPr>
          <w:rFonts w:ascii="Arial" w:cs="Arial" w:eastAsia="Arial" w:hAnsi="Arial"/>
          <w:sz w:val="16"/>
          <w:szCs w:val="16"/>
          <w:color w:val="auto"/>
        </w:rPr>
        <w:t>Anything to the contrary herein notwithstanding, all benefits or payments provided by the Company to Employee that would be deemed to constitute “nonqualified deferred compensation” within the meaning of Section 409A of the Code are intended to comply with Section 409A of the</w:t>
      </w: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Code. Notwithstanding anything in this Agreement to the contrary, distributions may only be made under this Agreement upon an event and in a manner permitted by Section 409A of the Code or an applicable exemption.</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980" w:hanging="324"/>
        <w:spacing w:after="0"/>
        <w:tabs>
          <w:tab w:leader="none" w:pos="980"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196"/>
        <w:spacing w:after="0" w:line="264" w:lineRule="auto"/>
        <w:tabs>
          <w:tab w:leader="none" w:pos="1478" w:val="left"/>
        </w:tabs>
        <w:numPr>
          <w:ilvl w:val="4"/>
          <w:numId w:val="25"/>
        </w:numPr>
        <w:rPr>
          <w:rFonts w:ascii="Arial" w:cs="Arial" w:eastAsia="Arial" w:hAnsi="Arial"/>
          <w:sz w:val="18"/>
          <w:szCs w:val="18"/>
          <w:color w:val="auto"/>
        </w:rPr>
      </w:pPr>
      <w:r>
        <w:rPr>
          <w:rFonts w:ascii="Arial" w:cs="Arial" w:eastAsia="Arial" w:hAnsi="Arial"/>
          <w:sz w:val="18"/>
          <w:szCs w:val="18"/>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and effect.</w:t>
      </w:r>
    </w:p>
    <w:p>
      <w:pPr>
        <w:spacing w:after="0" w:line="252" w:lineRule="exact"/>
        <w:rPr>
          <w:sz w:val="20"/>
          <w:szCs w:val="20"/>
          <w:color w:val="auto"/>
        </w:rPr>
      </w:pPr>
    </w:p>
    <w:p>
      <w:pPr>
        <w:jc w:val="both"/>
        <w:ind w:right="80" w:firstLine="1196"/>
        <w:spacing w:after="0" w:line="302" w:lineRule="auto"/>
        <w:tabs>
          <w:tab w:leader="none" w:pos="1488"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77" w:lineRule="exact"/>
        <w:rPr>
          <w:rFonts w:ascii="Arial" w:cs="Arial" w:eastAsia="Arial" w:hAnsi="Arial"/>
          <w:sz w:val="16"/>
          <w:szCs w:val="16"/>
          <w:color w:val="auto"/>
        </w:rPr>
      </w:pPr>
    </w:p>
    <w:p>
      <w:pPr>
        <w:ind w:right="60" w:firstLine="494"/>
        <w:spacing w:after="0" w:line="256" w:lineRule="auto"/>
        <w:tabs>
          <w:tab w:leader="none" w:pos="801"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14" w:lineRule="exact"/>
        <w:rPr>
          <w:rFonts w:ascii="Arial" w:cs="Arial" w:eastAsia="Arial" w:hAnsi="Arial"/>
          <w:sz w:val="18"/>
          <w:szCs w:val="18"/>
          <w:color w:val="auto"/>
        </w:rPr>
      </w:pPr>
    </w:p>
    <w:p>
      <w:pPr>
        <w:ind w:firstLine="494"/>
        <w:spacing w:after="0" w:line="256" w:lineRule="auto"/>
        <w:tabs>
          <w:tab w:leader="none" w:pos="801"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218" w:lineRule="exact"/>
        <w:rPr>
          <w:rFonts w:ascii="Arial" w:cs="Arial" w:eastAsia="Arial" w:hAnsi="Arial"/>
          <w:sz w:val="18"/>
          <w:szCs w:val="18"/>
          <w:color w:val="auto"/>
        </w:rPr>
      </w:pPr>
    </w:p>
    <w:p>
      <w:pPr>
        <w:ind w:right="80" w:firstLine="494"/>
        <w:spacing w:after="0" w:line="271" w:lineRule="auto"/>
        <w:tabs>
          <w:tab w:leader="none" w:pos="80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 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05" w:lineRule="exact"/>
        <w:rPr>
          <w:rFonts w:ascii="Arial" w:cs="Arial" w:eastAsia="Arial" w:hAnsi="Arial"/>
          <w:sz w:val="17"/>
          <w:szCs w:val="17"/>
          <w:color w:val="auto"/>
        </w:rPr>
      </w:pPr>
    </w:p>
    <w:p>
      <w:pPr>
        <w:ind w:right="20" w:firstLine="494"/>
        <w:spacing w:after="0" w:line="277" w:lineRule="auto"/>
        <w:tabs>
          <w:tab w:leader="none" w:pos="80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97" w:lineRule="exact"/>
        <w:rPr>
          <w:rFonts w:ascii="Arial" w:cs="Arial" w:eastAsia="Arial" w:hAnsi="Arial"/>
          <w:sz w:val="18"/>
          <w:szCs w:val="18"/>
          <w:color w:val="auto"/>
        </w:rPr>
      </w:pPr>
    </w:p>
    <w:p>
      <w:pPr>
        <w:ind w:right="400" w:firstLine="494"/>
        <w:spacing w:after="0" w:line="264" w:lineRule="auto"/>
        <w:tabs>
          <w:tab w:leader="none" w:pos="80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(215) 286-7794; and</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Employee:</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Employee’s address and fax number (if any) as most recently indicated in the Company’s records.</w:t>
      </w:r>
    </w:p>
    <w:p>
      <w:pPr>
        <w:spacing w:after="0" w:line="252" w:lineRule="exact"/>
        <w:rPr>
          <w:sz w:val="20"/>
          <w:szCs w:val="20"/>
          <w:color w:val="auto"/>
        </w:rPr>
      </w:pPr>
    </w:p>
    <w:p>
      <w:pPr>
        <w:ind w:firstLine="656"/>
        <w:spacing w:after="0" w:line="257" w:lineRule="auto"/>
        <w:tabs>
          <w:tab w:leader="none" w:pos="9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and 3 hereto) constitutes the entire agreement of the parties with respect to the subject matter hereof, and supersedes and replaces in its entirety the Employment Agreement dated as of January 1, 2005, as amended,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15" w:lineRule="exact"/>
        <w:rPr>
          <w:rFonts w:ascii="Arial" w:cs="Arial" w:eastAsia="Arial" w:hAnsi="Arial"/>
          <w:sz w:val="18"/>
          <w:szCs w:val="18"/>
          <w:color w:val="auto"/>
        </w:rPr>
      </w:pPr>
    </w:p>
    <w:p>
      <w:pPr>
        <w:ind w:right="40" w:firstLine="656"/>
        <w:spacing w:after="0" w:line="264" w:lineRule="auto"/>
        <w:tabs>
          <w:tab w:leader="none" w:pos="9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8" w:lineRule="exact"/>
        <w:rPr>
          <w:rFonts w:ascii="Arial" w:cs="Arial" w:eastAsia="Arial" w:hAnsi="Arial"/>
          <w:sz w:val="18"/>
          <w:szCs w:val="18"/>
          <w:color w:val="auto"/>
        </w:rPr>
      </w:pPr>
    </w:p>
    <w:p>
      <w:pPr>
        <w:ind w:firstLine="656"/>
        <w:spacing w:after="0" w:line="259" w:lineRule="auto"/>
        <w:tabs>
          <w:tab w:leader="none" w:pos="9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13" w:lineRule="exact"/>
        <w:rPr>
          <w:rFonts w:ascii="Arial" w:cs="Arial" w:eastAsia="Arial" w:hAnsi="Arial"/>
          <w:sz w:val="18"/>
          <w:szCs w:val="18"/>
          <w:color w:val="auto"/>
        </w:rPr>
      </w:pPr>
    </w:p>
    <w:p>
      <w:pPr>
        <w:ind w:right="260" w:firstLine="656"/>
        <w:spacing w:after="0" w:line="264" w:lineRule="auto"/>
        <w:tabs>
          <w:tab w:leader="none" w:pos="9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5" w:name="page16"/>
    <w:bookmarkEnd w:id="15"/>
    <w:p>
      <w:pPr>
        <w:ind w:left="4320"/>
        <w:spacing w:after="0"/>
        <w:rPr>
          <w:sz w:val="20"/>
          <w:szCs w:val="20"/>
          <w:color w:val="auto"/>
        </w:rPr>
      </w:pPr>
      <w:r>
        <w:rPr>
          <w:rFonts w:ascii="Arial" w:cs="Arial" w:eastAsia="Arial" w:hAnsi="Arial"/>
          <w:sz w:val="17"/>
          <w:szCs w:val="17"/>
          <w:color w:val="auto"/>
        </w:rPr>
        <w:t>COMCAST CORPORATION</w:t>
      </w: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Arthur R. Block</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2/22/2011</w:t>
      </w:r>
    </w:p>
    <w:p>
      <w:pPr>
        <w:spacing w:after="0" w:line="200" w:lineRule="exact"/>
        <w:rPr>
          <w:sz w:val="20"/>
          <w:szCs w:val="20"/>
          <w:color w:val="auto"/>
        </w:rPr>
      </w:pPr>
    </w:p>
    <w:p>
      <w:pPr>
        <w:spacing w:after="0" w:line="29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EMPLOYEE:</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/s/ David L. Cohen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DAVID L. COHEN</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2/22/2011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003" w:right="1440" w:bottom="1440" w:gutter="0" w:footer="0" w:header="0"/>
        </w:sectPr>
      </w:pPr>
    </w:p>
    <w:bookmarkStart w:id="16" w:name="page17"/>
    <w:bookmarkEnd w:id="16"/>
    <w:p>
      <w:pPr>
        <w:jc w:val="center"/>
        <w:ind w:right="-111"/>
        <w:spacing w:after="0"/>
        <w:rPr>
          <w:sz w:val="20"/>
          <w:szCs w:val="20"/>
          <w:color w:val="auto"/>
        </w:rPr>
      </w:pPr>
      <w:r>
        <w:rPr>
          <w:rFonts w:ascii="Arial" w:cs="Arial" w:eastAsia="Arial" w:hAnsi="Arial"/>
          <w:sz w:val="18"/>
          <w:szCs w:val="18"/>
          <w:u w:val="single" w:color="auto"/>
          <w:color w:val="auto"/>
        </w:rPr>
        <w:t>SCHEDULE 1 TO EMPLOYMENT AGREEMENT WITH DAVID L. COHEN</w:t>
      </w:r>
    </w:p>
    <w:p>
      <w:pPr>
        <w:spacing w:after="0" w:line="252" w:lineRule="exact"/>
        <w:rPr>
          <w:sz w:val="20"/>
          <w:szCs w:val="20"/>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Position: Executive Vice President.</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 $1,337,994.</w:t>
      </w:r>
    </w:p>
    <w:p>
      <w:pPr>
        <w:spacing w:after="0" w:line="252" w:lineRule="exact"/>
        <w:rPr>
          <w:rFonts w:ascii="Arial" w:cs="Arial" w:eastAsia="Arial" w:hAnsi="Arial"/>
          <w:sz w:val="18"/>
          <w:szCs w:val="18"/>
          <w:color w:val="auto"/>
        </w:rPr>
      </w:pPr>
    </w:p>
    <w:p>
      <w:pPr>
        <w:ind w:left="332" w:right="220" w:hanging="332"/>
        <w:spacing w:after="0" w:line="264" w:lineRule="auto"/>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Signing Bonus Amount and Terms: $5,000,000, payable as follows: on each such date that is as soon as practicable following each of the Commencement Date and January 1, 2012, (i) $1,500,000 in cash and (ii) fully vested units under the Company’s Restricted Stock Plan having a then market value of approximately $1,000,000.</w:t>
      </w:r>
    </w:p>
    <w:p>
      <w:pPr>
        <w:spacing w:after="0" w:line="208"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200%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197" w:lineRule="exact"/>
        <w:rPr>
          <w:rFonts w:ascii="Arial" w:cs="Arial" w:eastAsia="Arial" w:hAnsi="Arial"/>
          <w:sz w:val="18"/>
          <w:szCs w:val="18"/>
          <w:color w:val="auto"/>
        </w:rPr>
      </w:pPr>
    </w:p>
    <w:p>
      <w:pPr>
        <w:ind w:left="332" w:right="200" w:hanging="332"/>
        <w:spacing w:after="0" w:line="277" w:lineRule="auto"/>
        <w:tabs>
          <w:tab w:leader="none" w:pos="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197" w:lineRule="exact"/>
        <w:rPr>
          <w:sz w:val="20"/>
          <w:szCs w:val="20"/>
          <w:color w:val="auto"/>
        </w:rPr>
      </w:pPr>
    </w:p>
    <w:p>
      <w:pPr>
        <w:ind w:left="332" w:right="200" w:hanging="323"/>
        <w:spacing w:after="0" w:line="264" w:lineRule="auto"/>
        <w:tabs>
          <w:tab w:leader="none" w:pos="312" w:val="left"/>
        </w:tabs>
        <w:rPr>
          <w:sz w:val="20"/>
          <w:szCs w:val="20"/>
          <w:color w:val="auto"/>
        </w:rPr>
      </w:pPr>
      <w:r>
        <w:rPr>
          <w:rFonts w:ascii="Arial" w:cs="Arial" w:eastAsia="Arial" w:hAnsi="Arial"/>
          <w:sz w:val="18"/>
          <w:szCs w:val="18"/>
          <w:color w:val="auto"/>
        </w:rPr>
        <w:t>6.</w:t>
        <w:tab/>
        <w:t>Restricted Stock and Stock Option Plan Grants Continued Vesting Period following Termination Without Cause or Termination With Good Reason: Twelve (12) months. Stock Option Plan Grants Continued Exercisability Period following Termination Without Cause or Termination With Good Reason: the lesser of fifteen (15) months or the end of the stock option’s term.</w:t>
      </w:r>
    </w:p>
    <w:p>
      <w:pPr>
        <w:spacing w:after="0" w:line="35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7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COMPETITIVE BUSINESS ACTIVITIES</w:t>
      </w:r>
    </w:p>
    <w:p>
      <w:pPr>
        <w:spacing w:after="0" w:line="252" w:lineRule="exact"/>
        <w:rPr>
          <w:sz w:val="20"/>
          <w:szCs w:val="20"/>
          <w:color w:val="auto"/>
        </w:rPr>
      </w:pPr>
    </w:p>
    <w:p>
      <w:pPr>
        <w:jc w:val="both"/>
        <w:ind w:left="1900" w:hanging="269"/>
        <w:spacing w:after="0" w:line="291" w:lineRule="auto"/>
        <w:tabs>
          <w:tab w:leader="none" w:pos="1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or other), and by any distribution method</w:t>
      </w:r>
    </w:p>
    <w:p>
      <w:pPr>
        <w:jc w:val="both"/>
        <w:ind w:left="1900"/>
        <w:spacing w:after="0" w:line="268" w:lineRule="auto"/>
        <w:rPr>
          <w:sz w:val="20"/>
          <w:szCs w:val="20"/>
          <w:color w:val="auto"/>
        </w:rPr>
      </w:pPr>
      <w:r>
        <w:rPr>
          <w:rFonts w:ascii="Arial" w:cs="Arial" w:eastAsia="Arial" w:hAnsi="Arial"/>
          <w:sz w:val="17"/>
          <w:szCs w:val="17"/>
          <w:color w:val="auto"/>
        </w:rPr>
        <w:t>(including broadcast,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Bright House Networks; Cablevision Systems Corporation; CBS Corporation; Charter Communications, Inc.; Cox Communications, Inc.; DIRECTV; DISH Network Corporation; EchoStar Holding Corporation; Everest; Facebook, Inc.; Flixster, Inc; Google, Inc. (including YouTube); Joost Operations S.A.; Knology Holdings, Inc.; Microsoft Corporation (including Xbox); Netflix, Inc.; News Corp. (including Fox); Qwest Communications International, Inc.; RCN Corporation; Roku, Inc.; Time Warner Cable, Inc.; TiVo Inc.; Verizon Communications, Inc.; VUDU, Inc.; The Walt Disney Company (including ABC); and Wide Open West.</w:t>
      </w:r>
    </w:p>
    <w:p>
      <w:pPr>
        <w:spacing w:after="0" w:line="209" w:lineRule="exact"/>
        <w:rPr>
          <w:sz w:val="20"/>
          <w:szCs w:val="20"/>
          <w:color w:val="auto"/>
        </w:rPr>
      </w:pPr>
    </w:p>
    <w:p>
      <w:pPr>
        <w:jc w:val="both"/>
        <w:ind w:left="1880" w:hanging="259"/>
        <w:spacing w:after="0" w:line="270" w:lineRule="auto"/>
        <w:tabs>
          <w:tab w:leader="none" w:pos="1860" w:val="left"/>
        </w:tabs>
        <w:rPr>
          <w:sz w:val="20"/>
          <w:szCs w:val="20"/>
          <w:color w:val="auto"/>
        </w:rPr>
      </w:pPr>
      <w:r>
        <w:rPr>
          <w:rFonts w:ascii="Arial" w:cs="Arial" w:eastAsia="Arial" w:hAnsi="Arial"/>
          <w:sz w:val="17"/>
          <w:szCs w:val="17"/>
          <w:color w:val="auto"/>
        </w:rPr>
        <w:t>B.</w:t>
        <w:tab/>
        <w:t>The provision of Internet access or portal service (including related applications and services) to consumer or commercial customers or users, whether by analog or digital technology, to any type of end-user equipment (television, computer, phone, personal digital assistant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AT&amp;T Inc.; Bright House Networks; Cablevision Systems Corporation; Charter Communications Inc.; Clearwire Corporation; Cox Commun ications, Inc.; DIRECTV; DISH Network Corporation; EchoStar Holding Corporation; Google, Inc.; Knology Holdings, Inc.; Microsoft Corporation (including MSN); Qwest Communications International, Inc.; RCN Corporation; Sprint Nextel Corporation; Time Warner Cable, Inc.; Time Warner Inc. (including AOL); Verizon Communications, Inc.; and Yahoo, Inc.</w:t>
      </w:r>
    </w:p>
    <w:p>
      <w:pPr>
        <w:spacing w:after="0" w:line="205" w:lineRule="exact"/>
        <w:rPr>
          <w:sz w:val="20"/>
          <w:szCs w:val="20"/>
          <w:color w:val="auto"/>
        </w:rPr>
      </w:pPr>
    </w:p>
    <w:p>
      <w:pPr>
        <w:jc w:val="both"/>
        <w:ind w:left="1880" w:hanging="250"/>
        <w:spacing w:after="0" w:line="253" w:lineRule="auto"/>
        <w:tabs>
          <w:tab w:leader="none" w:pos="1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 of voice and/or data service to consumer or commercial customers or users, whether by analog or digital technology,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voice and/or data service as of the date hereof: AT&amp;T Inc.; Bright House Networks; Cablevision Systems Corporation.; Charter Communications, Inc.; Clearwire Corporation; Cox Communications, Inc.; DIRECTV; DISH Network Corporation; EchoStar Holding Corporation; Embarq Corporation; Google, Inc.; Knology Holdings, Inc.; Qwest Communications International, Inc.; RCN Corporation; Sprint Nextel Corporation; Skype Limited; Time Warner Cable, Inc.; Vonage Holdings Corp.; Verizon Communications, Inc.; and Wide Open West.</w:t>
      </w:r>
    </w:p>
    <w:p>
      <w:pPr>
        <w:spacing w:after="0" w:line="224" w:lineRule="exact"/>
        <w:rPr>
          <w:rFonts w:ascii="Arial" w:cs="Arial" w:eastAsia="Arial" w:hAnsi="Arial"/>
          <w:sz w:val="18"/>
          <w:szCs w:val="18"/>
          <w:color w:val="auto"/>
        </w:rPr>
      </w:pPr>
    </w:p>
    <w:p>
      <w:pPr>
        <w:jc w:val="both"/>
        <w:ind w:left="1900" w:hanging="269"/>
        <w:spacing w:after="0" w:line="286" w:lineRule="auto"/>
        <w:tabs>
          <w:tab w:leader="none" w:pos="1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or other) and by any technology or protocol (IP or other). Employee agrees that the following companies (or their parents, subsidiaries or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p>
      <w:pPr>
        <w:jc w:val="both"/>
        <w:ind w:left="980"/>
        <w:spacing w:after="0" w:line="286" w:lineRule="auto"/>
        <w:rPr>
          <w:sz w:val="20"/>
          <w:szCs w:val="20"/>
          <w:color w:val="auto"/>
        </w:rPr>
      </w:pPr>
      <w:r>
        <w:rPr>
          <w:rFonts w:ascii="Arial" w:cs="Arial" w:eastAsia="Arial" w:hAnsi="Arial"/>
          <w:sz w:val="17"/>
          <w:szCs w:val="17"/>
          <w:color w:val="auto"/>
        </w:rPr>
        <w:t>controlled affiliates), and their successor and assigns, are among those engaged in the provision of competitive wireless service as of the date hereof: AT&amp;T Inc.; Boingo Wireless, Inc.; Bright House Networks; Clearwire Corporation; Leap Wireless International, Inc.; MediaFLO USA, Inc.; MetroPCS Communications, Inc.; Sprint Nextel Corporation; T-Mobile USA, Inc.; and Verizon Communications, Inc.</w:t>
      </w:r>
    </w:p>
    <w:p>
      <w:pPr>
        <w:spacing w:after="0" w:line="193" w:lineRule="exact"/>
        <w:rPr>
          <w:sz w:val="20"/>
          <w:szCs w:val="20"/>
          <w:color w:val="auto"/>
        </w:rPr>
      </w:pPr>
    </w:p>
    <w:p>
      <w:pPr>
        <w:jc w:val="both"/>
        <w:ind w:left="1880" w:hanging="245"/>
        <w:spacing w:after="0" w:line="289" w:lineRule="auto"/>
        <w:tabs>
          <w:tab w:leader="none" w:pos="1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 creation, (ii) production and/or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Corporation (including Rainbow); CBS Corporation; Cox Communications, Inc.; Discovery Communications, Inc.; Epix Joint Venture; EW Scripps Co.; Google, Inc. (including YouTube); IA C/InterActive Corp; Liberty Media Corp.; Metro-Goldwyn-Mayer Inc.; News Corp. (including Fox and MySpace); Sony Corporation of America; The Walt Disney Company, Inc. (including ABC); Time Warner Inc. (including AOL, Turner and Warner Bros.); and Viacom Inc. (including Dreamworks and Paramount).</w:t>
      </w:r>
    </w:p>
    <w:p>
      <w:pPr>
        <w:spacing w:after="0" w:line="193" w:lineRule="exact"/>
        <w:rPr>
          <w:rFonts w:ascii="Arial" w:cs="Arial" w:eastAsia="Arial" w:hAnsi="Arial"/>
          <w:sz w:val="16"/>
          <w:szCs w:val="16"/>
          <w:color w:val="auto"/>
        </w:rPr>
      </w:pPr>
    </w:p>
    <w:p>
      <w:pPr>
        <w:jc w:val="both"/>
        <w:ind w:left="1860" w:hanging="227"/>
        <w:spacing w:after="0" w:line="255" w:lineRule="auto"/>
        <w:tabs>
          <w:tab w:leader="none" w:pos="1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AT&amp;T Inc.; BitTorrent, Inc.; Bright Cove, Inc.; CBS Interactive Inc. (including CNET); Facebook, Inc.; Flixster, Inc.; Friendfeed Inc.; Google, Inc. (including YouTube); Joost Operations S.A.; LinkedIn Corporation; Microsoft Corporation (including MSN); Netflix, Inc.; News Corp. (including MySpace); RealNetworks, Inc.; The Walt Disney Company, Inc.; Time Warner Inc. (including AOL); TiVo Inc.; Verizon Communications, Inc.; XING AG; Xobni Corporation; and Yahoo, Inc.</w:t>
      </w:r>
    </w:p>
    <w:p>
      <w:pPr>
        <w:spacing w:after="0" w:line="216" w:lineRule="exact"/>
        <w:rPr>
          <w:rFonts w:ascii="Arial" w:cs="Arial" w:eastAsia="Arial" w:hAnsi="Arial"/>
          <w:sz w:val="18"/>
          <w:szCs w:val="18"/>
          <w:color w:val="auto"/>
        </w:rPr>
      </w:pPr>
    </w:p>
    <w:p>
      <w:pPr>
        <w:ind w:left="1900" w:hanging="269"/>
        <w:spacing w:after="0" w:line="342" w:lineRule="auto"/>
        <w:tabs>
          <w:tab w:leader="none" w:pos="1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ind w:left="1680"/>
              <w:spacing w:after="0"/>
              <w:rPr>
                <w:sz w:val="20"/>
                <w:szCs w:val="20"/>
                <w:color w:val="auto"/>
              </w:rPr>
            </w:pPr>
            <w:r>
              <w:rPr>
                <w:rFonts w:ascii="Arial" w:cs="Arial" w:eastAsia="Arial" w:hAnsi="Arial"/>
                <w:sz w:val="18"/>
                <w:szCs w:val="18"/>
                <w:color w:val="auto"/>
              </w:rPr>
              <w:t>H.</w:t>
            </w:r>
          </w:p>
        </w:tc>
        <w:tc>
          <w:tcPr>
            <w:tcW w:w="9320" w:type="dxa"/>
            <w:vAlign w:val="bottom"/>
          </w:tcPr>
          <w:p>
            <w:pPr>
              <w:jc w:val="right"/>
              <w:ind w:right="10"/>
              <w:spacing w:after="0"/>
              <w:rPr>
                <w:sz w:val="20"/>
                <w:szCs w:val="20"/>
                <w:color w:val="auto"/>
              </w:rPr>
            </w:pPr>
            <w:r>
              <w:rPr>
                <w:rFonts w:ascii="Arial" w:cs="Arial" w:eastAsia="Arial" w:hAnsi="Arial"/>
                <w:sz w:val="18"/>
                <w:szCs w:val="18"/>
                <w:color w:val="auto"/>
              </w:rPr>
              <w:t>The creation, development, enhancement, testing, deployment, operation, licensing or sale of software</w:t>
            </w:r>
          </w:p>
        </w:tc>
      </w:tr>
      <w:tr>
        <w:trPr>
          <w:trHeight w:val="230"/>
        </w:trPr>
        <w:tc>
          <w:tcPr>
            <w:tcW w:w="2100" w:type="dxa"/>
            <w:vAlign w:val="bottom"/>
          </w:tcPr>
          <w:p>
            <w:pPr>
              <w:spacing w:after="0"/>
              <w:rPr>
                <w:sz w:val="20"/>
                <w:szCs w:val="20"/>
                <w:color w:val="auto"/>
              </w:rPr>
            </w:pPr>
          </w:p>
        </w:tc>
        <w:tc>
          <w:tcPr>
            <w:tcW w:w="9320" w:type="dxa"/>
            <w:vAlign w:val="bottom"/>
          </w:tcPr>
          <w:p>
            <w:pPr>
              <w:jc w:val="right"/>
              <w:ind w:right="2810"/>
              <w:spacing w:after="0"/>
              <w:rPr>
                <w:sz w:val="20"/>
                <w:szCs w:val="20"/>
                <w:color w:val="auto"/>
              </w:rPr>
            </w:pPr>
            <w:r>
              <w:rPr>
                <w:rFonts w:ascii="Arial" w:cs="Arial" w:eastAsia="Arial" w:hAnsi="Arial"/>
                <w:sz w:val="18"/>
                <w:szCs w:val="18"/>
                <w:color w:val="auto"/>
                <w:w w:val="93"/>
              </w:rPr>
              <w:t>or other technology used in any of the products or services described in A to G above.</w:t>
            </w:r>
          </w:p>
        </w:tc>
      </w:tr>
      <w:tr>
        <w:trPr>
          <w:trHeight w:val="608"/>
        </w:trPr>
        <w:tc>
          <w:tcPr>
            <w:tcW w:w="2100" w:type="dxa"/>
            <w:vAlign w:val="bottom"/>
          </w:tcPr>
          <w:p>
            <w:pPr>
              <w:spacing w:after="0"/>
              <w:rPr>
                <w:sz w:val="24"/>
                <w:szCs w:val="24"/>
                <w:color w:val="auto"/>
              </w:rPr>
            </w:pPr>
          </w:p>
        </w:tc>
        <w:tc>
          <w:tcPr>
            <w:tcW w:w="9320" w:type="dxa"/>
            <w:vAlign w:val="bottom"/>
          </w:tcPr>
          <w:p>
            <w:pPr>
              <w:jc w:val="right"/>
              <w:ind w:right="5530"/>
              <w:spacing w:after="0"/>
              <w:rPr>
                <w:sz w:val="20"/>
                <w:szCs w:val="20"/>
                <w:color w:val="auto"/>
              </w:rPr>
            </w:pPr>
            <w:r>
              <w:rPr>
                <w:rFonts w:ascii="Arial" w:cs="Arial" w:eastAsia="Arial" w:hAnsi="Arial"/>
                <w:sz w:val="18"/>
                <w:szCs w:val="18"/>
                <w:color w:val="auto"/>
              </w:rPr>
              <w:t>16</w:t>
            </w:r>
          </w:p>
        </w:tc>
      </w:tr>
      <w:tr>
        <w:trPr>
          <w:trHeight w:val="118"/>
        </w:trPr>
        <w:tc>
          <w:tcPr>
            <w:tcW w:w="2100" w:type="dxa"/>
            <w:vAlign w:val="bottom"/>
            <w:tcBorders>
              <w:bottom w:val="single" w:sz="8" w:color="808080"/>
            </w:tcBorders>
          </w:tcPr>
          <w:p>
            <w:pPr>
              <w:spacing w:after="0"/>
              <w:rPr>
                <w:sz w:val="10"/>
                <w:szCs w:val="10"/>
                <w:color w:val="auto"/>
              </w:rPr>
            </w:pPr>
          </w:p>
        </w:tc>
        <w:tc>
          <w:tcPr>
            <w:tcW w:w="93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u w:val="single" w:color="auto"/>
          <w:color w:val="auto"/>
        </w:rPr>
        <w:t>SCHEDULE 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LIMITED EXCLUSION NOTIFICATION</w:t>
      </w:r>
    </w:p>
    <w:p>
      <w:pPr>
        <w:spacing w:after="0" w:line="24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207" w:lineRule="exact"/>
        <w:rPr>
          <w:sz w:val="20"/>
          <w:szCs w:val="20"/>
          <w:color w:val="auto"/>
        </w:rPr>
      </w:pPr>
    </w:p>
    <w:p>
      <w:pPr>
        <w:ind w:left="1860" w:hanging="227"/>
        <w:spacing w:after="0" w:line="277" w:lineRule="auto"/>
        <w:tabs>
          <w:tab w:leader="none" w:pos="1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197" w:lineRule="exact"/>
        <w:rPr>
          <w:rFonts w:ascii="Arial" w:cs="Arial" w:eastAsia="Arial" w:hAnsi="Arial"/>
          <w:sz w:val="18"/>
          <w:szCs w:val="18"/>
          <w:color w:val="auto"/>
        </w:rPr>
      </w:pPr>
    </w:p>
    <w:p>
      <w:pPr>
        <w:ind w:left="1860" w:hanging="227"/>
        <w:spacing w:after="0"/>
        <w:tabs>
          <w:tab w:leader="none" w:pos="1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4">
    <w:nsid w:val="7C83E45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
    <w:nsid w:val="257130A3"/>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
    <w:nsid w:val="333AB105"/>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0">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
    <w:nsid w:val="2443A858"/>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2">
    <w:nsid w:val="2D1D5AE9"/>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75A2A8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
    <w:nsid w:val="8EDBDAB"/>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3"/>
    </w:lvl>
    <w:lvl w:ilvl="3">
      <w:lvlJc w:val="left"/>
      <w:lvlText w:val="(%4)"/>
      <w:numFmt w:val="lowerRoman"/>
      <w:start w:val="2"/>
    </w:lvl>
    <w:lvl w:ilvl="4">
      <w:lvlJc w:val="left"/>
      <w:lvlText w:val="(%5)"/>
      <w:numFmt w:val="lowerRoman"/>
      <w:start w:val="2"/>
    </w:lvl>
  </w:abstractNum>
  <w:abstractNum w:abstractNumId="16">
    <w:nsid w:val="79838CB2"/>
    <w:multiLevelType w:val="hybridMultilevel"/>
    <w:lvl w:ilvl="0">
      <w:lvlJc w:val="left"/>
      <w:lvlText w:val="(%1)"/>
      <w:numFmt w:val="lowerLetter"/>
      <w:start w:val="4"/>
    </w:lvl>
  </w:abstractNum>
  <w:abstractNum w:abstractNumId="17">
    <w:nsid w:val="4353D0CD"/>
    <w:multiLevelType w:val="hybridMultilevel"/>
    <w:lvl w:ilvl="0">
      <w:lvlJc w:val="left"/>
      <w:lvlText w:val="(%1)"/>
      <w:numFmt w:val="lowerLetter"/>
      <w:start w:val="5"/>
    </w:lvl>
  </w:abstractNum>
  <w:abstractNum w:abstractNumId="18">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9">
    <w:nsid w:val="189A769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0">
    <w:nsid w:val="54E49EB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1">
    <w:nsid w:val="71F324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2CA8861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
    <w:nsid w:val="836C40E"/>
    <w:multiLevelType w:val="hybridMultilevel"/>
    <w:lvl w:ilvl="0">
      <w:lvlJc w:val="left"/>
      <w:lvlText w:val="%1"/>
      <w:numFmt w:val="decimal"/>
      <w:start w:val="1"/>
    </w:lvl>
    <w:lvl w:ilvl="1">
      <w:lvlJc w:val="left"/>
      <w:lvlText w:val="%2."/>
      <w:numFmt w:val="decimal"/>
      <w:start w:val="12"/>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24">
    <w:nsid w:val="2901D82"/>
    <w:multiLevelType w:val="hybridMultilevel"/>
    <w:lvl w:ilvl="0">
      <w:lvlJc w:val="left"/>
      <w:lvlText w:val="%1."/>
      <w:numFmt w:val="decimal"/>
      <w:start w:val="13"/>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abstractNum>
  <w:abstractNum w:abstractNumId="25">
    <w:nsid w:val="3A95F874"/>
    <w:multiLevelType w:val="hybridMultilevel"/>
    <w:lvl w:ilvl="0">
      <w:lvlJc w:val="left"/>
      <w:lvlText w:val="%1"/>
      <w:numFmt w:val="decimal"/>
      <w:start w:val="1"/>
    </w:lvl>
    <w:lvl w:ilvl="1">
      <w:lvlJc w:val="left"/>
      <w:lvlText w:val="(%2)"/>
      <w:numFmt w:val="lowerLetter"/>
      <w:start w:val="2"/>
    </w:lvl>
  </w:abstractNum>
  <w:abstractNum w:abstractNumId="26">
    <w:nsid w:val="8138641"/>
    <w:multiLevelType w:val="hybridMultilevel"/>
    <w:lvl w:ilvl="0">
      <w:lvlJc w:val="left"/>
      <w:lvlText w:val="%1."/>
      <w:numFmt w:val="decimal"/>
      <w:start w:val="15"/>
    </w:lvl>
    <w:lvl w:ilvl="1">
      <w:lvlJc w:val="left"/>
      <w:lvlText w:val="%2"/>
      <w:numFmt w:val="lowerLetter"/>
      <w:start w:val="1"/>
    </w:lvl>
  </w:abstractNum>
  <w:abstractNum w:abstractNumId="27">
    <w:nsid w:val="1E7FF521"/>
    <w:multiLevelType w:val="hybridMultilevel"/>
    <w:lvl w:ilvl="0">
      <w:lvlJc w:val="left"/>
      <w:lvlText w:val="%1."/>
      <w:numFmt w:val="decimal"/>
      <w:start w:val="20"/>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upperLetter"/>
      <w:start w:val="1"/>
    </w:lvl>
  </w:abstractNum>
  <w:abstractNum w:abstractNumId="30">
    <w:nsid w:val="6CEAF087"/>
    <w:multiLevelType w:val="hybridMultilevel"/>
    <w:lvl w:ilvl="0">
      <w:lvlJc w:val="left"/>
      <w:lvlText w:val="%1."/>
      <w:numFmt w:val="upperLetter"/>
      <w:start w:val="3"/>
    </w:lvl>
  </w:abstractNum>
  <w:abstractNum w:abstractNumId="31">
    <w:nsid w:val="22221A70"/>
    <w:multiLevelType w:val="hybridMultilevel"/>
    <w:lvl w:ilvl="0">
      <w:lvlJc w:val="left"/>
      <w:lvlText w:val="%1."/>
      <w:numFmt w:val="upperLetter"/>
      <w:start w:val="5"/>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2019-12-10T22:39:50Z</dcterms:created>
  <dcterms:modified xsi:type="dcterms:W3CDTF">2019-12-10T22:39:50Z</dcterms:modified>
</cp:coreProperties>
</file>