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333-132750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91440</wp:posOffset>
            </wp:positionV>
            <wp:extent cx="143192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$550,000,000 6.625% Notes due 2056</w:t>
      </w:r>
    </w:p>
    <w:p>
      <w:pPr>
        <w:spacing w:after="0" w:line="207"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We will pay interest on the notes on May 15, August 15, November 15 and February 15 of each year, beginning on August 15, 2007. The notes will bear interest at a rate of 6.625% per year and will mature on May 15, 2056. We may redeem the notes, in whole or in part, at any time on or after May 15, 2012 at a redemption price equal to 100% of the principal amount redeemed plus accrued and unpaid interest to the redemption date.</w:t>
      </w:r>
    </w:p>
    <w:p>
      <w:pPr>
        <w:spacing w:after="0" w:line="38" w:lineRule="exact"/>
        <w:rPr>
          <w:sz w:val="20"/>
          <w:szCs w:val="20"/>
          <w:color w:val="auto"/>
        </w:rPr>
      </w:pPr>
    </w:p>
    <w:p>
      <w:pPr>
        <w:ind w:left="700" w:right="320" w:firstLine="397"/>
        <w:spacing w:after="0" w:line="286" w:lineRule="auto"/>
        <w:rPr>
          <w:sz w:val="20"/>
          <w:szCs w:val="20"/>
          <w:color w:val="auto"/>
        </w:rPr>
      </w:pPr>
      <w:r>
        <w:rPr>
          <w:rFonts w:ascii="Arial" w:cs="Arial" w:eastAsia="Arial" w:hAnsi="Arial"/>
          <w:sz w:val="17"/>
          <w:szCs w:val="17"/>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in multiples of $25.</w:t>
      </w:r>
    </w:p>
    <w:p>
      <w:pPr>
        <w:spacing w:after="0" w:line="1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We intend to apply to list the notes on the New York Stock Exchange under the symbol “CCS” and, if approved,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25" w:lineRule="exact"/>
        <w:rPr>
          <w:sz w:val="20"/>
          <w:szCs w:val="20"/>
          <w:color w:val="auto"/>
        </w:rPr>
      </w:pPr>
    </w:p>
    <w:p>
      <w:pPr>
        <w:ind w:left="700" w:right="220" w:firstLine="397"/>
        <w:spacing w:after="0" w:line="243"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of our Annual Report on Form 10-K for the year ended December 31, 2006 and beginning on page S-3 of this prospectus supplement.</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Price to</w:t>
            </w:r>
          </w:p>
        </w:tc>
        <w:tc>
          <w:tcPr>
            <w:tcW w:w="160" w:type="dxa"/>
            <w:vAlign w:val="bottom"/>
          </w:tcPr>
          <w:p>
            <w:pPr>
              <w:spacing w:after="0"/>
              <w:rPr>
                <w:sz w:val="14"/>
                <w:szCs w:val="14"/>
                <w:color w:val="auto"/>
              </w:rPr>
            </w:pP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Underwriters’</w:t>
            </w:r>
          </w:p>
        </w:tc>
        <w:tc>
          <w:tcPr>
            <w:tcW w:w="16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Us Before</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Investors(1)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Discount(2)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0"/>
                <w:szCs w:val="20"/>
                <w:color w:val="auto"/>
              </w:rPr>
            </w:pPr>
            <w:r>
              <w:rPr>
                <w:rFonts w:ascii="Arial" w:cs="Arial" w:eastAsia="Arial" w:hAnsi="Arial"/>
                <w:sz w:val="18"/>
                <w:szCs w:val="18"/>
                <w:color w:val="auto"/>
              </w:rPr>
              <w:t>Per note</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2.976%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97.024%</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rPr>
              <w:t>Total</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  550,000,000</w:t>
            </w:r>
          </w:p>
        </w:tc>
        <w:tc>
          <w:tcPr>
            <w:tcW w:w="3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16,365,325</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533,634,675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780" w:hanging="480"/>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May 10, 2007, if settlement occurs after that date.</w:t>
      </w:r>
    </w:p>
    <w:p>
      <w:pPr>
        <w:spacing w:after="0" w:line="63" w:lineRule="exact"/>
        <w:rPr>
          <w:rFonts w:ascii="Arial" w:cs="Arial" w:eastAsia="Arial" w:hAnsi="Arial"/>
          <w:sz w:val="18"/>
          <w:szCs w:val="18"/>
          <w:color w:val="auto"/>
        </w:rPr>
      </w:pPr>
    </w:p>
    <w:p>
      <w:pPr>
        <w:ind w:left="1780" w:right="20" w:hanging="480"/>
        <w:spacing w:after="0" w:line="325" w:lineRule="auto"/>
        <w:tabs>
          <w:tab w:leader="none" w:pos="1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weighted average underwriting discount for orders by retail and institutional investors. See “Underwriting” beginning on page S-13 of this prospectus supplement for a discussion regarding underwriting discounts.</w:t>
      </w:r>
    </w:p>
    <w:p>
      <w:pPr>
        <w:spacing w:after="0" w:line="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3"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We have granted the underwriters the right to purchase up to an additional $82,500,000 aggregate principal amount of notes to cover over-allotments.</w:t>
      </w:r>
    </w:p>
    <w:p>
      <w:pPr>
        <w:spacing w:after="0" w:line="22"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May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74295</wp:posOffset>
            </wp:positionV>
            <wp:extent cx="1380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64"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40" w:type="dxa"/>
            <w:vAlign w:val="bottom"/>
          </w:tcPr>
          <w:p>
            <w:pPr>
              <w:ind w:left="120"/>
              <w:spacing w:after="0"/>
              <w:rPr>
                <w:sz w:val="20"/>
                <w:szCs w:val="20"/>
                <w:color w:val="auto"/>
              </w:rPr>
            </w:pPr>
            <w:r>
              <w:rPr>
                <w:rFonts w:ascii="Arial" w:cs="Arial" w:eastAsia="Arial" w:hAnsi="Arial"/>
                <w:sz w:val="18"/>
                <w:szCs w:val="18"/>
                <w:i w:val="1"/>
                <w:iCs w:val="1"/>
                <w:color w:val="auto"/>
              </w:rPr>
              <w:t>Joint Book-Running Managers</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3720" w:type="dxa"/>
            <w:vAlign w:val="bottom"/>
            <w:gridSpan w:val="2"/>
          </w:tcPr>
          <w:p>
            <w:pPr>
              <w:spacing w:after="0"/>
              <w:rPr>
                <w:sz w:val="20"/>
                <w:szCs w:val="20"/>
                <w:color w:val="auto"/>
              </w:rPr>
            </w:pPr>
            <w:r>
              <w:rPr>
                <w:rFonts w:ascii="Arial" w:cs="Arial" w:eastAsia="Arial" w:hAnsi="Arial"/>
                <w:sz w:val="23"/>
                <w:szCs w:val="23"/>
                <w:b w:val="1"/>
                <w:bCs w:val="1"/>
                <w:color w:val="auto"/>
              </w:rPr>
              <w:t>Citi</w:t>
            </w:r>
          </w:p>
        </w:tc>
        <w:tc>
          <w:tcPr>
            <w:tcW w:w="264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23"/>
                <w:szCs w:val="23"/>
                <w:b w:val="1"/>
                <w:bCs w:val="1"/>
                <w:color w:val="auto"/>
              </w:rPr>
              <w:t>Merrill Lynch &amp; Co.</w:t>
            </w:r>
          </w:p>
        </w:tc>
        <w:tc>
          <w:tcPr>
            <w:tcW w:w="0" w:type="dxa"/>
            <w:vAlign w:val="bottom"/>
          </w:tcPr>
          <w:p>
            <w:pPr>
              <w:spacing w:after="0"/>
              <w:rPr>
                <w:sz w:val="1"/>
                <w:szCs w:val="1"/>
                <w:color w:val="auto"/>
              </w:rPr>
            </w:pPr>
          </w:p>
        </w:tc>
      </w:tr>
      <w:tr>
        <w:trPr>
          <w:trHeight w:val="92"/>
        </w:trPr>
        <w:tc>
          <w:tcPr>
            <w:tcW w:w="21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3720" w:type="dxa"/>
            <w:vAlign w:val="bottom"/>
            <w:gridSpan w:val="2"/>
          </w:tcPr>
          <w:p>
            <w:pPr>
              <w:spacing w:after="0"/>
              <w:rPr>
                <w:sz w:val="20"/>
                <w:szCs w:val="20"/>
                <w:color w:val="auto"/>
              </w:rPr>
            </w:pPr>
            <w:r>
              <w:rPr>
                <w:rFonts w:ascii="Arial" w:cs="Arial" w:eastAsia="Arial" w:hAnsi="Arial"/>
                <w:sz w:val="22"/>
                <w:szCs w:val="22"/>
                <w:b w:val="1"/>
                <w:bCs w:val="1"/>
                <w:color w:val="auto"/>
              </w:rPr>
              <w:t>Morgan Stanley</w:t>
            </w:r>
          </w:p>
        </w:tc>
        <w:tc>
          <w:tcPr>
            <w:tcW w:w="2640" w:type="dxa"/>
            <w:vAlign w:val="bottom"/>
          </w:tcPr>
          <w:p>
            <w:pPr>
              <w:ind w:left="340"/>
              <w:spacing w:after="0"/>
              <w:rPr>
                <w:sz w:val="20"/>
                <w:szCs w:val="20"/>
                <w:color w:val="auto"/>
              </w:rPr>
            </w:pPr>
            <w:r>
              <w:rPr>
                <w:rFonts w:ascii="Arial" w:cs="Arial" w:eastAsia="Arial" w:hAnsi="Arial"/>
                <w:sz w:val="22"/>
                <w:szCs w:val="22"/>
                <w:b w:val="1"/>
                <w:bCs w:val="1"/>
                <w:color w:val="auto"/>
                <w:w w:val="99"/>
              </w:rPr>
              <w:t>UBS Investment Bank</w:t>
            </w:r>
          </w:p>
        </w:tc>
        <w:tc>
          <w:tcPr>
            <w:tcW w:w="3560" w:type="dxa"/>
            <w:vAlign w:val="bottom"/>
          </w:tcPr>
          <w:p>
            <w:pPr>
              <w:jc w:val="right"/>
              <w:spacing w:after="0"/>
              <w:rPr>
                <w:sz w:val="20"/>
                <w:szCs w:val="20"/>
                <w:color w:val="auto"/>
              </w:rPr>
            </w:pPr>
            <w:r>
              <w:rPr>
                <w:rFonts w:ascii="Arial" w:cs="Arial" w:eastAsia="Arial" w:hAnsi="Arial"/>
                <w:sz w:val="22"/>
                <w:szCs w:val="22"/>
                <w:b w:val="1"/>
                <w:bCs w:val="1"/>
                <w:color w:val="auto"/>
              </w:rPr>
              <w:t>Wachovia Securities</w:t>
            </w:r>
          </w:p>
        </w:tc>
        <w:tc>
          <w:tcPr>
            <w:tcW w:w="0" w:type="dxa"/>
            <w:vAlign w:val="bottom"/>
          </w:tcPr>
          <w:p>
            <w:pPr>
              <w:spacing w:after="0"/>
              <w:rPr>
                <w:sz w:val="1"/>
                <w:szCs w:val="1"/>
                <w:color w:val="auto"/>
              </w:rPr>
            </w:pPr>
          </w:p>
        </w:tc>
      </w:tr>
      <w:tr>
        <w:trPr>
          <w:trHeight w:val="71"/>
        </w:trPr>
        <w:tc>
          <w:tcPr>
            <w:tcW w:w="2180" w:type="dxa"/>
            <w:vAlign w:val="bottom"/>
            <w:tcBorders>
              <w:bottom w:val="single" w:sz="8" w:color="auto"/>
            </w:tcBorders>
          </w:tcPr>
          <w:p>
            <w:pPr>
              <w:spacing w:after="0"/>
              <w:rPr>
                <w:sz w:val="6"/>
                <w:szCs w:val="6"/>
                <w:color w:val="auto"/>
              </w:rPr>
            </w:pPr>
          </w:p>
        </w:tc>
        <w:tc>
          <w:tcPr>
            <w:tcW w:w="1540" w:type="dxa"/>
            <w:vAlign w:val="bottom"/>
            <w:vMerge w:val="restart"/>
          </w:tcPr>
          <w:p>
            <w:pPr>
              <w:spacing w:after="0"/>
              <w:rPr>
                <w:sz w:val="6"/>
                <w:szCs w:val="6"/>
                <w:color w:val="auto"/>
              </w:rPr>
            </w:pPr>
          </w:p>
        </w:tc>
        <w:tc>
          <w:tcPr>
            <w:tcW w:w="2640" w:type="dxa"/>
            <w:vAlign w:val="bottom"/>
          </w:tcPr>
          <w:p>
            <w:pPr>
              <w:spacing w:after="0"/>
              <w:rPr>
                <w:sz w:val="6"/>
                <w:szCs w:val="6"/>
                <w:color w:val="auto"/>
              </w:rPr>
            </w:pPr>
          </w:p>
        </w:tc>
        <w:tc>
          <w:tcPr>
            <w:tcW w:w="35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RBC Capital Markets</w:t>
            </w:r>
          </w:p>
        </w:tc>
        <w:tc>
          <w:tcPr>
            <w:tcW w:w="0" w:type="dxa"/>
            <w:vAlign w:val="bottom"/>
          </w:tcPr>
          <w:p>
            <w:pPr>
              <w:spacing w:after="0"/>
              <w:rPr>
                <w:sz w:val="1"/>
                <w:szCs w:val="1"/>
                <w:color w:val="auto"/>
              </w:rPr>
            </w:pPr>
          </w:p>
        </w:tc>
      </w:tr>
      <w:tr>
        <w:trPr>
          <w:trHeight w:val="274"/>
        </w:trPr>
        <w:tc>
          <w:tcPr>
            <w:tcW w:w="2180" w:type="dxa"/>
            <w:vAlign w:val="bottom"/>
          </w:tcPr>
          <w:p>
            <w:pPr>
              <w:spacing w:after="0"/>
              <w:rPr>
                <w:sz w:val="20"/>
                <w:szCs w:val="20"/>
                <w:color w:val="auto"/>
              </w:rPr>
            </w:pPr>
            <w:r>
              <w:rPr>
                <w:rFonts w:ascii="Arial" w:cs="Arial" w:eastAsia="Arial" w:hAnsi="Arial"/>
                <w:sz w:val="22"/>
                <w:szCs w:val="22"/>
                <w:b w:val="1"/>
                <w:bCs w:val="1"/>
                <w:color w:val="auto"/>
              </w:rPr>
              <w:t>A.G. Edwards</w:t>
            </w:r>
          </w:p>
        </w:tc>
        <w:tc>
          <w:tcPr>
            <w:tcW w:w="1540" w:type="dxa"/>
            <w:vAlign w:val="bottom"/>
            <w:vMerge w:val="continue"/>
          </w:tcPr>
          <w:p>
            <w:pPr>
              <w:spacing w:after="0"/>
              <w:rPr>
                <w:sz w:val="23"/>
                <w:szCs w:val="23"/>
                <w:color w:val="auto"/>
              </w:rPr>
            </w:pPr>
          </w:p>
        </w:tc>
        <w:tc>
          <w:tcPr>
            <w:tcW w:w="2640" w:type="dxa"/>
            <w:vAlign w:val="bottom"/>
          </w:tcPr>
          <w:p>
            <w:pPr>
              <w:spacing w:after="0"/>
              <w:rPr>
                <w:sz w:val="23"/>
                <w:szCs w:val="23"/>
                <w:color w:val="auto"/>
              </w:rPr>
            </w:pPr>
          </w:p>
        </w:tc>
        <w:tc>
          <w:tcPr>
            <w:tcW w:w="35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1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720" w:type="dxa"/>
            <w:vAlign w:val="bottom"/>
            <w:gridSpan w:val="2"/>
          </w:tcPr>
          <w:p>
            <w:pPr>
              <w:jc w:val="center"/>
              <w:ind w:left="1141"/>
              <w:spacing w:after="0"/>
              <w:rPr>
                <w:sz w:val="20"/>
                <w:szCs w:val="20"/>
                <w:color w:val="auto"/>
              </w:rPr>
            </w:pPr>
            <w:r>
              <w:rPr>
                <w:rFonts w:ascii="Arial" w:cs="Arial" w:eastAsia="Arial" w:hAnsi="Arial"/>
                <w:sz w:val="16"/>
                <w:szCs w:val="16"/>
                <w:b w:val="1"/>
                <w:bCs w:val="1"/>
                <w:color w:val="auto"/>
                <w:w w:val="92"/>
              </w:rPr>
              <w:t>Banc of America Securities LLC</w:t>
            </w:r>
          </w:p>
        </w:tc>
        <w:tc>
          <w:tcPr>
            <w:tcW w:w="2640" w:type="dxa"/>
            <w:vAlign w:val="bottom"/>
          </w:tcPr>
          <w:p>
            <w:pPr>
              <w:spacing w:after="0"/>
              <w:rPr>
                <w:sz w:val="22"/>
                <w:szCs w:val="22"/>
                <w:color w:val="auto"/>
              </w:rPr>
            </w:pPr>
          </w:p>
        </w:tc>
        <w:tc>
          <w:tcPr>
            <w:tcW w:w="3560" w:type="dxa"/>
            <w:vAlign w:val="bottom"/>
          </w:tcPr>
          <w:p>
            <w:pPr>
              <w:jc w:val="right"/>
              <w:ind w:right="1461"/>
              <w:spacing w:after="0"/>
              <w:rPr>
                <w:sz w:val="20"/>
                <w:szCs w:val="20"/>
                <w:color w:val="auto"/>
              </w:rPr>
            </w:pPr>
            <w:r>
              <w:rPr>
                <w:rFonts w:ascii="Arial" w:cs="Arial" w:eastAsia="Arial" w:hAnsi="Arial"/>
                <w:sz w:val="16"/>
                <w:szCs w:val="16"/>
                <w:b w:val="1"/>
                <w:bCs w:val="1"/>
                <w:color w:val="auto"/>
              </w:rPr>
              <w:t>Deutsche Bank Securities</w:t>
            </w:r>
          </w:p>
        </w:tc>
        <w:tc>
          <w:tcPr>
            <w:tcW w:w="0" w:type="dxa"/>
            <w:vAlign w:val="bottom"/>
          </w:tcPr>
          <w:p>
            <w:pPr>
              <w:spacing w:after="0"/>
              <w:rPr>
                <w:sz w:val="1"/>
                <w:szCs w:val="1"/>
                <w:color w:val="auto"/>
              </w:rPr>
            </w:pPr>
          </w:p>
        </w:tc>
      </w:tr>
      <w:tr>
        <w:trPr>
          <w:trHeight w:val="210"/>
        </w:trPr>
        <w:tc>
          <w:tcPr>
            <w:tcW w:w="3720" w:type="dxa"/>
            <w:vAlign w:val="bottom"/>
            <w:gridSpan w:val="2"/>
          </w:tcPr>
          <w:p>
            <w:pPr>
              <w:jc w:val="center"/>
              <w:ind w:left="1121"/>
              <w:spacing w:after="0"/>
              <w:rPr>
                <w:sz w:val="20"/>
                <w:szCs w:val="20"/>
                <w:color w:val="auto"/>
              </w:rPr>
            </w:pPr>
            <w:r>
              <w:rPr>
                <w:rFonts w:ascii="Arial" w:cs="Arial" w:eastAsia="Arial" w:hAnsi="Arial"/>
                <w:sz w:val="16"/>
                <w:szCs w:val="16"/>
                <w:b w:val="1"/>
                <w:bCs w:val="1"/>
                <w:color w:val="auto"/>
                <w:w w:val="95"/>
              </w:rPr>
              <w:t>JPMorgan</w:t>
            </w:r>
          </w:p>
        </w:tc>
        <w:tc>
          <w:tcPr>
            <w:tcW w:w="2640" w:type="dxa"/>
            <w:vAlign w:val="bottom"/>
          </w:tcPr>
          <w:p>
            <w:pPr>
              <w:spacing w:after="0"/>
              <w:rPr>
                <w:sz w:val="18"/>
                <w:szCs w:val="18"/>
                <w:color w:val="auto"/>
              </w:rPr>
            </w:pPr>
          </w:p>
        </w:tc>
        <w:tc>
          <w:tcPr>
            <w:tcW w:w="3560" w:type="dxa"/>
            <w:vAlign w:val="bottom"/>
          </w:tcPr>
          <w:p>
            <w:pPr>
              <w:jc w:val="right"/>
              <w:ind w:right="1721"/>
              <w:spacing w:after="0"/>
              <w:rPr>
                <w:sz w:val="20"/>
                <w:szCs w:val="20"/>
                <w:color w:val="auto"/>
              </w:rPr>
            </w:pPr>
            <w:r>
              <w:rPr>
                <w:rFonts w:ascii="Arial" w:cs="Arial" w:eastAsia="Arial" w:hAnsi="Arial"/>
                <w:sz w:val="16"/>
                <w:szCs w:val="16"/>
                <w:b w:val="1"/>
                <w:bCs w:val="1"/>
                <w:color w:val="auto"/>
              </w:rPr>
              <w:t>Lehman Brothers</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The date of this prospectus supplement is May 3, 2007.</w:t>
      </w:r>
    </w:p>
    <w:p>
      <w:pPr>
        <w:spacing w:after="0" w:line="32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546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460" w:type="dxa"/>
            <w:vAlign w:val="bottom"/>
            <w:tcBorders>
              <w:right w:val="single" w:sz="8" w:color="auto"/>
            </w:tcBorders>
            <w:vMerge w:val="restart"/>
          </w:tcPr>
          <w:p>
            <w:pPr>
              <w:jc w:val="center"/>
              <w:ind w:right="22"/>
              <w:spacing w:after="0"/>
              <w:rPr>
                <w:sz w:val="20"/>
                <w:szCs w:val="20"/>
                <w:color w:val="auto"/>
              </w:rPr>
            </w:pPr>
            <w:r>
              <w:rPr>
                <w:rFonts w:ascii="Arial" w:cs="Arial" w:eastAsia="Arial" w:hAnsi="Arial"/>
                <w:sz w:val="14"/>
                <w:szCs w:val="14"/>
                <w:b w:val="1"/>
                <w:bCs w:val="1"/>
                <w:color w:val="auto"/>
                <w:w w:val="94"/>
              </w:rPr>
              <w:t>Title Of Each Class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To Be</w:t>
            </w:r>
          </w:p>
        </w:tc>
        <w:tc>
          <w:tcPr>
            <w:tcW w:w="13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4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546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40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8"/>
        </w:trPr>
        <w:tc>
          <w:tcPr>
            <w:tcW w:w="546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1"/>
              </w:rPr>
              <w:t>Of Securities To Be 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(1)</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6.625% Notes due 2056</w:t>
            </w:r>
          </w:p>
        </w:tc>
        <w:tc>
          <w:tcPr>
            <w:tcW w:w="1700" w:type="dxa"/>
            <w:vAlign w:val="bottom"/>
            <w:tcBorders>
              <w:bottom w:val="single" w:sz="8" w:color="auto"/>
              <w:right w:val="single" w:sz="8" w:color="auto"/>
            </w:tcBorders>
          </w:tcPr>
          <w:p>
            <w:pPr>
              <w:jc w:val="right"/>
              <w:ind w:right="322"/>
              <w:spacing w:after="0"/>
              <w:rPr>
                <w:sz w:val="20"/>
                <w:szCs w:val="20"/>
                <w:color w:val="auto"/>
              </w:rPr>
            </w:pPr>
            <w:r>
              <w:rPr>
                <w:rFonts w:ascii="Arial" w:cs="Arial" w:eastAsia="Arial" w:hAnsi="Arial"/>
                <w:sz w:val="18"/>
                <w:szCs w:val="18"/>
                <w:color w:val="auto"/>
              </w:rPr>
              <w:t>$632,500,000</w:t>
            </w:r>
          </w:p>
        </w:tc>
        <w:tc>
          <w:tcPr>
            <w:tcW w:w="1360" w:type="dxa"/>
            <w:vAlign w:val="bottom"/>
            <w:tcBorders>
              <w:bottom w:val="single" w:sz="8" w:color="auto"/>
              <w:right w:val="single" w:sz="8" w:color="auto"/>
            </w:tcBorders>
          </w:tcPr>
          <w:p>
            <w:pPr>
              <w:jc w:val="right"/>
              <w:ind w:right="326"/>
              <w:spacing w:after="0"/>
              <w:rPr>
                <w:sz w:val="20"/>
                <w:szCs w:val="20"/>
                <w:color w:val="auto"/>
              </w:rPr>
            </w:pPr>
            <w:r>
              <w:rPr>
                <w:rFonts w:ascii="Arial" w:cs="Arial" w:eastAsia="Arial" w:hAnsi="Arial"/>
                <w:sz w:val="18"/>
                <w:szCs w:val="18"/>
                <w:color w:val="auto"/>
              </w:rPr>
              <w:t>100%</w:t>
            </w:r>
          </w:p>
        </w:tc>
        <w:tc>
          <w:tcPr>
            <w:tcW w:w="1400" w:type="dxa"/>
            <w:vAlign w:val="bottom"/>
            <w:tcBorders>
              <w:bottom w:val="single" w:sz="8" w:color="auto"/>
            </w:tcBorders>
          </w:tcPr>
          <w:p>
            <w:pPr>
              <w:jc w:val="right"/>
              <w:ind w:right="346"/>
              <w:spacing w:after="0"/>
              <w:rPr>
                <w:sz w:val="20"/>
                <w:szCs w:val="20"/>
                <w:color w:val="auto"/>
              </w:rPr>
            </w:pPr>
            <w:r>
              <w:rPr>
                <w:rFonts w:ascii="Arial" w:cs="Arial" w:eastAsia="Arial" w:hAnsi="Arial"/>
                <w:sz w:val="18"/>
                <w:szCs w:val="18"/>
                <w:color w:val="auto"/>
              </w:rPr>
              <w:t>$19,418</w:t>
            </w:r>
          </w:p>
        </w:tc>
        <w:tc>
          <w:tcPr>
            <w:tcW w:w="0" w:type="dxa"/>
            <w:vAlign w:val="bottom"/>
          </w:tcPr>
          <w:p>
            <w:pPr>
              <w:spacing w:after="0"/>
              <w:rPr>
                <w:sz w:val="1"/>
                <w:szCs w:val="1"/>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620"/>
          </w:cols>
          <w:pgMar w:left="240" w:top="122" w:right="1039" w:bottom="1440" w:gutter="0" w:footer="0" w:header="0"/>
        </w:sectPr>
      </w:pPr>
    </w:p>
    <w:p>
      <w:pPr>
        <w:ind w:left="1080" w:hanging="387"/>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in accordance with Rule 457(r)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8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r>
      <w:tr>
        <w:trPr>
          <w:trHeight w:val="33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87"/>
              </w:rPr>
              <w:t>Prospectus Supplement</w:t>
            </w:r>
          </w:p>
        </w:tc>
        <w:tc>
          <w:tcPr>
            <w:tcW w:w="440" w:type="dxa"/>
            <w:vAlign w:val="bottom"/>
          </w:tcPr>
          <w:p>
            <w:pPr>
              <w:spacing w:after="0"/>
              <w:rPr>
                <w:sz w:val="24"/>
                <w:szCs w:val="24"/>
                <w:color w:val="auto"/>
              </w:rPr>
            </w:pPr>
          </w:p>
        </w:tc>
      </w:tr>
      <w:tr>
        <w:trPr>
          <w:trHeight w:val="284"/>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93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1520" w:type="dxa"/>
            <w:vAlign w:val="bottom"/>
            <w:tcBorders>
              <w:top w:val="single" w:sz="8" w:color="0000EE"/>
            </w:tcBorders>
            <w:gridSpan w:val="9"/>
          </w:tcPr>
          <w:p>
            <w:pPr>
              <w:spacing w:after="0"/>
              <w:rPr>
                <w:sz w:val="17"/>
                <w:szCs w:val="17"/>
                <w:color w:val="auto"/>
              </w:rPr>
            </w:pPr>
          </w:p>
        </w:tc>
        <w:tc>
          <w:tcPr>
            <w:tcW w:w="696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Selected Historical Consolidated Financial Data</w:t>
              </w:r>
            </w:hyperlink>
          </w:p>
        </w:tc>
        <w:tc>
          <w:tcPr>
            <w:tcW w:w="59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Ratio of Earnings to Fixed Charges</w:t>
              </w:r>
            </w:hyperlink>
          </w:p>
        </w:tc>
        <w:tc>
          <w:tcPr>
            <w:tcW w:w="68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Description of the Notes</w:t>
              </w:r>
            </w:hyperlink>
          </w:p>
        </w:tc>
        <w:tc>
          <w:tcPr>
            <w:tcW w:w="762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Material U.S. Federal Income Tax Consequences For Non-U.S. Holders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5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4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r>
        <w:trPr>
          <w:trHeight w:val="399"/>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3"/>
          </w:tcPr>
          <w:p>
            <w:pPr>
              <w:ind w:left="820"/>
              <w:spacing w:after="0"/>
              <w:rPr>
                <w:sz w:val="20"/>
                <w:szCs w:val="20"/>
                <w:color w:val="auto"/>
              </w:rPr>
            </w:pPr>
            <w:r>
              <w:rPr>
                <w:rFonts w:ascii="Arial" w:cs="Arial" w:eastAsia="Arial" w:hAnsi="Arial"/>
                <w:sz w:val="18"/>
                <w:szCs w:val="18"/>
                <w:b w:val="1"/>
                <w:bCs w:val="1"/>
                <w:color w:val="auto"/>
              </w:rPr>
              <w:t>Prospectus</w:t>
            </w:r>
          </w:p>
        </w:tc>
        <w:tc>
          <w:tcPr>
            <w:tcW w:w="440" w:type="dxa"/>
            <w:vAlign w:val="bottom"/>
          </w:tcPr>
          <w:p>
            <w:pPr>
              <w:spacing w:after="0"/>
              <w:rPr>
                <w:sz w:val="24"/>
                <w:szCs w:val="24"/>
                <w:color w:val="auto"/>
              </w:rPr>
            </w:pPr>
          </w:p>
        </w:tc>
      </w:tr>
      <w:tr>
        <w:trPr>
          <w:trHeight w:val="338"/>
        </w:trPr>
        <w:tc>
          <w:tcPr>
            <w:tcW w:w="93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The Companies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Caution Concerning Forward-Looking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578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Dividend Policy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Ratios of Earnings to Fixed Charges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Ratio of Earnings to Combined Fixed Charges and Preferred Dividends</w:t>
              </w:r>
            </w:hyperlink>
          </w:p>
        </w:tc>
        <w:tc>
          <w:tcPr>
            <w:tcW w:w="42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Debt Securities and Cable Guarantees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Global Securities</w:t>
              </w:r>
            </w:hyperlink>
          </w:p>
        </w:tc>
        <w:tc>
          <w:tcPr>
            <w:tcW w:w="2560" w:type="dxa"/>
            <w:vAlign w:val="bottom"/>
            <w:tcBorders>
              <w:top w:val="single" w:sz="8" w:color="0000EE"/>
            </w:tcBorders>
            <w:gridSpan w:val="10"/>
          </w:tcPr>
          <w:p>
            <w:pPr>
              <w:spacing w:after="0"/>
              <w:rPr>
                <w:sz w:val="17"/>
                <w:szCs w:val="17"/>
                <w:color w:val="auto"/>
              </w:rPr>
            </w:pPr>
          </w:p>
        </w:tc>
        <w:tc>
          <w:tcPr>
            <w:tcW w:w="55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734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3"/>
          </w:tcPr>
          <w:p>
            <w:pPr>
              <w:spacing w:after="0"/>
              <w:rPr>
                <w:sz w:val="17"/>
                <w:szCs w:val="17"/>
                <w:color w:val="auto"/>
              </w:rPr>
            </w:pPr>
          </w:p>
        </w:tc>
        <w:tc>
          <w:tcPr>
            <w:tcW w:w="796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Certain Documents by Reference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Companies</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Comcast Corporation</w:t>
      </w:r>
    </w:p>
    <w:p>
      <w:pPr>
        <w:spacing w:after="0" w:line="135" w:lineRule="exact"/>
        <w:rPr>
          <w:sz w:val="20"/>
          <w:szCs w:val="20"/>
          <w:color w:val="auto"/>
        </w:rPr>
      </w:pPr>
    </w:p>
    <w:p>
      <w:pPr>
        <w:ind w:left="920" w:right="220" w:firstLine="397"/>
        <w:spacing w:after="0" w:line="264" w:lineRule="auto"/>
        <w:rPr>
          <w:sz w:val="20"/>
          <w:szCs w:val="20"/>
          <w:color w:val="auto"/>
        </w:rPr>
      </w:pPr>
      <w:r>
        <w:rPr>
          <w:rFonts w:ascii="Arial" w:cs="Arial" w:eastAsia="Arial" w:hAnsi="Arial"/>
          <w:sz w:val="18"/>
          <w:szCs w:val="18"/>
          <w:color w:val="auto"/>
        </w:rPr>
        <w:t>We are the largest cable operator in the United States and offer a variety of consumer entertainment and communication products and services. As of March 31, 2007, our cable systems served approximately 24.2 million video subscribers, 12.1 million high-speed Internet subscribers and 3.0 million phone subscribers.</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classify our operations in two reportable segments: “Cable” and “Programming”.</w:t>
      </w:r>
    </w:p>
    <w:p>
      <w:pPr>
        <w:spacing w:after="0" w:line="131" w:lineRule="exact"/>
        <w:rPr>
          <w:sz w:val="20"/>
          <w:szCs w:val="20"/>
          <w:color w:val="auto"/>
        </w:rPr>
      </w:pPr>
    </w:p>
    <w:p>
      <w:pPr>
        <w:ind w:left="920" w:right="320" w:firstLine="397"/>
        <w:spacing w:after="0" w:line="259" w:lineRule="auto"/>
        <w:rPr>
          <w:sz w:val="20"/>
          <w:szCs w:val="20"/>
          <w:color w:val="auto"/>
        </w:rPr>
      </w:pPr>
      <w:r>
        <w:rPr>
          <w:rFonts w:ascii="Arial" w:cs="Arial" w:eastAsia="Arial" w:hAnsi="Arial"/>
          <w:sz w:val="18"/>
          <w:szCs w:val="18"/>
          <w:color w:val="auto"/>
        </w:rPr>
        <w:t>Our Cable segment develops,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The Cable segment generates approximately 95% of our consolidated revenues.</w:t>
      </w:r>
    </w:p>
    <w:p>
      <w:pPr>
        <w:spacing w:after="0" w:line="92" w:lineRule="exact"/>
        <w:rPr>
          <w:sz w:val="20"/>
          <w:szCs w:val="20"/>
          <w:color w:val="auto"/>
        </w:rPr>
      </w:pPr>
    </w:p>
    <w:p>
      <w:pPr>
        <w:ind w:left="920" w:right="200" w:firstLine="397"/>
        <w:spacing w:after="0" w:line="312" w:lineRule="auto"/>
        <w:rPr>
          <w:sz w:val="20"/>
          <w:szCs w:val="20"/>
          <w:color w:val="auto"/>
        </w:rPr>
      </w:pPr>
      <w:r>
        <w:rPr>
          <w:rFonts w:ascii="Arial" w:cs="Arial" w:eastAsia="Arial" w:hAnsi="Arial"/>
          <w:sz w:val="16"/>
          <w:szCs w:val="16"/>
          <w:color w:val="auto"/>
        </w:rPr>
        <w:t>Our Programming segment consists of our six national programming networks: E!, Style, The Golf Channel, VERSUS (formerly known as OLN), G4, and AZN Television; and other entertainment-related businesses. Revenue from our Programming segment is earned primarily from advertising revenues and from monthly per subscriber license fees paid by cable and satellite distributors.</w:t>
      </w:r>
    </w:p>
    <w:p>
      <w:pPr>
        <w:spacing w:after="0" w:line="52" w:lineRule="exact"/>
        <w:rPr>
          <w:sz w:val="20"/>
          <w:szCs w:val="20"/>
          <w:color w:val="auto"/>
        </w:rPr>
      </w:pPr>
    </w:p>
    <w:p>
      <w:pPr>
        <w:ind w:left="920" w:right="160" w:firstLine="397"/>
        <w:spacing w:after="0" w:line="312"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5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executive office is located at 1500 Market Street, Philadelphia, Pennsylvania 19102-2148. Our telephone number is</w:t>
      </w:r>
    </w:p>
    <w:p>
      <w:pPr>
        <w:spacing w:after="0" w:line="46" w:lineRule="exact"/>
        <w:rPr>
          <w:sz w:val="20"/>
          <w:szCs w:val="20"/>
          <w:color w:val="auto"/>
        </w:rPr>
      </w:pPr>
    </w:p>
    <w:p>
      <w:pPr>
        <w:ind w:left="920" w:right="620" w:firstLine="2"/>
        <w:spacing w:after="0" w:line="261" w:lineRule="auto"/>
        <w:tabs>
          <w:tab w:leader="none" w:pos="1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665-1700. The address of our web site is www.comcast.com. The information on our web site is not part of this prospectus supplement or the accompanying prospectus.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Guarantors</w:t>
      </w:r>
    </w:p>
    <w:p>
      <w:pPr>
        <w:spacing w:after="0" w:line="135"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540" w:right="8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540" w:right="20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Each cable guarantor’s principal place of business is 1500 Market Street, Philadelphia, Pennsylvania 19102-2148.</w:t>
      </w:r>
    </w:p>
    <w:p>
      <w:pPr>
        <w:sectPr>
          <w:pgSz w:w="11900" w:h="16838" w:orient="portrait"/>
          <w:cols w:equalWidth="0" w:num="1">
            <w:col w:w="10820"/>
          </w:cols>
          <w:pgMar w:left="240" w:top="419"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9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787"/>
        </w:trPr>
        <w:tc>
          <w:tcPr>
            <w:tcW w:w="720" w:type="dxa"/>
            <w:vAlign w:val="bottom"/>
            <w:tcBorders>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7740" w:type="dxa"/>
            <w:vAlign w:val="bottom"/>
            <w:tcBorders>
              <w:top w:val="single" w:sz="8" w:color="auto"/>
              <w:right w:val="single" w:sz="8" w:color="auto"/>
            </w:tcBorders>
            <w:gridSpan w:val="2"/>
          </w:tcPr>
          <w:p>
            <w:pPr>
              <w:ind w:left="2040"/>
              <w:spacing w:after="0"/>
              <w:rPr>
                <w:sz w:val="20"/>
                <w:szCs w:val="20"/>
                <w:color w:val="auto"/>
              </w:rPr>
            </w:pPr>
            <w:r>
              <w:rPr>
                <w:rFonts w:ascii="Arial" w:cs="Arial" w:eastAsia="Arial" w:hAnsi="Arial"/>
                <w:sz w:val="18"/>
                <w:szCs w:val="18"/>
                <w:b w:val="1"/>
                <w:bCs w:val="1"/>
                <w:color w:val="auto"/>
              </w:rPr>
              <w:t>The Offering</w:t>
            </w:r>
          </w:p>
        </w:tc>
        <w:tc>
          <w:tcPr>
            <w:tcW w:w="340" w:type="dxa"/>
            <w:vAlign w:val="bottom"/>
          </w:tcPr>
          <w:p>
            <w:pPr>
              <w:spacing w:after="0"/>
              <w:rPr>
                <w:sz w:val="24"/>
                <w:szCs w:val="24"/>
                <w:color w:val="auto"/>
              </w:rPr>
            </w:pPr>
          </w:p>
        </w:tc>
      </w:tr>
      <w:tr>
        <w:trPr>
          <w:trHeight w:val="33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Issuer</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Comcast Corporation.</w:t>
            </w:r>
          </w:p>
        </w:tc>
        <w:tc>
          <w:tcPr>
            <w:tcW w:w="340" w:type="dxa"/>
            <w:vAlign w:val="bottom"/>
          </w:tcPr>
          <w:p>
            <w:pPr>
              <w:spacing w:after="0"/>
              <w:rPr>
                <w:sz w:val="24"/>
                <w:szCs w:val="24"/>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Securities Offered</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6"/>
              </w:rPr>
              <w:t>$550,000,000 ($632,500,000 if the underwriters exercise their overallotment option in full)</w:t>
            </w:r>
          </w:p>
        </w:tc>
        <w:tc>
          <w:tcPr>
            <w:tcW w:w="340" w:type="dxa"/>
            <w:vAlign w:val="bottom"/>
          </w:tcPr>
          <w:p>
            <w:pPr>
              <w:spacing w:after="0"/>
              <w:rPr>
                <w:sz w:val="24"/>
                <w:szCs w:val="24"/>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aggregate principal amount of 6.625% Notes due 2056.</w:t>
            </w:r>
          </w:p>
        </w:tc>
        <w:tc>
          <w:tcPr>
            <w:tcW w:w="340" w:type="dxa"/>
            <w:vAlign w:val="bottom"/>
          </w:tcPr>
          <w:p>
            <w:pPr>
              <w:spacing w:after="0"/>
              <w:rPr>
                <w:sz w:val="20"/>
                <w:szCs w:val="20"/>
                <w:color w:val="auto"/>
              </w:rPr>
            </w:pPr>
          </w:p>
        </w:tc>
      </w:tr>
      <w:tr>
        <w:trPr>
          <w:trHeight w:val="932"/>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Maturity</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notes will mature on May 15, 2056.</w:t>
            </w:r>
          </w:p>
        </w:tc>
        <w:tc>
          <w:tcPr>
            <w:tcW w:w="340" w:type="dxa"/>
            <w:vAlign w:val="bottom"/>
          </w:tcPr>
          <w:p>
            <w:pPr>
              <w:spacing w:after="0"/>
              <w:rPr>
                <w:sz w:val="24"/>
                <w:szCs w:val="24"/>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Interest</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4"/>
              </w:rPr>
              <w:t>Interest on the notes will accrue at the rate of 6.625% per year, payable quarterly in cash in</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arrears on each May 15, August 15, November 15 and February 15, beginning on</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August 15, 2007.</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Ranking</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notes will be unsecured and will rank equally with all of our unsecured and</w:t>
            </w:r>
          </w:p>
        </w:tc>
        <w:tc>
          <w:tcPr>
            <w:tcW w:w="340" w:type="dxa"/>
            <w:vAlign w:val="bottom"/>
          </w:tcPr>
          <w:p>
            <w:pPr>
              <w:spacing w:after="0"/>
              <w:rPr>
                <w:sz w:val="24"/>
                <w:szCs w:val="24"/>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unsubordinated indebtedness.</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Cable Guarantors</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8"/>
              </w:rPr>
              <w:t>Comcast Cable Communications, LLC, Comcast Cable Communications Holdings, Inc.,</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Comcast Cable Holdings, LLC, Comcast MO Group, Inc. and Comcast MO of Delaware,</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Cable Guarantees</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cable guarantors will fully and unconditionally guarantee the notes, including the</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5"/>
              </w:rPr>
              <w:t>payment of principal, premium, if any, and interest. The cable guarantees will rank equally</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with all other general unsecured and unsubordinated obligations of the cable guarantors.</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8"/>
              </w:rPr>
              <w:t>We may redeem the notes, in whole or in part, at any time on or after May 15, 2012 at a</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3"/>
              </w:rPr>
              <w:t>redemption price equal to 100% of the principal amount redeemed plus accrued and unpaid</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interest to the redemption date.</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3"/>
              </w:rPr>
              <w:t>We intend to use the proceeds from this offering, after deducting fees and expenses related</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9"/>
              </w:rPr>
              <w:t>to this offering, for working capital and general corporate purposes, which may include</w:t>
            </w:r>
          </w:p>
        </w:tc>
        <w:tc>
          <w:tcPr>
            <w:tcW w:w="340" w:type="dxa"/>
            <w:vAlign w:val="bottom"/>
          </w:tcPr>
          <w:p>
            <w:pPr>
              <w:spacing w:after="0"/>
              <w:rPr>
                <w:sz w:val="18"/>
                <w:szCs w:val="18"/>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8"/>
              </w:rPr>
              <w:t>funding repayment of commercial paper issued to repay, in part, $600 million aggregate</w:t>
            </w:r>
          </w:p>
        </w:tc>
        <w:tc>
          <w:tcPr>
            <w:tcW w:w="340" w:type="dxa"/>
            <w:vAlign w:val="bottom"/>
          </w:tcPr>
          <w:p>
            <w:pPr>
              <w:spacing w:after="0"/>
              <w:rPr>
                <w:sz w:val="18"/>
                <w:szCs w:val="18"/>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principal amount of our 8.375% notes due May 1, 2007. Our commercial paper has a</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weighted average interest rate of 5.358% and an average maturity of 10 days.</w:t>
            </w:r>
          </w:p>
        </w:tc>
        <w:tc>
          <w:tcPr>
            <w:tcW w:w="340" w:type="dxa"/>
            <w:vAlign w:val="bottom"/>
          </w:tcPr>
          <w:p>
            <w:pPr>
              <w:spacing w:after="0"/>
              <w:rPr>
                <w:sz w:val="20"/>
                <w:szCs w:val="20"/>
                <w:color w:val="auto"/>
              </w:rPr>
            </w:pPr>
          </w:p>
        </w:tc>
      </w:tr>
      <w:tr>
        <w:trPr>
          <w:trHeight w:val="510"/>
        </w:trPr>
        <w:tc>
          <w:tcPr>
            <w:tcW w:w="7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388"/>
        </w:trPr>
        <w:tc>
          <w:tcPr>
            <w:tcW w:w="720" w:type="dxa"/>
            <w:vAlign w:val="bottom"/>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Book Entry</w:t>
            </w: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w w:val="99"/>
              </w:rPr>
              <w:t>deposited with, or Son-2behalf of, DTC and registered in the name of DTC or its nominees.</w:t>
            </w:r>
          </w:p>
        </w:tc>
      </w:tr>
      <w:tr>
        <w:trPr>
          <w:trHeight w:val="241"/>
        </w:trPr>
        <w:tc>
          <w:tcPr>
            <w:tcW w:w="7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20" w:type="dxa"/>
            <w:vAlign w:val="bottom"/>
            <w:tcBorders>
              <w:bottom w:val="single" w:sz="8" w:color="808080"/>
            </w:tcBorders>
          </w:tcPr>
          <w:p>
            <w:pPr>
              <w:spacing w:after="0"/>
              <w:rPr>
                <w:sz w:val="20"/>
                <w:szCs w:val="20"/>
                <w:color w:val="auto"/>
              </w:rPr>
            </w:pPr>
          </w:p>
        </w:tc>
        <w:tc>
          <w:tcPr>
            <w:tcW w:w="8080" w:type="dxa"/>
            <w:vAlign w:val="bottom"/>
            <w:tcBorders>
              <w:bottom w:val="single" w:sz="8" w:color="808080"/>
            </w:tcBorders>
            <w:gridSpan w:val="3"/>
          </w:tcPr>
          <w:p>
            <w:pPr>
              <w:ind w:left="860"/>
              <w:spacing w:after="0"/>
              <w:rPr>
                <w:sz w:val="20"/>
                <w:szCs w:val="20"/>
                <w:color w:val="auto"/>
              </w:rPr>
            </w:pPr>
            <w:r>
              <w:rPr>
                <w:rFonts w:ascii="Arial" w:cs="Arial" w:eastAsia="Arial" w:hAnsi="Arial"/>
                <w:sz w:val="18"/>
                <w:szCs w:val="18"/>
                <w:color w:val="auto"/>
              </w:rPr>
              <w:t>Beneficial interests in any of the notes will be shown on, and transfers will be effected only</w:t>
            </w:r>
          </w:p>
        </w:tc>
      </w:tr>
      <w:tr>
        <w:trPr>
          <w:trHeight w:val="171"/>
        </w:trPr>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80" w:type="dxa"/>
            <w:vAlign w:val="bottom"/>
            <w:gridSpan w:val="3"/>
          </w:tcPr>
          <w:p>
            <w:pPr>
              <w:ind w:left="860"/>
              <w:spacing w:after="0" w:line="171" w:lineRule="exact"/>
              <w:rPr>
                <w:sz w:val="20"/>
                <w:szCs w:val="20"/>
                <w:color w:val="auto"/>
              </w:rPr>
            </w:pPr>
            <w:r>
              <w:rPr>
                <w:rFonts w:ascii="Arial" w:cs="Arial" w:eastAsia="Arial" w:hAnsi="Arial"/>
                <w:sz w:val="18"/>
                <w:szCs w:val="18"/>
                <w:color w:val="auto"/>
                <w:w w:val="99"/>
              </w:rPr>
              <w:t>through, records maintained by DTC or its nominee, and these beneficial interests may not</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be exchanged for certificated notes, except in limited circumstances. See “Description of</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the Notes — Book-Entry System” in this prospectus supplement.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-8283575</wp:posOffset>
            </wp:positionV>
            <wp:extent cx="7250430" cy="8284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828421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right="280" w:firstLine="397"/>
        <w:spacing w:after="0" w:line="279" w:lineRule="auto"/>
        <w:rPr>
          <w:sz w:val="20"/>
          <w:szCs w:val="20"/>
          <w:color w:val="auto"/>
        </w:rPr>
      </w:pPr>
      <w:r>
        <w:rPr>
          <w:rFonts w:ascii="Arial" w:cs="Arial" w:eastAsia="Arial" w:hAnsi="Arial"/>
          <w:sz w:val="17"/>
          <w:szCs w:val="17"/>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and our subsidiaries have significant debt and debt-like obligations and may not maintain investment-grade credit ratings.</w:t>
      </w:r>
    </w:p>
    <w:p>
      <w:pPr>
        <w:spacing w:after="0" w:line="15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We and our subsidiaries have a significant amount of debt and debt-like obligations. Our credit rating and the credit ratings of our subsidiaries may in the future be lower than the current or historical credit ratings.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market value of the notes.</w:t>
      </w:r>
    </w:p>
    <w:p>
      <w:pPr>
        <w:spacing w:after="0" w:line="191" w:lineRule="exact"/>
        <w:rPr>
          <w:sz w:val="20"/>
          <w:szCs w:val="20"/>
          <w:color w:val="auto"/>
        </w:rPr>
      </w:pPr>
    </w:p>
    <w:p>
      <w:pPr>
        <w:ind w:left="800" w:right="500"/>
        <w:spacing w:after="0" w:line="277" w:lineRule="auto"/>
        <w:rPr>
          <w:sz w:val="20"/>
          <w:szCs w:val="20"/>
          <w:color w:val="auto"/>
        </w:rPr>
      </w:pPr>
      <w:r>
        <w:rPr>
          <w:rFonts w:ascii="Arial" w:cs="Arial" w:eastAsia="Arial" w:hAnsi="Arial"/>
          <w:sz w:val="18"/>
          <w:szCs w:val="18"/>
          <w:b w:val="1"/>
          <w:bCs w:val="1"/>
          <w:i w:val="1"/>
          <w:iCs w:val="1"/>
          <w:color w:val="auto"/>
        </w:rPr>
        <w:t>The indenture that governs the notes does not restrict our ability to incur additional indebtedness, which could make our debt securities more risky in the future.</w:t>
      </w:r>
    </w:p>
    <w:p>
      <w:pPr>
        <w:spacing w:after="0" w:line="76"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As of March 31, 2007, our consolidated indebtedness was approximately $28.3 billion. The indenture that governs the notes does not restrict our ability or our subsidiaries’ ability to incur additional indebtedness. The degree to which we incur additional debt could have important consequences to holders of the notes, including:</w:t>
      </w:r>
    </w:p>
    <w:p>
      <w:pPr>
        <w:spacing w:after="0" w:line="87" w:lineRule="exact"/>
        <w:rPr>
          <w:sz w:val="20"/>
          <w:szCs w:val="20"/>
          <w:color w:val="auto"/>
        </w:rPr>
      </w:pPr>
    </w:p>
    <w:p>
      <w:pPr>
        <w:ind w:left="1300" w:right="62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62"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39" w:lineRule="exact"/>
        <w:rPr>
          <w:sz w:val="20"/>
          <w:szCs w:val="20"/>
          <w:color w:val="auto"/>
        </w:rPr>
      </w:pPr>
    </w:p>
    <w:p>
      <w:pPr>
        <w:ind w:left="800" w:right="120"/>
        <w:spacing w:after="0" w:line="277" w:lineRule="auto"/>
        <w:rPr>
          <w:sz w:val="20"/>
          <w:szCs w:val="20"/>
          <w:color w:val="auto"/>
        </w:rPr>
      </w:pPr>
      <w:r>
        <w:rPr>
          <w:rFonts w:ascii="Arial" w:cs="Arial" w:eastAsia="Arial" w:hAnsi="Arial"/>
          <w:sz w:val="18"/>
          <w:szCs w:val="18"/>
          <w:b w:val="1"/>
          <w:bCs w:val="1"/>
          <w:i w:val="1"/>
          <w:iCs w:val="1"/>
          <w:color w:val="auto"/>
        </w:rPr>
        <w:t>Although we intend to apply to list the notes on the New York Stock Exchange, we cannot assure you that an active trading market will develop for the notes.</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notes are a new issue of securities for which there is no trading market. Although we intend to apply to list the notes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94"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time remaining to the maturity of the notes;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outstanding principal amount of the notes;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23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We may redeem all or a portion of the notes at any time on or after May 15, 2012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May 15, 2012 approaches and after such date.</w:t>
      </w:r>
    </w:p>
    <w:p>
      <w:pPr>
        <w:spacing w:after="0" w:line="37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419" w:right="1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35"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The following table sets forth our selected consolidated financial data. The selected consolidated financial data as of and for each of the years in the five-year period ended December 31, 2006 were derived from our audited consolidated financial statements. You should read the following data in conjunction with our consolidated financial statements and notes and Management’s Discussion and Analysis of Financial Condition and Results of Operations included in our Annual Report on Form 10-K for the year ended December 31, 2006 and our Quarterly Report on Form 10-Q for the quarter ended March 31, 2007, each of which are incorporated herein by reference.</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8"/>
          </w:tcPr>
          <w:p>
            <w:pPr>
              <w:jc w:val="right"/>
              <w:ind w:right="291"/>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2006</w:t>
            </w:r>
          </w:p>
        </w:tc>
        <w:tc>
          <w:tcPr>
            <w:tcW w:w="6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w w:val="79"/>
              </w:rPr>
              <w:t>(Unaudited)</w:t>
            </w: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8"/>
            <w:vMerge w:val="restart"/>
          </w:tcPr>
          <w:p>
            <w:pPr>
              <w:ind w:left="320"/>
              <w:spacing w:after="0"/>
              <w:rPr>
                <w:sz w:val="20"/>
                <w:szCs w:val="20"/>
                <w:color w:val="auto"/>
              </w:rPr>
            </w:pPr>
            <w:r>
              <w:rPr>
                <w:rFonts w:ascii="Arial" w:cs="Arial" w:eastAsia="Arial" w:hAnsi="Arial"/>
                <w:sz w:val="14"/>
                <w:szCs w:val="14"/>
                <w:b w:val="1"/>
                <w:bCs w:val="1"/>
                <w:color w:val="auto"/>
                <w:w w:val="96"/>
              </w:rPr>
              <w:t>(In millions, except per share data)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8"/>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$7,997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17,330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19,221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21,075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24,966</w:t>
            </w:r>
          </w:p>
        </w:tc>
        <w:tc>
          <w:tcPr>
            <w:tcW w:w="2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5,595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w w:val="94"/>
              </w:rPr>
              <w:t>Income (loss) from continuing operations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earnings (loss) for common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per common share(3)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w w:val="94"/>
              </w:rPr>
              <w:t>Income (loss) from continuing operations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 (0.27)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 (0.16)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earnings (loss) for common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per common share(3)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w w:val="94"/>
              </w:rPr>
              <w:t>Income (loss) from continuing operations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 (0.27)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 (0.16)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0.95</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76835</wp:posOffset>
            </wp:positionV>
            <wp:extent cx="8147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3" w:lineRule="exact"/>
        <w:rPr>
          <w:sz w:val="20"/>
          <w:szCs w:val="20"/>
          <w:color w:val="auto"/>
        </w:rPr>
      </w:pPr>
    </w:p>
    <w:p>
      <w:pPr>
        <w:ind w:left="900" w:right="100" w:hanging="207"/>
        <w:spacing w:after="0" w:line="253" w:lineRule="auto"/>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September 2003, we disposed of our interest in QVC to Liberty Media Corporation. QVC is presented as a discontinued operation for the years ended on and before December 31, 2003.</w:t>
      </w:r>
    </w:p>
    <w:p>
      <w:pPr>
        <w:spacing w:after="0" w:line="11" w:lineRule="exact"/>
        <w:rPr>
          <w:rFonts w:ascii="Arial" w:cs="Arial" w:eastAsia="Arial" w:hAnsi="Arial"/>
          <w:sz w:val="14"/>
          <w:szCs w:val="14"/>
          <w:color w:val="auto"/>
        </w:rPr>
      </w:pPr>
    </w:p>
    <w:p>
      <w:pPr>
        <w:ind w:left="900" w:right="260" w:hanging="207"/>
        <w:spacing w:after="0" w:line="264" w:lineRule="auto"/>
        <w:tabs>
          <w:tab w:leader="none" w:pos="9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July 2006, in connection with the transactions with Adelphia and Time Warner, we transferred our previously owned cable systems located in Los Angeles, Cleveland and Dallas to Time Warner Cable. These cable systems are presented as discontinued operations for the years ended on or before December 31, 2006 (see Note 5 to our audited consolidated financial statements included in the Annual Report on Form 10-K for the year ended December 31, 2006).</w:t>
      </w:r>
    </w:p>
    <w:p>
      <w:pPr>
        <w:spacing w:after="0" w:line="6" w:lineRule="exact"/>
        <w:rPr>
          <w:rFonts w:ascii="Arial" w:cs="Arial" w:eastAsia="Arial" w:hAnsi="Arial"/>
          <w:sz w:val="13"/>
          <w:szCs w:val="13"/>
          <w:color w:val="auto"/>
        </w:rPr>
      </w:pPr>
    </w:p>
    <w:p>
      <w:pPr>
        <w:ind w:left="900" w:hanging="207"/>
        <w:spacing w:after="0"/>
        <w:tabs>
          <w:tab w:leader="none" w:pos="9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to reflect the three-for-two stock split in the form of a 50% stock dividend paid in February 2007.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6"/>
              </w:rPr>
              <w:t>As of December 31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$ 113,485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$109,348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$105,035</w:t>
            </w: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8"/>
              </w:rPr>
              <w:t>$103,400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$ 110,405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38,329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41,662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41,422</w:t>
            </w: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40,219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41,167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which may include funding repayment of commercial paper issued to repay, in part, $600 million aggregate principal amount of our 8.375% notes due May 1, 2007. Our commercial paper has a weighted average interest rate of 5.358% and an average maturity of 10 days.</w:t>
      </w:r>
    </w:p>
    <w:p>
      <w:pPr>
        <w:spacing w:after="0" w:line="304" w:lineRule="exact"/>
        <w:rPr>
          <w:sz w:val="20"/>
          <w:szCs w:val="20"/>
          <w:color w:val="auto"/>
        </w:rPr>
      </w:pPr>
    </w:p>
    <w:p>
      <w:pPr>
        <w:jc w:val="right"/>
        <w:ind w:left="1080" w:right="3100"/>
        <w:spacing w:after="0" w:line="396" w:lineRule="auto"/>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18"/>
          <w:szCs w:val="18"/>
          <w:color w:val="auto"/>
        </w:rPr>
        <w:t>Our ratio of earnings to fixed charges was as follows for the respective periods indicated:</w:t>
      </w:r>
    </w:p>
    <w:tbl>
      <w:tblPr>
        <w:tblLayout w:type="fixed"/>
        <w:tblInd w:w="70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jc w:val="right"/>
              <w:ind w:right="1439"/>
              <w:spacing w:after="0" w:line="155" w:lineRule="exact"/>
              <w:rPr>
                <w:sz w:val="20"/>
                <w:szCs w:val="20"/>
                <w:color w:val="auto"/>
              </w:rPr>
            </w:pPr>
            <w:r>
              <w:rPr>
                <w:rFonts w:ascii="Arial" w:cs="Arial" w:eastAsia="Arial" w:hAnsi="Arial"/>
                <w:sz w:val="14"/>
                <w:szCs w:val="14"/>
                <w:b w:val="1"/>
                <w:bCs w:val="1"/>
                <w:color w:val="auto"/>
                <w:w w:val="76"/>
              </w:rPr>
              <w:t>2002</w:t>
            </w:r>
          </w:p>
        </w:tc>
        <w:tc>
          <w:tcPr>
            <w:tcW w:w="7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2003</w:t>
            </w:r>
          </w:p>
        </w:tc>
        <w:tc>
          <w:tcPr>
            <w:tcW w:w="98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2005</w:t>
            </w:r>
          </w:p>
        </w:tc>
        <w:tc>
          <w:tcPr>
            <w:tcW w:w="1000" w:type="dxa"/>
            <w:vAlign w:val="bottom"/>
          </w:tcPr>
          <w:p>
            <w:pPr>
              <w:spacing w:after="0"/>
              <w:rPr>
                <w:sz w:val="13"/>
                <w:szCs w:val="13"/>
                <w:color w:val="auto"/>
              </w:rPr>
            </w:pPr>
          </w:p>
        </w:tc>
        <w:tc>
          <w:tcPr>
            <w:tcW w:w="7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2006</w:t>
            </w:r>
          </w:p>
        </w:tc>
        <w:tc>
          <w:tcPr>
            <w:tcW w:w="1020" w:type="dxa"/>
            <w:vAlign w:val="bottom"/>
          </w:tcPr>
          <w:p>
            <w:pPr>
              <w:spacing w:after="0"/>
              <w:rPr>
                <w:sz w:val="13"/>
                <w:szCs w:val="13"/>
                <w:color w:val="auto"/>
              </w:rPr>
            </w:pPr>
          </w:p>
        </w:tc>
        <w:tc>
          <w:tcPr>
            <w:tcW w:w="1160" w:type="dxa"/>
            <w:vAlign w:val="bottom"/>
            <w:tcBorders>
              <w:bottom w:val="single" w:sz="8" w:color="auto"/>
            </w:tcBorders>
          </w:tcPr>
          <w:p>
            <w:pPr>
              <w:jc w:val="right"/>
              <w:ind w:right="365"/>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tcPr>
          <w:p>
            <w:pPr>
              <w:jc w:val="right"/>
              <w:ind w:right="1079"/>
              <w:spacing w:after="0"/>
              <w:rPr>
                <w:sz w:val="20"/>
                <w:szCs w:val="20"/>
                <w:color w:val="auto"/>
              </w:rPr>
            </w:pPr>
            <w:r>
              <w:rPr>
                <w:rFonts w:ascii="Arial" w:cs="Arial" w:eastAsia="Arial" w:hAnsi="Arial"/>
                <w:sz w:val="18"/>
                <w:szCs w:val="18"/>
                <w:color w:val="auto"/>
              </w:rPr>
              <w:t>—(1)</w:t>
            </w:r>
          </w:p>
        </w:tc>
        <w:tc>
          <w:tcPr>
            <w:tcW w:w="700" w:type="dxa"/>
            <w:vAlign w:val="bottom"/>
          </w:tcPr>
          <w:p>
            <w:pPr>
              <w:ind w:left="18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22"/>
                <w:szCs w:val="22"/>
                <w:color w:val="auto"/>
              </w:rPr>
            </w:pPr>
          </w:p>
        </w:tc>
        <w:tc>
          <w:tcPr>
            <w:tcW w:w="1760" w:type="dxa"/>
            <w:vAlign w:val="bottom"/>
            <w:gridSpan w:val="2"/>
          </w:tcPr>
          <w:p>
            <w:pPr>
              <w:jc w:val="center"/>
              <w:ind w:right="1000"/>
              <w:spacing w:after="0"/>
              <w:rPr>
                <w:sz w:val="20"/>
                <w:szCs w:val="20"/>
                <w:color w:val="auto"/>
              </w:rPr>
            </w:pPr>
            <w:r>
              <w:rPr>
                <w:rFonts w:ascii="Arial" w:cs="Arial" w:eastAsia="Arial" w:hAnsi="Arial"/>
                <w:sz w:val="18"/>
                <w:szCs w:val="18"/>
                <w:color w:val="auto"/>
                <w:w w:val="90"/>
              </w:rPr>
              <w:t>1.94x</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1.92x</w:t>
            </w:r>
          </w:p>
        </w:tc>
        <w:tc>
          <w:tcPr>
            <w:tcW w:w="10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2.75x</w:t>
            </w:r>
          </w:p>
        </w:tc>
        <w:tc>
          <w:tcPr>
            <w:tcW w:w="10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3.37x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00" w:right="3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$88 million and $470 million deficiency, respectively, of earnings to fixed charges.</w:t>
      </w:r>
    </w:p>
    <w:p>
      <w:pPr>
        <w:spacing w:after="0" w:line="76"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w:t>
      </w:r>
    </w:p>
    <w:p>
      <w:pPr>
        <w:spacing w:after="0" w:line="3" w:lineRule="exact"/>
        <w:rPr>
          <w:sz w:val="20"/>
          <w:szCs w:val="20"/>
          <w:color w:val="auto"/>
        </w:rPr>
      </w:pPr>
    </w:p>
    <w:p>
      <w:pPr>
        <w:ind w:left="700" w:right="500" w:hanging="7"/>
        <w:spacing w:after="0" w:line="261" w:lineRule="auto"/>
        <w:tabs>
          <w:tab w:leader="none" w:pos="94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preference security dividend requirements of our consolidated subsidiaries. Preferred security dividend is the amount of pre-tax earnings that is required to pay the dividends on outstanding preference securities.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DESCRIPTION OF THE NOTES</w:t>
      </w:r>
    </w:p>
    <w:p>
      <w:pPr>
        <w:spacing w:after="0" w:line="135"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We are offering $550,000,000 aggregate principal amount of our 6.625% Notes due 2056. The notes will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this series of notes and issue additional notes. Additional notes of such series will be consolidated with and form a single series with the notes then outstanding. Copies of the indenture and the form of notes are available from us upon request.</w:t>
      </w:r>
    </w:p>
    <w:p>
      <w:pPr>
        <w:spacing w:after="0" w:line="7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Terms of the Notes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300" w:right="56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cable guarantees described below;</w:t>
      </w:r>
    </w:p>
    <w:p>
      <w:pPr>
        <w:spacing w:after="0" w:line="8" w:lineRule="exact"/>
        <w:rPr>
          <w:rFonts w:ascii="Arial" w:cs="Arial" w:eastAsia="Arial" w:hAnsi="Arial"/>
          <w:sz w:val="18"/>
          <w:szCs w:val="18"/>
          <w:color w:val="auto"/>
        </w:rPr>
      </w:pPr>
    </w:p>
    <w:p>
      <w:pPr>
        <w:ind w:left="1300" w:right="20" w:hanging="202"/>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$550,000,000 ($632,500,000 if the underwriters exercise their overallotment option in full), maturing on May 15, 2056, with interest payable quarterly on each May 15, August 15, November 15 and February 15, beginning August 15, 2007, to holders of record on the preceding May 1, August 1, November 1 and February 1; and</w:t>
      </w:r>
    </w:p>
    <w:p>
      <w:pPr>
        <w:spacing w:after="0" w:line="24"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$25.00 and multiples thereof.</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Payments</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quarterly on interest payment dates described for each year.</w:t>
      </w:r>
    </w:p>
    <w:p>
      <w:pPr>
        <w:spacing w:after="0" w:line="3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Cable Guarantees</w:t>
      </w:r>
    </w:p>
    <w:p>
      <w:pPr>
        <w:spacing w:after="0" w:line="135" w:lineRule="exact"/>
        <w:rPr>
          <w:sz w:val="20"/>
          <w:szCs w:val="20"/>
          <w:color w:val="auto"/>
        </w:rPr>
      </w:pPr>
    </w:p>
    <w:p>
      <w:pPr>
        <w:jc w:val="both"/>
        <w:ind w:left="700" w:right="80" w:firstLine="397"/>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22" w:lineRule="exact"/>
        <w:rPr>
          <w:sz w:val="20"/>
          <w:szCs w:val="20"/>
          <w:color w:val="auto"/>
        </w:rPr>
      </w:pPr>
    </w:p>
    <w:p>
      <w:pPr>
        <w:jc w:val="both"/>
        <w:ind w:left="700" w:right="80" w:firstLine="397"/>
        <w:spacing w:after="0" w:line="312" w:lineRule="auto"/>
        <w:rPr>
          <w:sz w:val="20"/>
          <w:szCs w:val="20"/>
          <w:color w:val="auto"/>
        </w:rPr>
      </w:pPr>
      <w:r>
        <w:rPr>
          <w:rFonts w:ascii="Arial" w:cs="Arial" w:eastAsia="Arial" w:hAnsi="Arial"/>
          <w:sz w:val="16"/>
          <w:szCs w:val="16"/>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81"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We will have the right at our option to redeem the notes in whole or in part, at any time or from time to time on or after May 15, 2012 and prior to their maturity, on at least 30 days, but not more than 60 days, prior notice mailed to the registered address of each holder, at a redemption price equal to 100% of the principal amount of such notes, plus any accrued and unpaid interest thereon to the date of redemption.</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Trading Characteristics</w:t>
      </w:r>
    </w:p>
    <w:p>
      <w:pPr>
        <w:spacing w:after="0" w:line="135"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We intend to apply to list the notes on the New York Stock Exchange under the symbol “CCS”. If approved, we expect the notes to trade at a price that takes into account the value, if any, of accrued but unpaid interest. This means that purchasers will not pay, and sellers will not receive, accrued but unpaid interest on the notes that is not included in their trading price.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Additional Debt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w:t>
      </w:r>
    </w:p>
    <w:p>
      <w:pPr>
        <w:spacing w:after="0" w:line="135"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DTC</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87"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720" w:firstLine="397"/>
        <w:spacing w:after="0" w:line="342" w:lineRule="auto"/>
        <w:rPr>
          <w:sz w:val="20"/>
          <w:szCs w:val="20"/>
          <w:color w:val="auto"/>
        </w:rPr>
      </w:pPr>
      <w:r>
        <w:rPr>
          <w:rFonts w:ascii="Arial" w:cs="Arial" w:eastAsia="Arial" w:hAnsi="Arial"/>
          <w:sz w:val="16"/>
          <w:szCs w:val="16"/>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29"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03"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7"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75"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76" w:lineRule="exact"/>
        <w:rPr>
          <w:sz w:val="20"/>
          <w:szCs w:val="20"/>
          <w:color w:val="auto"/>
        </w:rPr>
      </w:pPr>
    </w:p>
    <w:p>
      <w:pPr>
        <w:ind w:left="1700" w:right="80" w:hanging="400"/>
        <w:spacing w:after="0" w:line="342" w:lineRule="auto"/>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5" w:lineRule="exact"/>
        <w:rPr>
          <w:rFonts w:ascii="Arial" w:cs="Arial" w:eastAsia="Arial" w:hAnsi="Arial"/>
          <w:sz w:val="16"/>
          <w:szCs w:val="16"/>
          <w:color w:val="auto"/>
        </w:rPr>
      </w:pPr>
    </w:p>
    <w:p>
      <w:pPr>
        <w:ind w:left="1700" w:hanging="400"/>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17" w:lineRule="exact"/>
        <w:rPr>
          <w:rFonts w:ascii="Arial" w:cs="Arial" w:eastAsia="Arial" w:hAnsi="Arial"/>
          <w:sz w:val="18"/>
          <w:szCs w:val="18"/>
          <w:color w:val="auto"/>
        </w:rPr>
      </w:pPr>
    </w:p>
    <w:p>
      <w:pPr>
        <w:ind w:left="1700" w:hanging="400"/>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default entitling the holders of the applicable notes to accelerate the maturity thereof has occurred and is continuing.</w:t>
      </w: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7"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3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jc w:val="both"/>
        <w:ind w:left="1300" w:right="40" w:hanging="20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31" w:lineRule="exact"/>
        <w:rPr>
          <w:sz w:val="20"/>
          <w:szCs w:val="20"/>
          <w:color w:val="auto"/>
        </w:rPr>
      </w:pPr>
    </w:p>
    <w:p>
      <w:pPr>
        <w:ind w:left="700" w:right="900" w:firstLine="397"/>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31"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Persons considering the purchase of notes are urged to consult their tax advisers with regard to the application of the U.S. federal tax laws to their particular situations as well as any tax consequences arising under the laws of any state, local or foreign taxing jurisdiction.</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As used herein, the term “Non-U.S. Holder” means a beneficial owner of a note that is, for U.S. federal income tax purposes:</w:t>
      </w:r>
    </w:p>
    <w:p>
      <w:pPr>
        <w:spacing w:after="0" w:line="142"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classified as a nonresident for U.S. federal income tax purposes;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own tax advisor regarding the U.S. federal income tax consequences of the sale, exchange or other disposition of a note.</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Subject to the discussion below concerning backup withholding:</w:t>
      </w:r>
    </w:p>
    <w:p>
      <w:pPr>
        <w:spacing w:after="0" w:line="131" w:lineRule="exact"/>
        <w:rPr>
          <w:sz w:val="20"/>
          <w:szCs w:val="20"/>
          <w:color w:val="auto"/>
        </w:rPr>
      </w:pPr>
    </w:p>
    <w:p>
      <w:pPr>
        <w:ind w:left="1300" w:right="20" w:hanging="20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6" w:lineRule="exact"/>
        <w:rPr>
          <w:rFonts w:ascii="Arial" w:cs="Arial" w:eastAsia="Arial" w:hAnsi="Arial"/>
          <w:sz w:val="18"/>
          <w:szCs w:val="18"/>
          <w:color w:val="auto"/>
        </w:rPr>
      </w:pPr>
    </w:p>
    <w:p>
      <w:pPr>
        <w:ind w:left="1700" w:hanging="211"/>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3" w:lineRule="exact"/>
        <w:rPr>
          <w:rFonts w:ascii="Arial" w:cs="Arial" w:eastAsia="Arial" w:hAnsi="Arial"/>
          <w:sz w:val="18"/>
          <w:szCs w:val="18"/>
          <w:color w:val="auto"/>
        </w:rPr>
      </w:pPr>
    </w:p>
    <w:p>
      <w:pPr>
        <w:ind w:left="1700" w:hanging="211"/>
        <w:spacing w:after="0"/>
        <w:tabs>
          <w:tab w:leader="none" w:pos="1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certification requirement described below has been fulfilled with respect to the beneficial owner, as discussed below;</w:t>
      </w: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40" w:hanging="202"/>
        <w:spacing w:after="0" w:line="286"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Non-U.S. Holder of a note will not be subject to U.S. federal income tax on gain realized on the sale, exchange or other disposition of such note, unless the gain is effectively connected with the conduct by the holder of a trade or business in the United States, subject to an applicable income tax treaty providing otherwise.</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Certification Requirement</w:t>
      </w:r>
    </w:p>
    <w:p>
      <w:pPr>
        <w:spacing w:after="0" w:line="131"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Interest not effectively connected with the conduct of a trade or business in the United States will not be exempt from withholding tax unless the beneficial owner of that note certifies on Internal Revenue Service Form W-8BEN, under penalties of perjury, that it is not a U.S. person.</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a Non-U.S. Holder of a note is engaged in a trade or business in the United States, and if interest on or gain with respect to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note is effectively connected with the conduct of this trade or business, the Non-U.S. Holder, although exempt from the withholding tax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discussed in the preceding paragraph, will generally be taxed in the same manner as a U.S. person, subject to an applicable income tax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treaty providing otherwise, except that the holder will be required to provide to us a properly executed Internal Revenue Service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Form W-8ECI in order to claim an exemption from withholding tax with respect to interest. These holders should consult their own tax</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advisors with respect to other U.S. tax consequences of the ownership and disposition of notes including the possible imposition of an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additional 30% branch profits tax.</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Information returns will be filed with the U.S. Internal Revenue Service in connection with payments on the notes. Unless the Non-U.S. Holder complies with certification procedures to establish that it is not a U.S. person, information returns may be filed with the U.S. Internal Revenue Service in connection with the proceeds from a sale or other disposition and the Non-U.S. Holder may be subject to U.S. backup withholding tax on payments on the notes or on the proceeds from a sale or other disposition of the notes. The certification procedures required to claim the exemption from withholding tax on interest described above will satisfy the certification requirements necessary to avoid the backup withholding tax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700" w:right="960" w:firstLine="397"/>
        <w:spacing w:after="0" w:line="277" w:lineRule="auto"/>
        <w:rPr>
          <w:sz w:val="20"/>
          <w:szCs w:val="20"/>
          <w:color w:val="auto"/>
        </w:rPr>
      </w:pPr>
      <w:r>
        <w:rPr>
          <w:rFonts w:ascii="Arial" w:cs="Arial" w:eastAsia="Arial" w:hAnsi="Arial"/>
          <w:sz w:val="18"/>
          <w:szCs w:val="18"/>
          <w:color w:val="auto"/>
        </w:rPr>
        <w:t>Citigroup Global Markets Inc. and Merrill Lynch, Pierce, Fenner &amp; Smith Incorporated are acting as joint book-running managers of the offering and are acting as representatives of the underwriters named below.</w:t>
      </w:r>
    </w:p>
    <w:p>
      <w:pPr>
        <w:spacing w:after="0" w:line="35" w:lineRule="exact"/>
        <w:rPr>
          <w:sz w:val="20"/>
          <w:szCs w:val="20"/>
          <w:color w:val="auto"/>
        </w:rPr>
      </w:pPr>
    </w:p>
    <w:p>
      <w:pPr>
        <w:ind w:left="700" w:right="1000" w:firstLine="397"/>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Principal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Underwriter</w:t>
            </w: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of Notes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6880" w:type="dxa"/>
            <w:vAlign w:val="bottom"/>
            <w:gridSpan w:val="3"/>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880" w:type="dxa"/>
            <w:vAlign w:val="bottom"/>
            <w:gridSpan w:val="3"/>
          </w:tcPr>
          <w:p>
            <w:pPr>
              <w:ind w:left="920"/>
              <w:spacing w:after="0"/>
              <w:rPr>
                <w:sz w:val="20"/>
                <w:szCs w:val="20"/>
                <w:color w:val="auto"/>
              </w:rPr>
            </w:pPr>
            <w:r>
              <w:rPr>
                <w:rFonts w:ascii="Arial" w:cs="Arial" w:eastAsia="Arial" w:hAnsi="Arial"/>
                <w:sz w:val="18"/>
                <w:szCs w:val="18"/>
                <w:color w:val="auto"/>
              </w:rPr>
              <w:t>Incorporated</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82,100,000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UBS Securities LLC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A.G. Edwards &amp; Sons,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RBC Dain Rauscher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Banc of America Securities LLC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Lehman Brothers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ABN Amro Incorporated</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H&amp;R Block Financial Advisors,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Goldman, Sachs &amp; Co.</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J.J.B. Hilliard, W.L. Lyons,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KeyBanc Capital Markets, a division of McDonald Investments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Oppenheimer &amp; Co.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Piper Jaffray &amp; Co.</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Charles Schwab &amp; Co., Inc.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TD Ameritrade,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Wells Fargo Securities, LLC</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BB&amp;T Capital Markets, a division of Scott &amp; Stringfellow, Inc.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Robert W. Baird &amp; Co. Incorporated</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Crowell, Weedon &amp; Co.</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Davenport &amp; Company LLC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D.A. Davidson &amp; Co.</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Doley Securities, LLC</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Ferris, Baker Watts, Incorporated</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Securities, LP</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Arial" w:cs="Arial" w:eastAsia="Arial" w:hAnsi="Arial"/>
                <w:sz w:val="18"/>
                <w:szCs w:val="18"/>
                <w:color w:val="auto"/>
              </w:rPr>
              <w:t>S-13</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Jackson Securities, LLC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Jefferies &amp; Company, Inc.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Keefe, Bruyette &amp; Woods,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Mesirow Financial,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Pershing LLC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Samuel A. Ramirez &amp; Co., Inc.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Ryan Beck &amp; Co.,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Muriel Siebert &amp; Co., Inc.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Stone &amp; Youngberg LLC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SunTrust Capital Markets,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Wedbush Morgan Securities Inc.</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tcPr>
          <w:p>
            <w:pPr>
              <w:spacing w:after="0"/>
              <w:rPr>
                <w:sz w:val="20"/>
                <w:szCs w:val="20"/>
                <w:color w:val="auto"/>
              </w:rPr>
            </w:pPr>
            <w:r>
              <w:rPr>
                <w:rFonts w:ascii="Arial" w:cs="Arial" w:eastAsia="Arial" w:hAnsi="Arial"/>
                <w:sz w:val="18"/>
                <w:szCs w:val="18"/>
                <w:color w:val="auto"/>
              </w:rPr>
              <w:t>The Williams Capital Group, L.P.</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B.C. Ziegler and Company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550,000,000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7"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52"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The notes are being offered for sale in the United States and in jurisdictions outside the United States, subject to applicable law. Each of the underwriters has agreed that it will not offer, sell or deliver any of the notes, directly or indirectly, or distribute this prospectus supplement or the accompanying prospectus or any other offering material relating to the notes, in or from any jurisdiction except under circumstances that will to the best knowledge and belief of such underwriter result in compliance with the applicable laws and regulations thereof and which will not impose any obligations on us except as set forth in the underwriting agreement.</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131"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w:t>
      </w:r>
    </w:p>
    <w:p>
      <w:pPr>
        <w:spacing w:after="0" w:line="15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97" w:lineRule="auto"/>
        <w:rPr>
          <w:sz w:val="20"/>
          <w:szCs w:val="20"/>
          <w:color w:val="auto"/>
        </w:rPr>
      </w:pPr>
      <w:r>
        <w:rPr>
          <w:rFonts w:ascii="Arial" w:cs="Arial" w:eastAsia="Arial" w:hAnsi="Arial"/>
          <w:sz w:val="16"/>
          <w:szCs w:val="16"/>
          <w:color w:val="auto"/>
        </w:rPr>
        <w:t>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64" w:lineRule="exact"/>
        <w:rPr>
          <w:sz w:val="20"/>
          <w:szCs w:val="20"/>
          <w:color w:val="auto"/>
        </w:rPr>
      </w:pPr>
    </w:p>
    <w:p>
      <w:pPr>
        <w:ind w:left="1480" w:right="620" w:firstLine="372"/>
        <w:spacing w:after="0" w:line="277" w:lineRule="auto"/>
        <w:tabs>
          <w:tab w:leader="none" w:pos="20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2120" w:hanging="268"/>
        <w:spacing w:after="0"/>
        <w:tabs>
          <w:tab w:leader="none" w:pos="2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w:t>
      </w:r>
    </w:p>
    <w:p>
      <w:pPr>
        <w:spacing w:after="0" w:line="46" w:lineRule="exact"/>
        <w:rPr>
          <w:rFonts w:ascii="Arial" w:cs="Arial" w:eastAsia="Arial" w:hAnsi="Arial"/>
          <w:sz w:val="16"/>
          <w:szCs w:val="16"/>
          <w:color w:val="auto"/>
        </w:rPr>
      </w:pPr>
    </w:p>
    <w:p>
      <w:pPr>
        <w:ind w:left="1480" w:right="240" w:firstLine="7"/>
        <w:spacing w:after="0" w:line="261" w:lineRule="auto"/>
        <w:tabs>
          <w:tab w:leader="none" w:pos="17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total balance sheet of more than €43,000,000 and (3) an annual net turnover of more than €50,000,000, as shown in its last annual or consolidated accounts; or</w:t>
      </w:r>
    </w:p>
    <w:p>
      <w:pPr>
        <w:spacing w:after="0" w:line="89" w:lineRule="exact"/>
        <w:rPr>
          <w:rFonts w:ascii="Arial" w:cs="Arial" w:eastAsia="Arial" w:hAnsi="Arial"/>
          <w:sz w:val="18"/>
          <w:szCs w:val="18"/>
          <w:color w:val="auto"/>
        </w:rPr>
      </w:pPr>
    </w:p>
    <w:p>
      <w:pPr>
        <w:ind w:left="1480" w:right="40" w:firstLine="372"/>
        <w:spacing w:after="0" w:line="277" w:lineRule="auto"/>
        <w:tabs>
          <w:tab w:leader="none" w:pos="2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76"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0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Hong Kong</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Japan</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notes have not been and will not be registered under the Securities and Exchange Law of Japan,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the Securities and Exchange Law available thereunder and in compliance with the other relevant laws and regulations of Japan.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Singapore</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may the notes be offered or sold, or be made the subject of an invitation for subscription or purchase, whether directly or indirectly, to persons in Singapore other than:</w:t>
      </w:r>
    </w:p>
    <w:p>
      <w:pPr>
        <w:spacing w:after="0" w:line="76" w:lineRule="exact"/>
        <w:rPr>
          <w:sz w:val="20"/>
          <w:szCs w:val="20"/>
          <w:color w:val="auto"/>
        </w:rPr>
      </w:pPr>
    </w:p>
    <w:p>
      <w:pPr>
        <w:ind w:left="1680" w:hanging="209"/>
        <w:spacing w:after="0"/>
        <w:tabs>
          <w:tab w:leader="none" w:pos="1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Securities and Futures Act, Chapter 289 of Singapore (the “SFA”);</w:t>
      </w:r>
    </w:p>
    <w:p>
      <w:pPr>
        <w:spacing w:after="0" w:line="142" w:lineRule="exact"/>
        <w:rPr>
          <w:rFonts w:ascii="Arial" w:cs="Arial" w:eastAsia="Arial" w:hAnsi="Arial"/>
          <w:sz w:val="17"/>
          <w:szCs w:val="17"/>
          <w:color w:val="auto"/>
        </w:rPr>
      </w:pPr>
    </w:p>
    <w:p>
      <w:pPr>
        <w:ind w:left="1080" w:right="580" w:firstLine="391"/>
        <w:spacing w:after="0" w:line="277" w:lineRule="auto"/>
        <w:tabs>
          <w:tab w:leader="none" w:pos="17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 relevant person, or any person pursuant to Section 257(1A), and in accordance with the conditions, specified in Section 275 of the SFA; or</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131" w:lineRule="exact"/>
        <w:rPr>
          <w:sz w:val="20"/>
          <w:szCs w:val="20"/>
          <w:color w:val="auto"/>
        </w:rPr>
      </w:pPr>
    </w:p>
    <w:p>
      <w:pPr>
        <w:ind w:left="1080" w:right="280" w:firstLine="391"/>
        <w:spacing w:after="0" w:line="277" w:lineRule="auto"/>
        <w:tabs>
          <w:tab w:leader="none" w:pos="17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80" w:firstLine="391"/>
        <w:spacing w:after="0" w:line="255" w:lineRule="auto"/>
        <w:tabs>
          <w:tab w:leader="none" w:pos="17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Over-Allotment Option</w:t>
      </w:r>
    </w:p>
    <w:p>
      <w:pPr>
        <w:spacing w:after="0" w:line="135" w:lineRule="exact"/>
        <w:rPr>
          <w:sz w:val="20"/>
          <w:szCs w:val="20"/>
          <w:color w:val="auto"/>
        </w:rPr>
      </w:pPr>
    </w:p>
    <w:p>
      <w:pPr>
        <w:ind w:left="700" w:right="120" w:firstLine="397"/>
        <w:spacing w:after="0" w:line="254" w:lineRule="auto"/>
        <w:rPr>
          <w:sz w:val="20"/>
          <w:szCs w:val="20"/>
          <w:color w:val="auto"/>
        </w:rPr>
      </w:pPr>
      <w:r>
        <w:rPr>
          <w:rFonts w:ascii="Arial" w:cs="Arial" w:eastAsia="Arial" w:hAnsi="Arial"/>
          <w:sz w:val="18"/>
          <w:szCs w:val="18"/>
          <w:color w:val="auto"/>
        </w:rPr>
        <w:t>We have granted to the underwriters an option, exercisable for 15 days from the date of this prospectus supplement, to purchase up to an additional $82,500,000 aggregate principal amount of notes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notes approximately proportionate to that underwriter’s initial purchase commitment. If the underwriters exercise their over-allotment option in full (and assuming that all notes sold pursuant to the over-allotment option are related to retail orders) the total price to the public would be $632,500,000, the total underwriting discounts and commissions would be $18,964,075 and the total proceeds, before deducting expenses, to us would be $613,535,925.</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and to dealers at that price less a concession not in excess of $0.50 per note for retail orders and $0.30 per note for institutional orders. The underwriters may allow, and the dealers may reallow, a discount not in excess of $0.45 per note to other dealers. After the initial public offering, the public offering prices, concessions and discounts may be changed.</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expenses of the offering, not including the underwriting discount, are estimated to be $300,000 and are payable by us.</w:t>
      </w:r>
    </w:p>
    <w:p>
      <w:pPr>
        <w:spacing w:after="0" w:line="142" w:lineRule="exact"/>
        <w:rPr>
          <w:sz w:val="20"/>
          <w:szCs w:val="20"/>
          <w:color w:val="auto"/>
        </w:rPr>
      </w:pPr>
    </w:p>
    <w:p>
      <w:pPr>
        <w:jc w:val="both"/>
        <w:ind w:left="700" w:right="240" w:firstLine="397"/>
        <w:spacing w:after="0" w:line="264"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No Exercise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 note (retail orders)</w:t>
            </w:r>
          </w:p>
        </w:tc>
        <w:tc>
          <w:tcPr>
            <w:tcW w:w="2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Per note (institutional orders)</w:t>
            </w:r>
          </w:p>
        </w:tc>
        <w:tc>
          <w:tcPr>
            <w:tcW w:w="2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0.5000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16,365,325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18,964,075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Issue of Notes</w:t>
      </w:r>
    </w:p>
    <w:p>
      <w:pPr>
        <w:spacing w:after="0" w:line="135" w:lineRule="exact"/>
        <w:rPr>
          <w:sz w:val="20"/>
          <w:szCs w:val="20"/>
          <w:color w:val="auto"/>
        </w:rPr>
      </w:pPr>
    </w:p>
    <w:p>
      <w:pPr>
        <w:ind w:left="700" w:right="380" w:firstLine="397"/>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We intend to apply to list the notes on the New York Stock Exchange under the symbol “CCS”, and we expect trading in the notes on the</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7" w:lineRule="auto"/>
        <w:rPr>
          <w:sz w:val="20"/>
          <w:szCs w:val="20"/>
          <w:color w:val="auto"/>
        </w:rPr>
      </w:pPr>
      <w:r>
        <w:rPr>
          <w:rFonts w:ascii="Arial" w:cs="Arial" w:eastAsia="Arial" w:hAnsi="Arial"/>
          <w:sz w:val="18"/>
          <w:szCs w:val="18"/>
          <w:color w:val="auto"/>
        </w:rPr>
        <w:t>New York Stock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80"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Alternative Settlement Date</w:t>
      </w:r>
    </w:p>
    <w:p>
      <w:pPr>
        <w:spacing w:after="0" w:line="13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It is expected that delivery of the notes will be made on or about the date specified on the cover page of this prospectus supplement, which will be the fifth business day following the date of this prospectus supplement. Under Rule 15c6-1 of the Securities and Exchange Commission under the Securities Exchange Act of 1934, as amended, trades in the secondary market generally are required to settle in three business days, unless the parties to any such trade expressly agree otherwise. Accordingly, the purchasers who wish to trade notes on the date of this prospectus supplement or the next succeeding business day will be required to specify an alternate settlement cycle at the time of any such trade to prevent failed settlement. Purchasers of notes who wish to trade notes on the date of this prospectus supplement or the next succeeding business day should consult their own advisors.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Relationships</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and may receive, customary fees and commissions for these transactions.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Dr. Judith Rodin, our director, is a member of the board of directors of Citigroup Inc., an affiliate of Citigroup Global Markets Inc.</w:t>
      </w:r>
    </w:p>
    <w:p>
      <w:pPr>
        <w:spacing w:after="0" w:line="36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jc w:val="both"/>
        <w:ind w:left="700" w:right="360" w:firstLine="397"/>
        <w:spacing w:after="0" w:line="312" w:lineRule="auto"/>
        <w:rPr>
          <w:sz w:val="20"/>
          <w:szCs w:val="20"/>
          <w:color w:val="auto"/>
        </w:rPr>
      </w:pPr>
      <w:r>
        <w:rPr>
          <w:rFonts w:ascii="Arial" w:cs="Arial" w:eastAsia="Arial" w:hAnsi="Arial"/>
          <w:sz w:val="16"/>
          <w:szCs w:val="16"/>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6"/>
          <w:szCs w:val="16"/>
          <w:color w:val="auto"/>
        </w:rPr>
        <w:t>, New York, New York, is representing the underwriters.</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686435</wp:posOffset>
            </wp:positionV>
            <wp:extent cx="6303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163195</wp:posOffset>
            </wp:positionV>
            <wp:extent cx="1431925" cy="368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239" w:lineRule="exact"/>
        <w:rPr>
          <w:sz w:val="20"/>
          <w:szCs w:val="20"/>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23"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9" w:lineRule="exact"/>
        <w:rPr>
          <w:rFonts w:ascii="Arial" w:cs="Arial" w:eastAsia="Arial" w:hAnsi="Arial"/>
          <w:sz w:val="18"/>
          <w:szCs w:val="18"/>
          <w:color w:val="auto"/>
        </w:rPr>
      </w:pPr>
    </w:p>
    <w:p>
      <w:pPr>
        <w:ind w:left="1060" w:hanging="142"/>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224" w:lineRule="exact"/>
        <w:rPr>
          <w:sz w:val="20"/>
          <w:szCs w:val="20"/>
          <w:color w:val="auto"/>
        </w:rPr>
      </w:pPr>
    </w:p>
    <w:p>
      <w:pPr>
        <w:ind w:left="700" w:right="380" w:firstLine="225"/>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84"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195" w:lineRule="exact"/>
        <w:rPr>
          <w:sz w:val="20"/>
          <w:szCs w:val="20"/>
          <w:color w:val="auto"/>
        </w:rPr>
      </w:pPr>
    </w:p>
    <w:p>
      <w:pPr>
        <w:ind w:left="700" w:right="340" w:firstLine="222"/>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w w:val="89"/>
              </w:rPr>
              <w:t>Conversion or exchange rights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560" w:type="dxa"/>
            <w:vAlign w:val="bottom"/>
          </w:tcPr>
          <w:p>
            <w:pPr>
              <w:ind w:left="460"/>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3580" w:type="dxa"/>
            <w:vAlign w:val="bottom"/>
            <w:gridSpan w:val="2"/>
          </w:tcPr>
          <w:p>
            <w:pPr>
              <w:ind w:left="460"/>
              <w:spacing w:after="0"/>
              <w:rPr>
                <w:sz w:val="20"/>
                <w:szCs w:val="20"/>
                <w:color w:val="auto"/>
              </w:rPr>
            </w:pPr>
            <w:r>
              <w:rPr>
                <w:rFonts w:ascii="Arial" w:cs="Arial" w:eastAsia="Arial" w:hAnsi="Arial"/>
                <w:sz w:val="18"/>
                <w:szCs w:val="18"/>
                <w:color w:val="auto"/>
              </w:rPr>
              <w:t>• Amount payable at maturity</w:t>
            </w:r>
          </w:p>
        </w:tc>
        <w:tc>
          <w:tcPr>
            <w:tcW w:w="760" w:type="dxa"/>
            <w:vAlign w:val="bottom"/>
          </w:tcPr>
          <w:p>
            <w:pPr>
              <w:ind w:left="64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580" w:type="dxa"/>
            <w:vAlign w:val="bottom"/>
            <w:gridSpan w:val="2"/>
          </w:tcPr>
          <w:p>
            <w:pPr>
              <w:ind w:left="460"/>
              <w:spacing w:after="0"/>
              <w:rPr>
                <w:sz w:val="20"/>
                <w:szCs w:val="20"/>
                <w:color w:val="auto"/>
              </w:rPr>
            </w:pPr>
            <w:r>
              <w:rPr>
                <w:rFonts w:ascii="Arial" w:cs="Arial" w:eastAsia="Arial" w:hAnsi="Arial"/>
                <w:sz w:val="18"/>
                <w:szCs w:val="18"/>
                <w:color w:val="auto"/>
              </w:rPr>
              <w:t>• Dividends</w:t>
            </w:r>
          </w:p>
        </w:tc>
        <w:tc>
          <w:tcPr>
            <w:tcW w:w="76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63030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64" w:lineRule="exact"/>
        <w:rPr>
          <w:sz w:val="20"/>
          <w:szCs w:val="20"/>
          <w:color w:val="auto"/>
        </w:rPr>
      </w:pPr>
    </w:p>
    <w:p>
      <w:pPr>
        <w:ind w:left="700" w:right="160" w:firstLine="225"/>
        <w:spacing w:after="0" w:line="282"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54610</wp:posOffset>
            </wp:positionV>
            <wp:extent cx="63030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28" w:lineRule="exact"/>
        <w:rPr>
          <w:sz w:val="20"/>
          <w:szCs w:val="20"/>
          <w:color w:val="auto"/>
        </w:rPr>
      </w:pPr>
    </w:p>
    <w:p>
      <w:pPr>
        <w:ind w:left="700" w:right="20" w:firstLine="225"/>
        <w:spacing w:after="0" w:line="347" w:lineRule="auto"/>
        <w:rPr>
          <w:sz w:val="20"/>
          <w:szCs w:val="20"/>
          <w:color w:val="auto"/>
        </w:rPr>
      </w:pPr>
      <w:r>
        <w:rPr>
          <w:rFonts w:ascii="Arial" w:cs="Arial" w:eastAsia="Arial" w:hAnsi="Arial"/>
          <w:sz w:val="16"/>
          <w:szCs w:val="16"/>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3030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0" w:lineRule="exact"/>
        <w:rPr>
          <w:sz w:val="20"/>
          <w:szCs w:val="20"/>
          <w:color w:val="auto"/>
        </w:rPr>
      </w:pPr>
    </w:p>
    <w:p>
      <w:pPr>
        <w:ind w:left="700" w:firstLine="222"/>
        <w:spacing w:after="0" w:line="286"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410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10972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284"/>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9500" w:type="dxa"/>
            <w:vAlign w:val="bottom"/>
            <w:gridSpan w:val="1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The Companies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Caution Concerning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60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Ratios of Earnings to Fixed Charges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Ratio of Earnings to Combined Fixed Charges and Preferred Dividends</w:t>
              </w:r>
            </w:hyperlink>
          </w:p>
        </w:tc>
        <w:tc>
          <w:tcPr>
            <w:tcW w:w="43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Debt Securities and Cable Guarantees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Global Securities</w:t>
              </w:r>
            </w:hyperlink>
          </w:p>
        </w:tc>
        <w:tc>
          <w:tcPr>
            <w:tcW w:w="2560" w:type="dxa"/>
            <w:vAlign w:val="bottom"/>
            <w:tcBorders>
              <w:top w:val="single" w:sz="8" w:color="0000EE"/>
            </w:tcBorders>
            <w:gridSpan w:val="7"/>
          </w:tcPr>
          <w:p>
            <w:pPr>
              <w:spacing w:after="0"/>
              <w:rPr>
                <w:sz w:val="17"/>
                <w:szCs w:val="17"/>
                <w:color w:val="auto"/>
              </w:rPr>
            </w:pPr>
          </w:p>
        </w:tc>
        <w:tc>
          <w:tcPr>
            <w:tcW w:w="5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74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4"/>
          </w:tcPr>
          <w:p>
            <w:pPr>
              <w:spacing w:after="0"/>
              <w:rPr>
                <w:sz w:val="17"/>
                <w:szCs w:val="17"/>
                <w:color w:val="auto"/>
              </w:rPr>
            </w:pPr>
          </w:p>
        </w:tc>
        <w:tc>
          <w:tcPr>
            <w:tcW w:w="80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Certain Documents by Reference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92"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940" w:top="931" w:right="1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COMPANIES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Comcast Corporation</w:t>
      </w:r>
    </w:p>
    <w:p>
      <w:pPr>
        <w:spacing w:after="0" w:line="135" w:lineRule="exact"/>
        <w:rPr>
          <w:sz w:val="20"/>
          <w:szCs w:val="20"/>
          <w:color w:val="auto"/>
        </w:rPr>
      </w:pPr>
    </w:p>
    <w:p>
      <w:pPr>
        <w:ind w:left="920" w:firstLine="397"/>
        <w:spacing w:after="0" w:line="257"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94"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6"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Our Cable segment develops, manages and operates our broadband cable systems, including video, high-speed Internet and phone services.</w:t>
      </w:r>
    </w:p>
    <w:p>
      <w:pPr>
        <w:spacing w:after="0" w:line="76" w:lineRule="exact"/>
        <w:rPr>
          <w:sz w:val="20"/>
          <w:szCs w:val="20"/>
          <w:color w:val="auto"/>
        </w:rPr>
      </w:pPr>
    </w:p>
    <w:p>
      <w:pPr>
        <w:ind w:left="920" w:right="360" w:firstLine="397"/>
        <w:spacing w:after="0" w:line="277"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6" w:lineRule="exact"/>
        <w:rPr>
          <w:sz w:val="20"/>
          <w:szCs w:val="20"/>
          <w:color w:val="auto"/>
        </w:rPr>
      </w:pPr>
    </w:p>
    <w:p>
      <w:pPr>
        <w:ind w:left="920" w:right="160" w:firstLine="397"/>
        <w:spacing w:after="0" w:line="308" w:lineRule="auto"/>
        <w:rPr>
          <w:sz w:val="20"/>
          <w:szCs w:val="20"/>
          <w:color w:val="auto"/>
        </w:rPr>
      </w:pPr>
      <w:r>
        <w:rPr>
          <w:rFonts w:ascii="Arial" w:cs="Arial" w:eastAsia="Arial" w:hAnsi="Arial"/>
          <w:sz w:val="17"/>
          <w:szCs w:val="17"/>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52" w:lineRule="exact"/>
        <w:rPr>
          <w:sz w:val="20"/>
          <w:szCs w:val="20"/>
          <w:color w:val="auto"/>
        </w:rPr>
      </w:pPr>
    </w:p>
    <w:p>
      <w:pPr>
        <w:jc w:val="both"/>
        <w:ind w:left="920" w:right="260" w:firstLine="397"/>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the accompanying prospectus.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Guarantors</w:t>
      </w:r>
    </w:p>
    <w:p>
      <w:pPr>
        <w:spacing w:after="0" w:line="135" w:lineRule="exact"/>
        <w:rPr>
          <w:sz w:val="20"/>
          <w:szCs w:val="20"/>
          <w:color w:val="auto"/>
        </w:rPr>
      </w:pPr>
    </w:p>
    <w:p>
      <w:pPr>
        <w:ind w:left="920" w:right="80" w:firstLine="397"/>
        <w:spacing w:after="0" w:line="273" w:lineRule="auto"/>
        <w:rPr>
          <w:sz w:val="20"/>
          <w:szCs w:val="20"/>
          <w:color w:val="auto"/>
        </w:rPr>
      </w:pPr>
      <w:r>
        <w:rPr>
          <w:rFonts w:ascii="Arial" w:cs="Arial" w:eastAsia="Arial" w:hAnsi="Arial"/>
          <w:sz w:val="17"/>
          <w:szCs w:val="17"/>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620" w:hanging="293"/>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620" w:right="120" w:hanging="293"/>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31" w:lineRule="exact"/>
        <w:rPr>
          <w:sz w:val="20"/>
          <w:szCs w:val="20"/>
          <w:color w:val="auto"/>
        </w:rPr>
      </w:pPr>
    </w:p>
    <w:p>
      <w:pPr>
        <w:ind w:left="920" w:right="140" w:firstLine="397"/>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2001 and a wholly-owned subsidiary of ours.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Comcast Cable Holdings is a Delaware limited liability company (formerly known as AT&amp;T Broadband, LLC) formed in 1994.</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Cable Holdings is a wholly-owned subsidiary of Comcast Cable Communications Holdings.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31" w:lineRule="exact"/>
        <w:rPr>
          <w:sz w:val="20"/>
          <w:szCs w:val="20"/>
          <w:color w:val="auto"/>
        </w:rPr>
      </w:pPr>
    </w:p>
    <w:p>
      <w:pPr>
        <w:ind w:left="920" w:right="120" w:firstLine="397"/>
        <w:spacing w:after="0" w:line="277"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31" w:lineRule="exact"/>
        <w:rPr>
          <w:sz w:val="20"/>
          <w:szCs w:val="20"/>
          <w:color w:val="auto"/>
        </w:rPr>
      </w:pPr>
    </w:p>
    <w:p>
      <w:pPr>
        <w:ind w:left="920" w:right="400" w:firstLine="397"/>
        <w:spacing w:after="0" w:line="308" w:lineRule="auto"/>
        <w:rPr>
          <w:sz w:val="20"/>
          <w:szCs w:val="20"/>
          <w:color w:val="auto"/>
        </w:rPr>
      </w:pPr>
      <w:r>
        <w:rPr>
          <w:rFonts w:ascii="Arial" w:cs="Arial" w:eastAsia="Arial" w:hAnsi="Arial"/>
          <w:sz w:val="17"/>
          <w:szCs w:val="17"/>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17" w:lineRule="exact"/>
        <w:rPr>
          <w:sz w:val="20"/>
          <w:szCs w:val="20"/>
          <w:color w:val="auto"/>
        </w:rPr>
      </w:pPr>
    </w:p>
    <w:p>
      <w:pPr>
        <w:ind w:left="920" w:firstLine="397"/>
        <w:spacing w:after="0" w:line="26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ectPr>
          <w:pgSz w:w="11900" w:h="16838" w:orient="portrait"/>
          <w:cols w:equalWidth="0" w:num="1">
            <w:col w:w="10600"/>
          </w:cols>
          <w:pgMar w:left="240" w:top="41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1080" w:right="2300" w:firstLine="1916"/>
        <w:spacing w:after="0" w:line="393"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1400" w:right="16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17" w:lineRule="exact"/>
        <w:rPr>
          <w:rFonts w:ascii="Arial" w:cs="Arial" w:eastAsia="Arial" w:hAnsi="Arial"/>
          <w:sz w:val="18"/>
          <w:szCs w:val="18"/>
          <w:color w:val="auto"/>
        </w:rPr>
      </w:pPr>
    </w:p>
    <w:p>
      <w:pPr>
        <w:ind w:left="1400" w:right="70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62" w:lineRule="exact"/>
        <w:rPr>
          <w:rFonts w:ascii="Arial" w:cs="Arial" w:eastAsia="Arial" w:hAnsi="Arial"/>
          <w:sz w:val="18"/>
          <w:szCs w:val="18"/>
          <w:color w:val="auto"/>
        </w:rPr>
      </w:pPr>
    </w:p>
    <w:p>
      <w:pPr>
        <w:ind w:left="1400" w:right="36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62" w:lineRule="exact"/>
        <w:rPr>
          <w:rFonts w:ascii="Arial" w:cs="Arial" w:eastAsia="Arial" w:hAnsi="Arial"/>
          <w:sz w:val="18"/>
          <w:szCs w:val="18"/>
          <w:color w:val="auto"/>
        </w:rPr>
      </w:pPr>
    </w:p>
    <w:p>
      <w:pPr>
        <w:ind w:left="1400" w:right="42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17" w:lineRule="exact"/>
        <w:rPr>
          <w:rFonts w:ascii="Arial" w:cs="Arial" w:eastAsia="Arial" w:hAnsi="Arial"/>
          <w:sz w:val="18"/>
          <w:szCs w:val="18"/>
          <w:color w:val="auto"/>
        </w:rPr>
      </w:pPr>
    </w:p>
    <w:p>
      <w:pPr>
        <w:ind w:left="1400" w:right="22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6" w:lineRule="exact"/>
        <w:rPr>
          <w:sz w:val="20"/>
          <w:szCs w:val="20"/>
          <w:color w:val="auto"/>
        </w:rPr>
      </w:pPr>
    </w:p>
    <w:p>
      <w:pPr>
        <w:ind w:left="700" w:right="80" w:firstLine="397"/>
        <w:spacing w:after="0" w:line="285"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 1A — Risk Factors” in our Annual Report on Form 10-K for the year ended December 31, 2005 incorporated herein by reference.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Those factors may cause our actual results to differ materially from any of our forward-looking statements.</w:t>
      </w:r>
    </w:p>
    <w:p>
      <w:pPr>
        <w:spacing w:after="0" w:line="32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43" w:lineRule="exact"/>
        <w:rPr>
          <w:sz w:val="20"/>
          <w:szCs w:val="20"/>
          <w:color w:val="auto"/>
        </w:rPr>
      </w:pPr>
    </w:p>
    <w:p>
      <w:pPr>
        <w:jc w:val="right"/>
        <w:ind w:left="1080" w:right="3040"/>
        <w:spacing w:after="0" w:line="396"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Our ratio of earnings to fixed charges was as follows for the respective periods indicated:</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4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2002</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2001</w:t>
            </w:r>
          </w:p>
        </w:tc>
      </w:tr>
      <w:tr>
        <w:trPr>
          <w:trHeight w:val="244"/>
        </w:trPr>
        <w:tc>
          <w:tcPr>
            <w:tcW w:w="4660" w:type="dxa"/>
            <w:vAlign w:val="bottom"/>
          </w:tcPr>
          <w:p>
            <w:pPr>
              <w:spacing w:after="0"/>
              <w:rPr>
                <w:sz w:val="20"/>
                <w:szCs w:val="20"/>
                <w:color w:val="auto"/>
              </w:rPr>
            </w:pPr>
            <w:r>
              <w:rPr>
                <w:rFonts w:ascii="Arial" w:cs="Arial" w:eastAsia="Arial" w:hAnsi="Arial"/>
                <w:sz w:val="16"/>
                <w:szCs w:val="16"/>
                <w:color w:val="auto"/>
              </w:rPr>
              <w:t>2.01x</w:t>
            </w: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1.97x</w:t>
            </w:r>
          </w:p>
        </w:tc>
        <w:tc>
          <w:tcPr>
            <w:tcW w:w="22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—(1)</w:t>
            </w:r>
          </w:p>
        </w:tc>
        <w:tc>
          <w:tcPr>
            <w:tcW w:w="800" w:type="dxa"/>
            <w:vAlign w:val="bottom"/>
            <w:gridSpan w:val="2"/>
          </w:tcPr>
          <w:p>
            <w:pPr>
              <w:ind w:left="320"/>
              <w:spacing w:after="0"/>
              <w:rPr>
                <w:sz w:val="20"/>
                <w:szCs w:val="20"/>
                <w:color w:val="auto"/>
              </w:rPr>
            </w:pPr>
            <w:r>
              <w:rPr>
                <w:rFonts w:ascii="Arial" w:cs="Arial" w:eastAsia="Arial" w:hAnsi="Arial"/>
                <w:sz w:val="16"/>
                <w:szCs w:val="16"/>
                <w:color w:val="auto"/>
              </w:rPr>
              <w:t>—(1)</w:t>
            </w:r>
          </w:p>
        </w:tc>
        <w:tc>
          <w:tcPr>
            <w:tcW w:w="580" w:type="dxa"/>
            <w:vAlign w:val="bottom"/>
          </w:tcPr>
          <w:p>
            <w:pPr>
              <w:jc w:val="right"/>
              <w:spacing w:after="0"/>
              <w:rPr>
                <w:sz w:val="20"/>
                <w:szCs w:val="20"/>
                <w:color w:val="auto"/>
              </w:rPr>
            </w:pPr>
            <w:r>
              <w:rPr>
                <w:rFonts w:ascii="Arial" w:cs="Arial" w:eastAsia="Arial" w:hAnsi="Arial"/>
                <w:sz w:val="16"/>
                <w:szCs w:val="16"/>
                <w:color w:val="auto"/>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1380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8" w:lineRule="exact"/>
        <w:rPr>
          <w:sz w:val="20"/>
          <w:szCs w:val="20"/>
          <w:color w:val="auto"/>
        </w:rPr>
      </w:pPr>
    </w:p>
    <w:p>
      <w:pPr>
        <w:ind w:left="1100" w:right="220" w:hanging="407"/>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fixed charges.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investees for which charges arising from guarantees are included in fixed charges and (2) subtracting (i) interest capitalized,</w:t>
      </w:r>
    </w:p>
    <w:p>
      <w:pPr>
        <w:spacing w:after="0" w:line="23" w:lineRule="exact"/>
        <w:rPr>
          <w:sz w:val="20"/>
          <w:szCs w:val="20"/>
          <w:color w:val="auto"/>
        </w:rPr>
      </w:pPr>
    </w:p>
    <w:p>
      <w:pPr>
        <w:ind w:left="700" w:right="60" w:hanging="7"/>
        <w:spacing w:after="0" w:line="253" w:lineRule="auto"/>
        <w:tabs>
          <w:tab w:leader="none" w:pos="9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0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PREFERRED DIVIDENDS</w:t>
      </w:r>
    </w:p>
    <w:p>
      <w:pPr>
        <w:spacing w:after="0" w:line="121"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92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w w:val="83"/>
              </w:rPr>
              <w:t>2005</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2004</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2003</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2002</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2001</w:t>
            </w:r>
          </w:p>
        </w:tc>
      </w:tr>
      <w:tr>
        <w:trPr>
          <w:trHeight w:val="264"/>
        </w:trPr>
        <w:tc>
          <w:tcPr>
            <w:tcW w:w="92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color w:val="auto"/>
              </w:rPr>
              <w:t>2.01x</w:t>
            </w:r>
          </w:p>
        </w:tc>
        <w:tc>
          <w:tcPr>
            <w:tcW w:w="164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166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68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13804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2" w:lineRule="exact"/>
        <w:rPr>
          <w:sz w:val="20"/>
          <w:szCs w:val="20"/>
          <w:color w:val="auto"/>
        </w:rPr>
      </w:pPr>
    </w:p>
    <w:p>
      <w:pPr>
        <w:ind w:left="1100" w:right="240" w:hanging="407"/>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6"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w:t>
      </w:r>
    </w:p>
    <w:p>
      <w:pPr>
        <w:spacing w:after="0" w:line="76" w:lineRule="exact"/>
        <w:rPr>
          <w:sz w:val="20"/>
          <w:szCs w:val="20"/>
          <w:color w:val="auto"/>
        </w:rPr>
      </w:pPr>
    </w:p>
    <w:p>
      <w:pPr>
        <w:ind w:left="1400" w:right="240" w:hanging="302"/>
        <w:spacing w:after="0" w:line="342" w:lineRule="auto"/>
        <w:tabs>
          <w:tab w:leader="none" w:pos="1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15" w:lineRule="exact"/>
        <w:rPr>
          <w:rFonts w:ascii="Arial" w:cs="Arial" w:eastAsia="Arial" w:hAnsi="Arial"/>
          <w:sz w:val="16"/>
          <w:szCs w:val="16"/>
          <w:color w:val="auto"/>
        </w:rPr>
      </w:pPr>
    </w:p>
    <w:p>
      <w:pPr>
        <w:ind w:left="1400" w:hanging="302"/>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6"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99"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00" w:right="100" w:hanging="302"/>
        <w:spacing w:after="0" w:line="264"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17" w:lineRule="exact"/>
        <w:rPr>
          <w:rFonts w:ascii="Arial" w:cs="Arial" w:eastAsia="Arial" w:hAnsi="Arial"/>
          <w:sz w:val="18"/>
          <w:szCs w:val="18"/>
          <w:color w:val="auto"/>
        </w:rPr>
      </w:pPr>
    </w:p>
    <w:p>
      <w:pPr>
        <w:ind w:left="1400" w:right="42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62" w:lineRule="exact"/>
        <w:rPr>
          <w:rFonts w:ascii="Arial" w:cs="Arial" w:eastAsia="Arial" w:hAnsi="Arial"/>
          <w:sz w:val="18"/>
          <w:szCs w:val="18"/>
          <w:color w:val="auto"/>
        </w:rPr>
      </w:pPr>
    </w:p>
    <w:p>
      <w:pPr>
        <w:ind w:left="1400" w:right="40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2" w:lineRule="exact"/>
        <w:rPr>
          <w:rFonts w:ascii="Arial" w:cs="Arial" w:eastAsia="Arial" w:hAnsi="Arial"/>
          <w:sz w:val="18"/>
          <w:szCs w:val="18"/>
          <w:color w:val="auto"/>
        </w:rPr>
      </w:pPr>
    </w:p>
    <w:p>
      <w:pPr>
        <w:ind w:left="1400" w:right="52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2" w:lineRule="exact"/>
        <w:rPr>
          <w:rFonts w:ascii="Arial" w:cs="Arial" w:eastAsia="Arial" w:hAnsi="Arial"/>
          <w:sz w:val="18"/>
          <w:szCs w:val="18"/>
          <w:color w:val="auto"/>
        </w:rPr>
      </w:pPr>
    </w:p>
    <w:p>
      <w:pPr>
        <w:ind w:left="1400" w:right="360" w:hanging="302"/>
        <w:spacing w:after="0" w:line="277"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17" w:lineRule="exact"/>
        <w:rPr>
          <w:rFonts w:ascii="Arial" w:cs="Arial" w:eastAsia="Arial" w:hAnsi="Arial"/>
          <w:sz w:val="18"/>
          <w:szCs w:val="18"/>
          <w:color w:val="auto"/>
        </w:rPr>
      </w:pPr>
    </w:p>
    <w:p>
      <w:pPr>
        <w:ind w:left="1400" w:right="180" w:hanging="302"/>
        <w:spacing w:after="0" w:line="308" w:lineRule="auto"/>
        <w:tabs>
          <w:tab w:leader="none" w:pos="1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52"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5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40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31"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7"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i w:val="1"/>
          <w:iCs w:val="1"/>
          <w:color w:val="auto"/>
        </w:rPr>
        <w:t xml:space="preserve">Limitation on Liens Securing Indebtedness. </w:t>
      </w:r>
      <w:r>
        <w:rPr>
          <w:rFonts w:ascii="Arial" w:cs="Arial" w:eastAsia="Arial" w:hAnsi="Arial"/>
          <w:sz w:val="16"/>
          <w:szCs w:val="16"/>
          <w:color w:val="auto"/>
        </w:rPr>
        <w:t>Neither we nor any cable guarantor shall create, incur or assume any Lien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any Permitted Lien) on 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60"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i w:val="1"/>
          <w:iCs w:val="1"/>
          <w:color w:val="auto"/>
        </w:rPr>
        <w:t xml:space="preserve">Limitation on Sale and Leaseback Transactions. </w:t>
      </w:r>
      <w:r>
        <w:rPr>
          <w:rFonts w:ascii="Arial" w:cs="Arial" w:eastAsia="Arial" w:hAnsi="Arial"/>
          <w:sz w:val="16"/>
          <w:szCs w:val="16"/>
          <w:color w:val="auto"/>
        </w:rPr>
        <w:t>Neither we nor any cable guarantor shall enter into any Sale and Leaseback</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any of such person’s assets, including the Capital Stock of such person’s wholly-owned subsidiaries.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31" w:lineRule="exact"/>
        <w:rPr>
          <w:sz w:val="20"/>
          <w:szCs w:val="20"/>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the applicable cable guarantor, within 270 days after the sale is completed, applies an amount equal to or greater than</w:t>
      </w:r>
    </w:p>
    <w:p>
      <w:pPr>
        <w:spacing w:after="0" w:line="46" w:lineRule="exact"/>
        <w:rPr>
          <w:rFonts w:ascii="Arial" w:cs="Arial" w:eastAsia="Arial" w:hAnsi="Arial"/>
          <w:sz w:val="16"/>
          <w:szCs w:val="16"/>
          <w:color w:val="auto"/>
        </w:rPr>
      </w:pPr>
    </w:p>
    <w:p>
      <w:pPr>
        <w:ind w:left="1400" w:right="20"/>
        <w:spacing w:after="0" w:line="261" w:lineRule="auto"/>
        <w:rPr>
          <w:rFonts w:ascii="Arial" w:cs="Arial" w:eastAsia="Arial" w:hAnsi="Arial"/>
          <w:sz w:val="16"/>
          <w:szCs w:val="16"/>
          <w:color w:val="auto"/>
        </w:rPr>
      </w:pPr>
      <w:r>
        <w:rPr>
          <w:rFonts w:ascii="Arial" w:cs="Arial" w:eastAsia="Arial" w:hAnsi="Arial"/>
          <w:sz w:val="18"/>
          <w:szCs w:val="18"/>
          <w:color w:val="auto"/>
        </w:rPr>
        <w:t>(a) the net proceeds of the sale of the assets or part thereof leased or (b) the fair market value of the assets or part thereof leased (as determined in good faith by our Board of Directors) either to:</w:t>
      </w:r>
    </w:p>
    <w:p>
      <w:pPr>
        <w:spacing w:after="0" w:line="89" w:lineRule="exact"/>
        <w:rPr>
          <w:sz w:val="20"/>
          <w:szCs w:val="20"/>
          <w:color w:val="auto"/>
        </w:rPr>
      </w:pPr>
    </w:p>
    <w:p>
      <w:pPr>
        <w:ind w:left="1780" w:right="220" w:hanging="385"/>
        <w:spacing w:after="0" w:line="251" w:lineRule="auto"/>
        <w:tabs>
          <w:tab w:leader="none" w:pos="1780"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retirement (or open market purchase) of senior debt securities, our other long-term Indebtedness ranking on a parity with or senior to the senior debt securities or long-term Indebtedness of a cable guarantor; or</w:t>
      </w:r>
    </w:p>
    <w:p>
      <w:pPr>
        <w:spacing w:after="0" w:line="83" w:lineRule="exact"/>
        <w:rPr>
          <w:rFonts w:ascii="Arial" w:cs="Arial" w:eastAsia="Arial" w:hAnsi="Arial"/>
          <w:sz w:val="21"/>
          <w:szCs w:val="21"/>
          <w:color w:val="auto"/>
        </w:rPr>
      </w:pPr>
    </w:p>
    <w:p>
      <w:pPr>
        <w:ind w:left="1780" w:right="140" w:hanging="385"/>
        <w:spacing w:after="0" w:line="251" w:lineRule="auto"/>
        <w:tabs>
          <w:tab w:leader="none" w:pos="1780"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97"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314" w:lineRule="auto"/>
        <w:rPr>
          <w:sz w:val="20"/>
          <w:szCs w:val="20"/>
          <w:color w:val="auto"/>
        </w:rPr>
      </w:pPr>
      <w:r>
        <w:rPr>
          <w:rFonts w:ascii="Arial" w:cs="Arial" w:eastAsia="Arial" w:hAnsi="Arial"/>
          <w:sz w:val="16"/>
          <w:szCs w:val="16"/>
          <w:b w:val="1"/>
          <w:bCs w:val="1"/>
          <w:color w:val="auto"/>
        </w:rPr>
        <w:t xml:space="preserve">“Capitalized Lease” </w:t>
      </w:r>
      <w:r>
        <w:rPr>
          <w:rFonts w:ascii="Arial" w:cs="Arial" w:eastAsia="Arial" w:hAnsi="Arial"/>
          <w:sz w:val="16"/>
          <w:szCs w:val="16"/>
          <w:color w:val="auto"/>
        </w:rPr>
        <w:t>means, as applied to any person, any lease of any property (whether real, personal, or mixed) of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48"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means, with respect to any person, any and all shares, interests, participations, or other equivalents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whether voting or nonvoting) of such person’s capital stock or other ownership interests, whether outstanding as of, or issued after, the date of the senior indenture, including, without limitation, all common stock and preferred stock.</w:t>
      </w:r>
    </w:p>
    <w:p>
      <w:pPr>
        <w:spacing w:after="0" w:line="64" w:lineRule="exact"/>
        <w:rPr>
          <w:sz w:val="20"/>
          <w:szCs w:val="20"/>
          <w:color w:val="auto"/>
        </w:rPr>
      </w:pPr>
    </w:p>
    <w:p>
      <w:pPr>
        <w:ind w:left="700" w:right="880" w:firstLine="397"/>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designed to protect against the fluctuation in currency values.</w:t>
      </w:r>
    </w:p>
    <w:p>
      <w:pPr>
        <w:spacing w:after="0" w:line="67" w:lineRule="exact"/>
        <w:rPr>
          <w:sz w:val="20"/>
          <w:szCs w:val="20"/>
          <w:color w:val="auto"/>
        </w:rPr>
      </w:pPr>
    </w:p>
    <w:p>
      <w:pPr>
        <w:ind w:left="700" w:right="40" w:firstLine="397"/>
        <w:spacing w:after="0" w:line="298"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generally accepted accounting principles in the United States of America as in effect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60" w:lineRule="exact"/>
        <w:rPr>
          <w:sz w:val="20"/>
          <w:szCs w:val="20"/>
          <w:color w:val="auto"/>
        </w:rPr>
      </w:pPr>
    </w:p>
    <w:p>
      <w:pPr>
        <w:jc w:val="both"/>
        <w:ind w:left="700" w:right="80" w:firstLine="397"/>
        <w:spacing w:after="0" w:line="266" w:lineRule="auto"/>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any obligation, contingent or otherwise, of any person directly or indirectly guaranteeing any Indebtedness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 of any other person and, without limiting the generality of the foregoing, any obligation, direct or indirect, contingent or otherwise, of such person:</w:t>
      </w:r>
    </w:p>
    <w:p>
      <w:pPr>
        <w:spacing w:after="0" w:line="86" w:lineRule="exact"/>
        <w:rPr>
          <w:sz w:val="20"/>
          <w:szCs w:val="20"/>
          <w:color w:val="auto"/>
        </w:rPr>
      </w:pPr>
    </w:p>
    <w:p>
      <w:pPr>
        <w:jc w:val="both"/>
        <w:ind w:left="1400" w:right="220" w:hanging="302"/>
        <w:spacing w:after="0" w:line="286" w:lineRule="auto"/>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7" w:lineRule="exact"/>
        <w:rPr>
          <w:rFonts w:ascii="Arial" w:cs="Arial" w:eastAsia="Arial" w:hAnsi="Arial"/>
          <w:sz w:val="17"/>
          <w:szCs w:val="17"/>
          <w:color w:val="auto"/>
        </w:rPr>
      </w:pPr>
    </w:p>
    <w:p>
      <w:pPr>
        <w:ind w:left="1400" w:right="200" w:hanging="302"/>
        <w:spacing w:after="0" w:line="277" w:lineRule="auto"/>
        <w:tabs>
          <w:tab w:leader="none" w:pos="1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6"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35" w:lineRule="exact"/>
        <w:rPr>
          <w:sz w:val="20"/>
          <w:szCs w:val="20"/>
          <w:color w:val="auto"/>
        </w:rPr>
      </w:pPr>
    </w:p>
    <w:p>
      <w:pPr>
        <w:ind w:left="1400" w:hanging="302"/>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17" w:lineRule="exact"/>
        <w:rPr>
          <w:rFonts w:ascii="Arial" w:cs="Arial" w:eastAsia="Arial" w:hAnsi="Arial"/>
          <w:sz w:val="18"/>
          <w:szCs w:val="18"/>
          <w:color w:val="auto"/>
        </w:rPr>
      </w:pPr>
    </w:p>
    <w:p>
      <w:pPr>
        <w:ind w:left="1400" w:right="240" w:hanging="302"/>
        <w:spacing w:after="0" w:line="277"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obligations of such person in respect of letters of credit or other similar instruments (including reimbursement obligations with respect thereto);</w:t>
      </w:r>
    </w:p>
    <w:p>
      <w:pPr>
        <w:spacing w:after="0" w:line="62" w:lineRule="exact"/>
        <w:rPr>
          <w:rFonts w:ascii="Arial" w:cs="Arial" w:eastAsia="Arial" w:hAnsi="Arial"/>
          <w:sz w:val="18"/>
          <w:szCs w:val="18"/>
          <w:color w:val="auto"/>
        </w:rPr>
      </w:pPr>
    </w:p>
    <w:p>
      <w:pPr>
        <w:ind w:left="1400" w:right="620" w:hanging="302"/>
        <w:spacing w:after="0" w:line="277"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3" w:lineRule="exact"/>
        <w:rPr>
          <w:sz w:val="20"/>
          <w:szCs w:val="20"/>
          <w:color w:val="auto"/>
        </w:rPr>
      </w:pPr>
    </w:p>
    <w:p>
      <w:pPr>
        <w:ind w:left="1780" w:hanging="385"/>
        <w:spacing w:after="0"/>
        <w:tabs>
          <w:tab w:leader="none" w:pos="17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fair market value of such asset at such date of determination; and</w:t>
      </w:r>
    </w:p>
    <w:p>
      <w:pPr>
        <w:spacing w:after="0" w:line="112" w:lineRule="exact"/>
        <w:rPr>
          <w:sz w:val="20"/>
          <w:szCs w:val="20"/>
          <w:color w:val="auto"/>
        </w:rPr>
      </w:pPr>
    </w:p>
    <w:p>
      <w:pPr>
        <w:ind w:left="2080" w:hanging="293"/>
        <w:spacing w:after="0"/>
        <w:tabs>
          <w:tab w:leader="none" w:pos="2080" w:val="left"/>
        </w:tabs>
        <w:numPr>
          <w:ilvl w:val="0"/>
          <w:numId w:val="36"/>
        </w:numPr>
        <w:rPr>
          <w:rFonts w:ascii="Arial" w:cs="Arial" w:eastAsia="Arial" w:hAnsi="Arial"/>
          <w:sz w:val="22"/>
          <w:szCs w:val="22"/>
          <w:color w:val="auto"/>
        </w:rPr>
      </w:pPr>
      <w:r>
        <w:rPr>
          <w:rFonts w:ascii="Arial" w:cs="Arial" w:eastAsia="Arial" w:hAnsi="Arial"/>
          <w:sz w:val="18"/>
          <w:szCs w:val="18"/>
          <w:color w:val="auto"/>
        </w:rPr>
        <w:t>the amount of such Indebtedness;</w:t>
      </w:r>
    </w:p>
    <w:p>
      <w:pPr>
        <w:spacing w:after="0" w:line="134" w:lineRule="exact"/>
        <w:rPr>
          <w:sz w:val="20"/>
          <w:szCs w:val="20"/>
          <w:color w:val="auto"/>
        </w:rPr>
      </w:pPr>
    </w:p>
    <w:p>
      <w:pPr>
        <w:ind w:left="2080" w:hanging="293"/>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30" w:lineRule="exact"/>
        <w:rPr>
          <w:rFonts w:ascii="Arial" w:cs="Arial" w:eastAsia="Arial" w:hAnsi="Arial"/>
          <w:sz w:val="18"/>
          <w:szCs w:val="18"/>
          <w:color w:val="auto"/>
        </w:rPr>
      </w:pPr>
    </w:p>
    <w:p>
      <w:pPr>
        <w:ind w:left="1400" w:hanging="302"/>
        <w:spacing w:after="0"/>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obligations under Currency Agreements and Interest Rate Agreements.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87" w:lineRule="exact"/>
        <w:rPr>
          <w:sz w:val="20"/>
          <w:szCs w:val="20"/>
          <w:color w:val="auto"/>
        </w:rPr>
      </w:pPr>
    </w:p>
    <w:p>
      <w:pPr>
        <w:ind w:left="1400" w:right="400" w:hanging="302"/>
        <w:spacing w:after="0" w:line="264" w:lineRule="auto"/>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27" w:lineRule="exact"/>
        <w:rPr>
          <w:sz w:val="20"/>
          <w:szCs w:val="20"/>
          <w:color w:val="auto"/>
        </w:rPr>
      </w:pPr>
    </w:p>
    <w:p>
      <w:pPr>
        <w:ind w:left="700" w:right="100" w:firstLine="397"/>
        <w:spacing w:after="0" w:line="292"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67" w:lineRule="exact"/>
        <w:rPr>
          <w:sz w:val="20"/>
          <w:szCs w:val="20"/>
          <w:color w:val="auto"/>
        </w:rPr>
      </w:pPr>
    </w:p>
    <w:p>
      <w:pPr>
        <w:ind w:left="700" w:firstLine="397"/>
        <w:spacing w:after="0" w:line="303" w:lineRule="auto"/>
        <w:rPr>
          <w:sz w:val="20"/>
          <w:szCs w:val="20"/>
          <w:color w:val="auto"/>
        </w:rPr>
      </w:pPr>
      <w:r>
        <w:rPr>
          <w:rFonts w:ascii="Arial" w:cs="Arial" w:eastAsia="Arial" w:hAnsi="Arial"/>
          <w:sz w:val="16"/>
          <w:szCs w:val="16"/>
          <w:b w:val="1"/>
          <w:bCs w:val="1"/>
          <w:color w:val="auto"/>
        </w:rPr>
        <w:t xml:space="preserve">“Lien” </w:t>
      </w:r>
      <w:r>
        <w:rPr>
          <w:rFonts w:ascii="Arial" w:cs="Arial" w:eastAsia="Arial" w:hAnsi="Arial"/>
          <w:sz w:val="16"/>
          <w:szCs w:val="16"/>
          <w:color w:val="auto"/>
        </w:rPr>
        <w:t>means, with respect to any asset, any mortgage, lien, pledge, charge, security interest or encumbrance of any kind,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35" w:lineRule="exact"/>
        <w:rPr>
          <w:sz w:val="20"/>
          <w:szCs w:val="20"/>
          <w:color w:val="auto"/>
        </w:rPr>
      </w:pPr>
    </w:p>
    <w:p>
      <w:pPr>
        <w:ind w:left="1400" w:hanging="302"/>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17" w:lineRule="exact"/>
        <w:rPr>
          <w:rFonts w:ascii="Arial" w:cs="Arial" w:eastAsia="Arial" w:hAnsi="Arial"/>
          <w:sz w:val="18"/>
          <w:szCs w:val="18"/>
          <w:color w:val="auto"/>
        </w:rPr>
      </w:pPr>
    </w:p>
    <w:p>
      <w:pPr>
        <w:ind w:left="1400" w:right="120" w:hanging="302"/>
        <w:spacing w:after="0" w:line="276" w:lineRule="auto"/>
        <w:tabs>
          <w:tab w:leader="none" w:pos="1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4" w:lineRule="exact"/>
        <w:rPr>
          <w:rFonts w:ascii="Arial" w:cs="Arial" w:eastAsia="Arial" w:hAnsi="Arial"/>
          <w:sz w:val="17"/>
          <w:szCs w:val="17"/>
          <w:color w:val="auto"/>
        </w:rPr>
      </w:pPr>
    </w:p>
    <w:p>
      <w:pPr>
        <w:ind w:left="1400" w:hanging="302"/>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17" w:lineRule="exact"/>
        <w:rPr>
          <w:rFonts w:ascii="Arial" w:cs="Arial" w:eastAsia="Arial" w:hAnsi="Arial"/>
          <w:sz w:val="18"/>
          <w:szCs w:val="18"/>
          <w:color w:val="auto"/>
        </w:rPr>
      </w:pPr>
    </w:p>
    <w:p>
      <w:pPr>
        <w:ind w:left="1400" w:right="560" w:hanging="302"/>
        <w:spacing w:after="0" w:line="277"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62" w:lineRule="exact"/>
        <w:rPr>
          <w:rFonts w:ascii="Arial" w:cs="Arial" w:eastAsia="Arial" w:hAnsi="Arial"/>
          <w:sz w:val="18"/>
          <w:szCs w:val="18"/>
          <w:color w:val="auto"/>
        </w:rPr>
      </w:pPr>
    </w:p>
    <w:p>
      <w:pPr>
        <w:ind w:left="1400" w:right="260" w:hanging="302"/>
        <w:spacing w:after="0" w:line="277" w:lineRule="auto"/>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62" w:lineRule="exact"/>
        <w:rPr>
          <w:rFonts w:ascii="Arial" w:cs="Arial" w:eastAsia="Arial" w:hAnsi="Arial"/>
          <w:sz w:val="18"/>
          <w:szCs w:val="18"/>
          <w:color w:val="auto"/>
        </w:rPr>
      </w:pPr>
    </w:p>
    <w:p>
      <w:pPr>
        <w:jc w:val="both"/>
        <w:ind w:left="1400" w:right="580" w:hanging="302"/>
        <w:spacing w:after="0" w:line="312" w:lineRule="auto"/>
        <w:tabs>
          <w:tab w:leader="none" w:pos="14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48"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providing for the leasing to us or a cable guarantor of any property, whether owned by us or such cable guarantor at the date of the original issuance of the debt securities or later acquired,</w:t>
      </w: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the 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94"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The senior indenture restricts our ability to consolidate with, merge with or into, or sell,</w:t>
      </w:r>
      <w:r>
        <w:rPr>
          <w:rFonts w:ascii="Arial" w:cs="Arial" w:eastAsia="Arial" w:hAnsi="Arial"/>
          <w:sz w:val="17"/>
          <w:szCs w:val="17"/>
          <w:i w:val="1"/>
          <w:iCs w:val="1"/>
          <w:color w:val="auto"/>
        </w:rPr>
        <w:t xml:space="preserve"> </w:t>
      </w:r>
      <w:r>
        <w:rPr>
          <w:rFonts w:ascii="Arial" w:cs="Arial" w:eastAsia="Arial" w:hAnsi="Arial"/>
          <w:sz w:val="17"/>
          <w:szCs w:val="17"/>
          <w:color w:val="auto"/>
        </w:rPr>
        <w:t>convey, transfer, lease, or 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78" w:lineRule="exact"/>
        <w:rPr>
          <w:sz w:val="20"/>
          <w:szCs w:val="20"/>
          <w:color w:val="auto"/>
        </w:rPr>
      </w:pPr>
    </w:p>
    <w:p>
      <w:pPr>
        <w:ind w:left="1400" w:right="180" w:hanging="302"/>
        <w:spacing w:after="0" w:line="302" w:lineRule="auto"/>
        <w:tabs>
          <w:tab w:leader="none" w:pos="1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46" w:lineRule="exact"/>
        <w:rPr>
          <w:rFonts w:ascii="Arial" w:cs="Arial" w:eastAsia="Arial" w:hAnsi="Arial"/>
          <w:sz w:val="16"/>
          <w:szCs w:val="16"/>
          <w:color w:val="auto"/>
        </w:rPr>
      </w:pPr>
    </w:p>
    <w:p>
      <w:pPr>
        <w:ind w:left="1400" w:hanging="302"/>
        <w:spacing w:after="0"/>
        <w:tabs>
          <w:tab w:leader="none" w:pos="1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140" w:lineRule="exact"/>
        <w:rPr>
          <w:rFonts w:ascii="Arial" w:cs="Arial" w:eastAsia="Arial" w:hAnsi="Arial"/>
          <w:sz w:val="16"/>
          <w:szCs w:val="16"/>
          <w:color w:val="auto"/>
        </w:rPr>
      </w:pPr>
    </w:p>
    <w:p>
      <w:pPr>
        <w:ind w:left="1400" w:right="160" w:hanging="302"/>
        <w:spacing w:after="0" w:line="286" w:lineRule="auto"/>
        <w:tabs>
          <w:tab w:leader="none" w:pos="14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w:t>
      </w:r>
      <w:r>
        <w:rPr>
          <w:rFonts w:ascii="Arial" w:cs="Arial" w:eastAsia="Arial" w:hAnsi="Arial"/>
          <w:sz w:val="18"/>
          <w:szCs w:val="18"/>
          <w:i w:val="1"/>
          <w:iCs w:val="1"/>
          <w:color w:val="auto"/>
        </w:rPr>
        <w:t xml:space="preserve"> </w:t>
      </w:r>
      <w:r>
        <w:rPr>
          <w:rFonts w:ascii="Arial" w:cs="Arial" w:eastAsia="Arial" w:hAnsi="Arial"/>
          <w:sz w:val="18"/>
          <w:szCs w:val="18"/>
          <w:color w:val="auto"/>
        </w:rPr>
        <w:t>board resolution, the principal purpose of such transaction is to change our state of incorporation; and provided further that any such transaction shall not have as one of its purposes the evasion of the foregoing limitations.</w:t>
      </w:r>
    </w:p>
    <w:p>
      <w:pPr>
        <w:spacing w:after="0" w:line="87"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31" w:lineRule="exact"/>
        <w:rPr>
          <w:sz w:val="20"/>
          <w:szCs w:val="20"/>
          <w:color w:val="auto"/>
        </w:rPr>
      </w:pPr>
    </w:p>
    <w:p>
      <w:pPr>
        <w:ind w:left="700" w:right="100" w:firstLine="397"/>
        <w:spacing w:after="0" w:line="34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31" w:lineRule="exact"/>
        <w:rPr>
          <w:sz w:val="20"/>
          <w:szCs w:val="20"/>
          <w:color w:val="auto"/>
        </w:rPr>
      </w:pPr>
    </w:p>
    <w:p>
      <w:pPr>
        <w:ind w:left="700" w:right="320" w:firstLine="390"/>
        <w:spacing w:after="0" w:line="277" w:lineRule="auto"/>
        <w:tabs>
          <w:tab w:leader="none" w:pos="13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5" w:lineRule="exact"/>
        <w:rPr>
          <w:rFonts w:ascii="Arial" w:cs="Arial" w:eastAsia="Arial" w:hAnsi="Arial"/>
          <w:sz w:val="18"/>
          <w:szCs w:val="18"/>
          <w:color w:val="auto"/>
        </w:rPr>
      </w:pPr>
    </w:p>
    <w:p>
      <w:pPr>
        <w:ind w:left="700" w:right="160" w:firstLine="390"/>
        <w:spacing w:after="0" w:line="277" w:lineRule="auto"/>
        <w:tabs>
          <w:tab w:leader="none" w:pos="13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0"/>
        <w:spacing w:after="0" w:line="259" w:lineRule="auto"/>
        <w:tabs>
          <w:tab w:leader="none" w:pos="13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92" w:lineRule="exact"/>
        <w:rPr>
          <w:rFonts w:ascii="Arial" w:cs="Arial" w:eastAsia="Arial" w:hAnsi="Arial"/>
          <w:sz w:val="18"/>
          <w:szCs w:val="18"/>
          <w:color w:val="auto"/>
        </w:rPr>
      </w:pPr>
    </w:p>
    <w:p>
      <w:pPr>
        <w:ind w:left="1340" w:hanging="250"/>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30" w:lineRule="exact"/>
        <w:rPr>
          <w:rFonts w:ascii="Arial" w:cs="Arial" w:eastAsia="Arial" w:hAnsi="Arial"/>
          <w:sz w:val="18"/>
          <w:szCs w:val="18"/>
          <w:color w:val="auto"/>
        </w:rPr>
      </w:pPr>
    </w:p>
    <w:p>
      <w:pPr>
        <w:ind w:left="1340" w:hanging="250"/>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900" w:right="100" w:hanging="411"/>
        <w:spacing w:after="0" w:line="277" w:lineRule="auto"/>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62" w:lineRule="exact"/>
        <w:rPr>
          <w:rFonts w:ascii="Arial" w:cs="Arial" w:eastAsia="Arial" w:hAnsi="Arial"/>
          <w:sz w:val="18"/>
          <w:szCs w:val="18"/>
          <w:color w:val="auto"/>
        </w:rPr>
      </w:pPr>
    </w:p>
    <w:p>
      <w:pPr>
        <w:ind w:left="1900" w:right="160" w:hanging="411"/>
        <w:spacing w:after="0" w:line="277" w:lineRule="auto"/>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62" w:lineRule="exact"/>
        <w:rPr>
          <w:rFonts w:ascii="Arial" w:cs="Arial" w:eastAsia="Arial" w:hAnsi="Arial"/>
          <w:sz w:val="18"/>
          <w:szCs w:val="18"/>
          <w:color w:val="auto"/>
        </w:rPr>
      </w:pPr>
    </w:p>
    <w:p>
      <w:pPr>
        <w:ind w:left="1900" w:right="120" w:hanging="411"/>
        <w:spacing w:after="0" w:line="277" w:lineRule="auto"/>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5" w:lineRule="exact"/>
        <w:rPr>
          <w:rFonts w:ascii="Arial" w:cs="Arial" w:eastAsia="Arial" w:hAnsi="Arial"/>
          <w:sz w:val="18"/>
          <w:szCs w:val="18"/>
          <w:color w:val="auto"/>
        </w:rPr>
      </w:pPr>
    </w:p>
    <w:p>
      <w:pPr>
        <w:ind w:left="1340" w:hanging="250"/>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30" w:lineRule="exact"/>
        <w:rPr>
          <w:rFonts w:ascii="Arial" w:cs="Arial" w:eastAsia="Arial" w:hAnsi="Arial"/>
          <w:sz w:val="18"/>
          <w:szCs w:val="18"/>
          <w:color w:val="auto"/>
        </w:rPr>
      </w:pPr>
    </w:p>
    <w:p>
      <w:pPr>
        <w:ind w:left="1900" w:right="480" w:hanging="411"/>
        <w:spacing w:after="0" w:line="308" w:lineRule="auto"/>
        <w:tabs>
          <w:tab w:leader="none" w:pos="19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 or consents to the entry of an order for relief in an involuntary case under any such law;</w:t>
      </w:r>
    </w:p>
    <w:p>
      <w:pPr>
        <w:spacing w:after="0" w:line="38" w:lineRule="exact"/>
        <w:rPr>
          <w:rFonts w:ascii="Arial" w:cs="Arial" w:eastAsia="Arial" w:hAnsi="Arial"/>
          <w:sz w:val="17"/>
          <w:szCs w:val="17"/>
          <w:color w:val="auto"/>
        </w:rPr>
      </w:pPr>
    </w:p>
    <w:p>
      <w:pPr>
        <w:ind w:left="1900" w:hanging="411"/>
        <w:spacing w:after="0" w:line="277" w:lineRule="auto"/>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62" w:lineRule="exact"/>
        <w:rPr>
          <w:rFonts w:ascii="Arial" w:cs="Arial" w:eastAsia="Arial" w:hAnsi="Arial"/>
          <w:sz w:val="18"/>
          <w:szCs w:val="18"/>
          <w:color w:val="auto"/>
        </w:rPr>
      </w:pPr>
    </w:p>
    <w:p>
      <w:pPr>
        <w:ind w:left="1900" w:hanging="411"/>
        <w:spacing w:after="0"/>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83"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4"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holders of at least a majority in aggregate principal amount of an issue of senior debt securities may direct the time, method, and place of conducting any proceeding for any remedy available to the trustee or</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99" w:lineRule="exact"/>
        <w:rPr>
          <w:sz w:val="20"/>
          <w:szCs w:val="20"/>
          <w:color w:val="auto"/>
        </w:rPr>
      </w:pPr>
    </w:p>
    <w:p>
      <w:pPr>
        <w:ind w:left="1400" w:hanging="302"/>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requesting holder or holders offer the trustee indemnity satisfactory to the trustee against any costs, liability, or expense; and</w:t>
      </w:r>
    </w:p>
    <w:p>
      <w:pPr>
        <w:spacing w:after="0" w:line="140" w:lineRule="exact"/>
        <w:rPr>
          <w:rFonts w:ascii="Arial" w:cs="Arial" w:eastAsia="Arial" w:hAnsi="Arial"/>
          <w:sz w:val="16"/>
          <w:szCs w:val="16"/>
          <w:color w:val="auto"/>
        </w:rPr>
      </w:pPr>
    </w:p>
    <w:p>
      <w:pPr>
        <w:ind w:left="1400" w:hanging="302"/>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31"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2" w:lineRule="exact"/>
        <w:rPr>
          <w:sz w:val="20"/>
          <w:szCs w:val="20"/>
          <w:color w:val="auto"/>
        </w:rPr>
      </w:pPr>
    </w:p>
    <w:p>
      <w:pPr>
        <w:ind w:left="1400" w:right="540" w:hanging="302"/>
        <w:spacing w:after="0" w:line="342" w:lineRule="auto"/>
        <w:tabs>
          <w:tab w:leader="none" w:pos="14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 w:lineRule="exact"/>
        <w:rPr>
          <w:rFonts w:ascii="Arial" w:cs="Arial" w:eastAsia="Arial" w:hAnsi="Arial"/>
          <w:sz w:val="16"/>
          <w:szCs w:val="16"/>
          <w:color w:val="auto"/>
        </w:rPr>
      </w:pPr>
    </w:p>
    <w:p>
      <w:pPr>
        <w:ind w:left="1400" w:right="100" w:hanging="302"/>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6" w:lineRule="exact"/>
        <w:rPr>
          <w:sz w:val="20"/>
          <w:szCs w:val="20"/>
          <w:color w:val="auto"/>
        </w:rPr>
      </w:pPr>
    </w:p>
    <w:p>
      <w:pPr>
        <w:ind w:left="1780" w:right="20" w:hanging="385"/>
        <w:spacing w:after="0" w:line="262" w:lineRule="auto"/>
        <w:tabs>
          <w:tab w:leader="none" w:pos="1780" w:val="left"/>
        </w:tabs>
        <w:numPr>
          <w:ilvl w:val="0"/>
          <w:numId w:val="45"/>
        </w:numPr>
        <w:rPr>
          <w:rFonts w:ascii="Arial" w:cs="Arial" w:eastAsia="Arial" w:hAnsi="Arial"/>
          <w:sz w:val="21"/>
          <w:szCs w:val="21"/>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0" w:lineRule="exact"/>
        <w:rPr>
          <w:sz w:val="20"/>
          <w:szCs w:val="20"/>
          <w:color w:val="auto"/>
        </w:rPr>
      </w:pPr>
    </w:p>
    <w:p>
      <w:pPr>
        <w:ind w:left="2080" w:right="260" w:hanging="293"/>
        <w:spacing w:after="0" w:line="256" w:lineRule="auto"/>
        <w:tabs>
          <w:tab w:leader="none" w:pos="2080" w:val="left"/>
        </w:tabs>
        <w:numPr>
          <w:ilvl w:val="0"/>
          <w:numId w:val="46"/>
        </w:numPr>
        <w:rPr>
          <w:rFonts w:ascii="Arial" w:cs="Arial" w:eastAsia="Arial" w:hAnsi="Arial"/>
          <w:sz w:val="21"/>
          <w:szCs w:val="21"/>
          <w:color w:val="auto"/>
        </w:rPr>
      </w:pPr>
      <w:r>
        <w:rPr>
          <w:rFonts w:ascii="Arial" w:cs="Arial" w:eastAsia="Arial" w:hAnsi="Arial"/>
          <w:sz w:val="17"/>
          <w:szCs w:val="17"/>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5" w:lineRule="exact"/>
        <w:rPr>
          <w:sz w:val="20"/>
          <w:szCs w:val="20"/>
          <w:color w:val="auto"/>
        </w:rPr>
      </w:pPr>
    </w:p>
    <w:p>
      <w:pPr>
        <w:ind w:left="1380" w:right="60" w:firstLine="369"/>
        <w:spacing w:after="0" w:line="277" w:lineRule="auto"/>
        <w:rPr>
          <w:sz w:val="20"/>
          <w:szCs w:val="20"/>
          <w:color w:val="auto"/>
        </w:rPr>
      </w:pPr>
      <w:r>
        <w:rPr>
          <w:rFonts w:ascii="Arial" w:cs="Arial" w:eastAsia="Arial" w:hAnsi="Arial"/>
          <w:sz w:val="18"/>
          <w:szCs w:val="18"/>
          <w:color w:val="auto"/>
        </w:rPr>
        <w:t>With respect to all senior debt securities which have been delivered to the trustee for cancellation and for which have been paid all sums payable by us under the senior indenture, only our obligations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80" w:right="40"/>
        <w:spacing w:after="0" w:line="289" w:lineRule="auto"/>
        <w:rPr>
          <w:sz w:val="20"/>
          <w:szCs w:val="20"/>
          <w:color w:val="auto"/>
        </w:rPr>
      </w:pPr>
      <w:r>
        <w:rPr>
          <w:rFonts w:ascii="Arial" w:cs="Arial" w:eastAsia="Arial" w:hAnsi="Arial"/>
          <w:sz w:val="16"/>
          <w:szCs w:val="16"/>
          <w:color w:val="auto"/>
        </w:rPr>
        <w:t>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31" w:lineRule="exact"/>
        <w:rPr>
          <w:sz w:val="20"/>
          <w:szCs w:val="20"/>
          <w:color w:val="auto"/>
        </w:rPr>
      </w:pPr>
    </w:p>
    <w:p>
      <w:pPr>
        <w:ind w:left="2080" w:right="120" w:hanging="293"/>
        <w:spacing w:after="0" w:line="264"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86" w:lineRule="exact"/>
        <w:rPr>
          <w:rFonts w:ascii="Arial" w:cs="Arial" w:eastAsia="Arial" w:hAnsi="Arial"/>
          <w:sz w:val="18"/>
          <w:szCs w:val="18"/>
          <w:color w:val="auto"/>
        </w:rPr>
      </w:pPr>
    </w:p>
    <w:p>
      <w:pPr>
        <w:ind w:left="1400" w:right="60" w:hanging="302"/>
        <w:spacing w:after="0" w:line="264"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 Events of Default” with respect to that series of senior debt securities (“covenant defeasance”);</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31" w:lineRule="exact"/>
        <w:rPr>
          <w:sz w:val="20"/>
          <w:szCs w:val="20"/>
          <w:color w:val="auto"/>
        </w:rPr>
      </w:pPr>
    </w:p>
    <w:p>
      <w:pPr>
        <w:ind w:left="1400" w:right="80" w:hanging="302"/>
        <w:spacing w:after="0" w:line="254"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84" w:lineRule="exact"/>
        <w:rPr>
          <w:rFonts w:ascii="Arial" w:cs="Arial" w:eastAsia="Arial" w:hAnsi="Arial"/>
          <w:sz w:val="18"/>
          <w:szCs w:val="18"/>
          <w:color w:val="auto"/>
        </w:rPr>
      </w:pPr>
    </w:p>
    <w:p>
      <w:pPr>
        <w:ind w:left="1400" w:hanging="302"/>
        <w:spacing w:after="0" w:line="277"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62"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31" w:lineRule="exact"/>
        <w:rPr>
          <w:sz w:val="20"/>
          <w:szCs w:val="20"/>
          <w:color w:val="auto"/>
        </w:rPr>
      </w:pPr>
    </w:p>
    <w:p>
      <w:pPr>
        <w:ind w:left="1780" w:right="20" w:hanging="385"/>
        <w:spacing w:after="0" w:line="245" w:lineRule="auto"/>
        <w:tabs>
          <w:tab w:leader="none" w:pos="1780" w:val="left"/>
        </w:tabs>
        <w:numPr>
          <w:ilvl w:val="0"/>
          <w:numId w:val="49"/>
        </w:numPr>
        <w:rPr>
          <w:rFonts w:ascii="Arial" w:cs="Arial" w:eastAsia="Arial" w:hAnsi="Arial"/>
          <w:sz w:val="22"/>
          <w:szCs w:val="22"/>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3" w:lineRule="exact"/>
        <w:rPr>
          <w:sz w:val="20"/>
          <w:szCs w:val="20"/>
          <w:color w:val="auto"/>
        </w:rPr>
      </w:pPr>
    </w:p>
    <w:p>
      <w:pPr>
        <w:ind w:left="2080" w:right="200" w:hanging="293"/>
        <w:spacing w:after="0" w:line="232" w:lineRule="auto"/>
        <w:tabs>
          <w:tab w:leader="none" w:pos="208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right="220" w:hanging="293"/>
        <w:spacing w:after="0" w:line="264" w:lineRule="auto"/>
        <w:tabs>
          <w:tab w:leader="none" w:pos="2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7"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We and the trustee may amend or supplement the senior indenture or the senior debt securities without notice to or the consent of any holder:</w:t>
      </w:r>
    </w:p>
    <w:p>
      <w:pPr>
        <w:spacing w:after="0" w:line="76" w:lineRule="exact"/>
        <w:rPr>
          <w:sz w:val="20"/>
          <w:szCs w:val="20"/>
          <w:color w:val="auto"/>
        </w:rPr>
      </w:pPr>
    </w:p>
    <w:p>
      <w:pPr>
        <w:ind w:left="1400" w:hanging="302"/>
        <w:spacing w:after="0" w:line="277"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17" w:lineRule="exact"/>
        <w:rPr>
          <w:rFonts w:ascii="Arial" w:cs="Arial" w:eastAsia="Arial" w:hAnsi="Arial"/>
          <w:sz w:val="18"/>
          <w:szCs w:val="18"/>
          <w:color w:val="auto"/>
        </w:rPr>
      </w:pPr>
    </w:p>
    <w:p>
      <w:pPr>
        <w:ind w:left="1400" w:right="580" w:hanging="302"/>
        <w:spacing w:after="0" w:line="277"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17" w:lineRule="exact"/>
        <w:rPr>
          <w:rFonts w:ascii="Arial" w:cs="Arial" w:eastAsia="Arial" w:hAnsi="Arial"/>
          <w:sz w:val="18"/>
          <w:szCs w:val="18"/>
          <w:color w:val="auto"/>
        </w:rPr>
      </w:pPr>
    </w:p>
    <w:p>
      <w:pPr>
        <w:ind w:left="1400" w:right="100" w:hanging="302"/>
        <w:spacing w:after="0" w:line="264" w:lineRule="auto"/>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31" w:lineRule="exact"/>
        <w:rPr>
          <w:sz w:val="20"/>
          <w:szCs w:val="20"/>
          <w:color w:val="auto"/>
        </w:rPr>
      </w:pPr>
    </w:p>
    <w:p>
      <w:pPr>
        <w:jc w:val="both"/>
        <w:ind w:left="700" w:right="280" w:firstLine="397"/>
        <w:spacing w:after="0" w:line="273"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84" w:lineRule="exact"/>
        <w:rPr>
          <w:sz w:val="20"/>
          <w:szCs w:val="20"/>
          <w:color w:val="auto"/>
        </w:rPr>
      </w:pPr>
    </w:p>
    <w:p>
      <w:pPr>
        <w:ind w:left="1400" w:right="140" w:hanging="302"/>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17" w:lineRule="exact"/>
        <w:rPr>
          <w:rFonts w:ascii="Arial" w:cs="Arial" w:eastAsia="Arial" w:hAnsi="Arial"/>
          <w:sz w:val="18"/>
          <w:szCs w:val="18"/>
          <w:color w:val="auto"/>
        </w:rPr>
      </w:pPr>
    </w:p>
    <w:p>
      <w:pPr>
        <w:ind w:left="1400" w:right="340" w:hanging="302"/>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the senior debt securities of the affected series;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30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17" w:lineRule="exact"/>
        <w:rPr>
          <w:rFonts w:ascii="Arial" w:cs="Arial" w:eastAsia="Arial" w:hAnsi="Arial"/>
          <w:sz w:val="18"/>
          <w:szCs w:val="18"/>
          <w:color w:val="auto"/>
        </w:rPr>
      </w:pPr>
    </w:p>
    <w:p>
      <w:pPr>
        <w:ind w:left="1400" w:right="40" w:hanging="302"/>
        <w:spacing w:after="0" w:line="264"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73" w:lineRule="exact"/>
        <w:rPr>
          <w:rFonts w:ascii="Arial" w:cs="Arial" w:eastAsia="Arial" w:hAnsi="Arial"/>
          <w:sz w:val="18"/>
          <w:szCs w:val="18"/>
          <w:color w:val="auto"/>
        </w:rPr>
      </w:pPr>
    </w:p>
    <w:p>
      <w:pPr>
        <w:ind w:left="1400" w:right="160" w:hanging="302"/>
        <w:spacing w:after="0" w:line="308" w:lineRule="auto"/>
        <w:tabs>
          <w:tab w:leader="none" w:pos="1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38" w:lineRule="exact"/>
        <w:rPr>
          <w:rFonts w:ascii="Arial" w:cs="Arial" w:eastAsia="Arial" w:hAnsi="Arial"/>
          <w:sz w:val="17"/>
          <w:szCs w:val="17"/>
          <w:color w:val="auto"/>
        </w:rPr>
      </w:pPr>
    </w:p>
    <w:p>
      <w:pPr>
        <w:ind w:left="1400" w:right="320" w:hanging="302"/>
        <w:spacing w:after="0" w:line="277"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17"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62" w:lineRule="exact"/>
        <w:rPr>
          <w:rFonts w:ascii="Arial" w:cs="Arial" w:eastAsia="Arial" w:hAnsi="Arial"/>
          <w:sz w:val="18"/>
          <w:szCs w:val="18"/>
          <w:color w:val="auto"/>
        </w:rPr>
      </w:pPr>
    </w:p>
    <w:p>
      <w:pPr>
        <w:ind w:left="1400" w:right="80" w:hanging="302"/>
        <w:spacing w:after="0" w:line="264"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73" w:lineRule="exact"/>
        <w:rPr>
          <w:rFonts w:ascii="Arial" w:cs="Arial" w:eastAsia="Arial" w:hAnsi="Arial"/>
          <w:sz w:val="18"/>
          <w:szCs w:val="18"/>
          <w:color w:val="auto"/>
        </w:rPr>
      </w:pPr>
    </w:p>
    <w:p>
      <w:pPr>
        <w:ind w:left="1400" w:right="740" w:hanging="302"/>
        <w:spacing w:after="0" w:line="342" w:lineRule="auto"/>
        <w:tabs>
          <w:tab w:leader="none" w:pos="14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29"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31"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31"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Governing Law</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senior indenture and the debt securities will be governed by, and construed in accordance with, the internal laws of the State of New York.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The Trustees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may have normal banking relationships with the trustee under the senior indenture in the ordinary course of business.</w:t>
      </w:r>
    </w:p>
    <w:p>
      <w:pPr>
        <w:spacing w:after="0" w:line="14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6"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35" w:lineRule="exact"/>
        <w:rPr>
          <w:sz w:val="20"/>
          <w:szCs w:val="20"/>
          <w:color w:val="auto"/>
        </w:rPr>
      </w:pPr>
    </w:p>
    <w:p>
      <w:pPr>
        <w:jc w:val="both"/>
        <w:ind w:left="700" w:right="520" w:firstLine="397"/>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6"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Subordination</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87" w:lineRule="exact"/>
        <w:rPr>
          <w:sz w:val="20"/>
          <w:szCs w:val="20"/>
          <w:color w:val="auto"/>
        </w:rPr>
      </w:pPr>
    </w:p>
    <w:p>
      <w:pPr>
        <w:jc w:val="both"/>
        <w:ind w:left="700" w:right="260" w:firstLine="397"/>
        <w:spacing w:after="0" w:line="277"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w:t>
      </w:r>
    </w:p>
    <w:p>
      <w:pPr>
        <w:spacing w:after="0" w:line="76"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87" w:lineRule="exact"/>
        <w:rPr>
          <w:sz w:val="20"/>
          <w:szCs w:val="20"/>
          <w:color w:val="auto"/>
        </w:rPr>
      </w:pPr>
    </w:p>
    <w:p>
      <w:pPr>
        <w:ind w:left="1400" w:right="260" w:hanging="302"/>
        <w:spacing w:after="0" w:line="286" w:lineRule="auto"/>
        <w:tabs>
          <w:tab w:leader="none" w:pos="1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3" w:lineRule="exact"/>
        <w:rPr>
          <w:rFonts w:ascii="Arial" w:cs="Arial" w:eastAsia="Arial" w:hAnsi="Arial"/>
          <w:sz w:val="17"/>
          <w:szCs w:val="17"/>
          <w:color w:val="auto"/>
        </w:rPr>
      </w:pPr>
    </w:p>
    <w:p>
      <w:pPr>
        <w:ind w:left="1400" w:hanging="302"/>
        <w:spacing w:after="0"/>
        <w:tabs>
          <w:tab w:leader="none" w:pos="1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securities sold by that person for money;</w:t>
      </w:r>
    </w:p>
    <w:p>
      <w:pPr>
        <w:spacing w:after="0" w:line="86" w:lineRule="exact"/>
        <w:rPr>
          <w:rFonts w:ascii="Arial" w:cs="Arial" w:eastAsia="Arial" w:hAnsi="Arial"/>
          <w:sz w:val="16"/>
          <w:szCs w:val="16"/>
          <w:color w:val="auto"/>
        </w:rPr>
      </w:pPr>
    </w:p>
    <w:p>
      <w:pPr>
        <w:ind w:left="1400" w:right="120" w:hanging="302"/>
        <w:spacing w:after="0" w:line="277"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of the lease obligations which are capitalized on the books of that person in accordance with generally accepted accounting principles;</w:t>
      </w:r>
    </w:p>
    <w:p>
      <w:pPr>
        <w:spacing w:after="0" w:line="8" w:lineRule="exact"/>
        <w:rPr>
          <w:rFonts w:ascii="Arial" w:cs="Arial" w:eastAsia="Arial" w:hAnsi="Arial"/>
          <w:sz w:val="18"/>
          <w:szCs w:val="18"/>
          <w:color w:val="auto"/>
        </w:rPr>
      </w:pPr>
    </w:p>
    <w:p>
      <w:pPr>
        <w:ind w:left="1400" w:right="120" w:hanging="302"/>
        <w:spacing w:after="0" w:line="286" w:lineRule="auto"/>
        <w:tabs>
          <w:tab w:leader="none" w:pos="1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3" w:lineRule="exact"/>
        <w:rPr>
          <w:rFonts w:ascii="Arial" w:cs="Arial" w:eastAsia="Arial" w:hAnsi="Arial"/>
          <w:sz w:val="17"/>
          <w:szCs w:val="17"/>
          <w:color w:val="auto"/>
        </w:rPr>
      </w:pPr>
    </w:p>
    <w:p>
      <w:pPr>
        <w:ind w:left="1400" w:right="280" w:hanging="302"/>
        <w:spacing w:after="0" w:line="306" w:lineRule="auto"/>
        <w:tabs>
          <w:tab w:leader="none" w:pos="14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assumption or guarantee relating to it expressly provides that such</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9" w:lineRule="auto"/>
        <w:rPr>
          <w:sz w:val="20"/>
          <w:szCs w:val="20"/>
          <w:color w:val="auto"/>
        </w:rPr>
      </w:pPr>
      <w:r>
        <w:rPr>
          <w:rFonts w:ascii="Arial" w:cs="Arial" w:eastAsia="Arial" w:hAnsi="Arial"/>
          <w:sz w:val="17"/>
          <w:szCs w:val="17"/>
          <w:color w:val="auto"/>
        </w:rPr>
        <w:t>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Convertible Debt Securities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9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6"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94"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6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6" w:lineRule="exact"/>
        <w:rPr>
          <w:sz w:val="20"/>
          <w:szCs w:val="20"/>
          <w:color w:val="auto"/>
        </w:rPr>
      </w:pPr>
    </w:p>
    <w:p>
      <w:pPr>
        <w:ind w:left="1400" w:right="600" w:hanging="302"/>
        <w:spacing w:after="0" w:line="277"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 w:lineRule="exact"/>
        <w:rPr>
          <w:rFonts w:ascii="Arial" w:cs="Arial" w:eastAsia="Arial" w:hAnsi="Arial"/>
          <w:sz w:val="18"/>
          <w:szCs w:val="18"/>
          <w:color w:val="auto"/>
        </w:rPr>
      </w:pPr>
    </w:p>
    <w:p>
      <w:pPr>
        <w:ind w:left="1400" w:right="560" w:hanging="302"/>
        <w:spacing w:after="0" w:line="277" w:lineRule="auto"/>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8" w:lineRule="exact"/>
        <w:rPr>
          <w:rFonts w:ascii="Arial" w:cs="Arial" w:eastAsia="Arial" w:hAnsi="Arial"/>
          <w:sz w:val="18"/>
          <w:szCs w:val="18"/>
          <w:color w:val="auto"/>
        </w:rPr>
      </w:pPr>
    </w:p>
    <w:p>
      <w:pPr>
        <w:ind w:left="1400" w:right="360" w:hanging="302"/>
        <w:spacing w:after="0" w:line="305" w:lineRule="auto"/>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ind w:left="1400" w:right="140" w:hanging="302"/>
        <w:spacing w:after="0" w:line="317" w:lineRule="auto"/>
        <w:tabs>
          <w:tab w:leader="none" w:pos="14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ind w:left="1400" w:hanging="302"/>
        <w:spacing w:after="0"/>
        <w:tabs>
          <w:tab w:leader="none" w:pos="1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7"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GLOBAL SECURITIES</w:t>
      </w:r>
    </w:p>
    <w:p>
      <w:pPr>
        <w:spacing w:after="0" w:line="135" w:lineRule="exact"/>
        <w:rPr>
          <w:sz w:val="20"/>
          <w:szCs w:val="20"/>
          <w:color w:val="auto"/>
        </w:rPr>
      </w:pPr>
    </w:p>
    <w:p>
      <w:pPr>
        <w:ind w:left="700" w:right="140" w:firstLine="397"/>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2"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7"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83"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7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interests in such global security or for maintaining, supervising or reviewing any records relating to such beneficial ownership interests.</w:t>
      </w:r>
    </w:p>
    <w:p>
      <w:pPr>
        <w:spacing w:after="0" w:line="15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9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87"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7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Rights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87" w:lineRule="exact"/>
        <w:rPr>
          <w:sz w:val="20"/>
          <w:szCs w:val="20"/>
          <w:color w:val="auto"/>
        </w:rPr>
      </w:pPr>
    </w:p>
    <w:p>
      <w:pPr>
        <w:ind w:left="700" w:right="560" w:firstLine="397"/>
        <w:spacing w:after="0" w:line="268"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aggregate voting power of our capital stock as of February 28, 2006.</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Class A Common Stock has the number of votes equal to a quotient the numerator of which is the excess of</w:t>
      </w:r>
    </w:p>
    <w:p>
      <w:pPr>
        <w:spacing w:after="0" w:line="35" w:lineRule="exact"/>
        <w:rPr>
          <w:sz w:val="20"/>
          <w:szCs w:val="20"/>
          <w:color w:val="auto"/>
        </w:rPr>
      </w:pPr>
    </w:p>
    <w:p>
      <w:pPr>
        <w:ind w:left="700" w:right="80" w:hanging="7"/>
        <w:spacing w:after="0" w:line="281" w:lineRule="auto"/>
        <w:tabs>
          <w:tab w:leader="none" w:pos="9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rFonts w:ascii="Arial" w:cs="Arial" w:eastAsia="Arial" w:hAnsi="Arial"/>
          <w:sz w:val="16"/>
          <w:szCs w:val="16"/>
          <w:color w:val="auto"/>
        </w:rPr>
      </w:pPr>
    </w:p>
    <w:p>
      <w:pPr>
        <w:ind w:left="700" w:hanging="7"/>
        <w:spacing w:after="0" w:line="235" w:lineRule="auto"/>
        <w:tabs>
          <w:tab w:leader="none" w:pos="9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subject to reduction as described below.</w:t>
      </w:r>
    </w:p>
    <w:p>
      <w:pPr>
        <w:spacing w:after="0" w:line="109" w:lineRule="exact"/>
        <w:rPr>
          <w:sz w:val="20"/>
          <w:szCs w:val="20"/>
          <w:color w:val="auto"/>
        </w:rPr>
      </w:pPr>
    </w:p>
    <w:p>
      <w:pPr>
        <w:jc w:val="both"/>
        <w:ind w:left="700" w:right="20" w:firstLine="397"/>
        <w:spacing w:after="0" w:line="226" w:lineRule="auto"/>
        <w:rPr>
          <w:sz w:val="20"/>
          <w:szCs w:val="20"/>
          <w:color w:val="auto"/>
        </w:rPr>
      </w:pPr>
      <w:r>
        <w:rPr>
          <w:rFonts w:ascii="Arial" w:cs="Arial" w:eastAsia="Arial" w:hAnsi="Arial"/>
          <w:sz w:val="18"/>
          <w:szCs w:val="18"/>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aggregate voting power of our capital stock, regardless of the number of shares of our Class A Common Stock or any other</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342" w:lineRule="auto"/>
        <w:rPr>
          <w:sz w:val="20"/>
          <w:szCs w:val="20"/>
          <w:color w:val="auto"/>
        </w:rPr>
      </w:pPr>
      <w:r>
        <w:rPr>
          <w:rFonts w:ascii="Arial" w:cs="Arial" w:eastAsia="Arial" w:hAnsi="Arial"/>
          <w:sz w:val="16"/>
          <w:szCs w:val="16"/>
          <w:color w:val="auto"/>
        </w:rPr>
        <w:t>class of our capital stock outstanding at any time. If the number of shares of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conversion), the aggregate voting power of our Class B Common Stock will be proportionately reduced.</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share of our Class B Common Stock has 15 votes.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Approval Rights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Shareholder</w:t>
      </w:r>
    </w:p>
    <w:p>
      <w:pPr>
        <w:spacing w:after="0" w:line="13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7"/>
          <w:szCs w:val="17"/>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Conversion of Class B Common Stock</w:t>
      </w:r>
    </w:p>
    <w:p>
      <w:pPr>
        <w:spacing w:after="0" w:line="13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Preference on Liquidation</w:t>
      </w:r>
    </w:p>
    <w:p>
      <w:pPr>
        <w:spacing w:after="0" w:line="135"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Mergers, Consolidations, Etc.</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6"/>
          <w:szCs w:val="16"/>
          <w:i w:val="1"/>
          <w:iCs w:val="1"/>
          <w:color w:val="auto"/>
        </w:rPr>
        <w:t>i.e.</w:t>
      </w:r>
      <w:r>
        <w:rPr>
          <w:rFonts w:ascii="Arial" w:cs="Arial" w:eastAsia="Arial" w:hAnsi="Arial"/>
          <w:sz w:val="16"/>
          <w:szCs w:val="16"/>
          <w:color w:val="auto"/>
        </w:rPr>
        <w:t>, shares of a class of stock having substantially equivalent rights as the applicable class of our common stock).</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6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 Rights Plan</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87"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b w:val="1"/>
          <w:bCs w:val="1"/>
          <w:i w:val="1"/>
          <w:iCs w:val="1"/>
          <w:color w:val="auto"/>
        </w:rPr>
        <w:t xml:space="preserve">The Rights. </w:t>
      </w:r>
      <w:r>
        <w:rPr>
          <w:rFonts w:ascii="Arial" w:cs="Arial" w:eastAsia="Arial" w:hAnsi="Arial"/>
          <w:sz w:val="16"/>
          <w:szCs w:val="16"/>
          <w:color w:val="auto"/>
        </w:rPr>
        <w:t>Pursuant to the rights agreement, our board declared on November 18, 2002 a dividend of one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right (the “Rights”) 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rights agreement includes antidilution provisions designed to prevent efforts to diminish the effectiveness of the Rights.</w:t>
      </w:r>
    </w:p>
    <w:p>
      <w:pPr>
        <w:spacing w:after="0" w:line="14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Prior to the Distribution Date, (1) the Rights will be evidenced by the certificates of the relevant underlying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64" w:lineRule="exact"/>
        <w:rPr>
          <w:sz w:val="20"/>
          <w:szCs w:val="20"/>
          <w:color w:val="auto"/>
        </w:rPr>
      </w:pPr>
    </w:p>
    <w:p>
      <w:pPr>
        <w:jc w:val="both"/>
        <w:ind w:left="700" w:right="560" w:firstLine="397"/>
        <w:spacing w:after="0" w:line="286" w:lineRule="auto"/>
        <w:rPr>
          <w:sz w:val="20"/>
          <w:szCs w:val="20"/>
          <w:color w:val="auto"/>
        </w:rPr>
      </w:pPr>
      <w:r>
        <w:rPr>
          <w:rFonts w:ascii="Arial" w:cs="Arial" w:eastAsia="Arial" w:hAnsi="Arial"/>
          <w:sz w:val="17"/>
          <w:szCs w:val="17"/>
          <w:b w:val="1"/>
          <w:bCs w:val="1"/>
          <w:i w:val="1"/>
          <w:iCs w:val="1"/>
          <w:color w:val="auto"/>
        </w:rPr>
        <w:t xml:space="preserve">Exercisability. </w:t>
      </w:r>
      <w:r>
        <w:rPr>
          <w:rFonts w:ascii="Arial" w:cs="Arial" w:eastAsia="Arial" w:hAnsi="Arial"/>
          <w:sz w:val="17"/>
          <w:szCs w:val="17"/>
          <w:color w:val="auto"/>
        </w:rPr>
        <w:t>The Rights will not be exercisable prior to the Distribution Date. After the Distribution Date, but prior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occurrence of an event described below under “—‘Flip In’ Feature” or “—‘Flip Over’ Feature,” each Right will be exercisable to purchase for $125 one one-thousandth of a share of our Series A Participating Cumulative Preferred Stock.</w:t>
      </w:r>
    </w:p>
    <w:p>
      <w:pPr>
        <w:spacing w:after="0" w:line="7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spacing w:after="0" w:line="264" w:lineRule="auto"/>
        <w:rPr>
          <w:sz w:val="20"/>
          <w:szCs w:val="20"/>
          <w:color w:val="auto"/>
        </w:rPr>
      </w:pPr>
      <w:r>
        <w:rPr>
          <w:rFonts w:ascii="Arial" w:cs="Arial" w:eastAsia="Arial" w:hAnsi="Arial"/>
          <w:sz w:val="18"/>
          <w:szCs w:val="18"/>
          <w:color w:val="auto"/>
        </w:rPr>
        <w:t>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b w:val="1"/>
          <w:bCs w:val="1"/>
          <w:i w:val="1"/>
          <w:iCs w:val="1"/>
          <w:color w:val="auto"/>
        </w:rPr>
        <w:t xml:space="preserve">“Exchange” Feature. </w:t>
      </w:r>
      <w:r>
        <w:rPr>
          <w:rFonts w:ascii="Arial" w:cs="Arial" w:eastAsia="Arial" w:hAnsi="Arial"/>
          <w:sz w:val="18"/>
          <w:szCs w:val="18"/>
          <w:color w:val="auto"/>
        </w:rPr>
        <w:t>At any time after a person becomes an Acquiring Person (but before any person becomes the beneficial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99" w:lineRule="exact"/>
        <w:rPr>
          <w:sz w:val="20"/>
          <w:szCs w:val="20"/>
          <w:color w:val="auto"/>
        </w:rPr>
      </w:pPr>
    </w:p>
    <w:p>
      <w:pPr>
        <w:ind w:left="700" w:right="380" w:firstLine="397"/>
        <w:spacing w:after="0" w:line="291" w:lineRule="auto"/>
        <w:rPr>
          <w:sz w:val="20"/>
          <w:szCs w:val="20"/>
          <w:color w:val="auto"/>
        </w:rPr>
      </w:pPr>
      <w:r>
        <w:rPr>
          <w:rFonts w:ascii="Arial" w:cs="Arial" w:eastAsia="Arial" w:hAnsi="Arial"/>
          <w:sz w:val="16"/>
          <w:szCs w:val="16"/>
          <w:b w:val="1"/>
          <w:bCs w:val="1"/>
          <w:i w:val="1"/>
          <w:iCs w:val="1"/>
          <w:color w:val="auto"/>
        </w:rPr>
        <w:t xml:space="preserve">“Flip Over” Feature. </w:t>
      </w:r>
      <w:r>
        <w:rPr>
          <w:rFonts w:ascii="Arial" w:cs="Arial" w:eastAsia="Arial" w:hAnsi="Arial"/>
          <w:sz w:val="16"/>
          <w:szCs w:val="16"/>
          <w:color w:val="auto"/>
        </w:rPr>
        <w:t>If, after a person becomes an Acquiring Person, (1) we are involved in a merger or other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which we are not the surviving corporation or any of our common stock is exchanged for other securities or assets or</w:t>
      </w:r>
    </w:p>
    <w:p>
      <w:pPr>
        <w:ind w:left="700" w:right="80" w:hanging="7"/>
        <w:spacing w:after="0" w:line="254" w:lineRule="auto"/>
        <w:tabs>
          <w:tab w:leader="none" w:pos="9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9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becomes an Acquiring Person. The right to exercise will terminate upon redemption, and at that time, holders of the Rights will have the right to receive only the redemption price for each Right they hold.</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b w:val="1"/>
          <w:bCs w:val="1"/>
          <w:i w:val="1"/>
          <w:iCs w:val="1"/>
          <w:color w:val="auto"/>
        </w:rPr>
        <w:t xml:space="preserve">Amendment of Rights. </w:t>
      </w:r>
      <w:r>
        <w:rPr>
          <w:rFonts w:ascii="Arial" w:cs="Arial" w:eastAsia="Arial" w:hAnsi="Arial"/>
          <w:sz w:val="18"/>
          <w:szCs w:val="18"/>
          <w:color w:val="auto"/>
        </w:rPr>
        <w:t>For so long as the Rights are redeemable, the rights agreement may be amended in any respect. At any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92"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exchanged.</w:t>
      </w:r>
    </w:p>
    <w:p>
      <w:pPr>
        <w:spacing w:after="0" w:line="76"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b w:val="1"/>
          <w:bCs w:val="1"/>
          <w:i w:val="1"/>
          <w:iCs w:val="1"/>
          <w:color w:val="auto"/>
        </w:rPr>
        <w:t xml:space="preserve">Anti-Takeover Effects. </w:t>
      </w:r>
      <w:r>
        <w:rPr>
          <w:rFonts w:ascii="Arial" w:cs="Arial" w:eastAsia="Arial" w:hAnsi="Arial"/>
          <w:sz w:val="18"/>
          <w:szCs w:val="18"/>
          <w:color w:val="auto"/>
        </w:rPr>
        <w:t>The Rights have certain anti-takeover effects. The Rights may cause substantial dilution to a person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92"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b w:val="1"/>
          <w:bCs w:val="1"/>
          <w:i w:val="1"/>
          <w:iCs w:val="1"/>
          <w:color w:val="auto"/>
        </w:rPr>
        <w:t xml:space="preserve">Taxation. </w:t>
      </w:r>
      <w:r>
        <w:rPr>
          <w:rFonts w:ascii="Arial" w:cs="Arial" w:eastAsia="Arial" w:hAnsi="Arial"/>
          <w:sz w:val="17"/>
          <w:szCs w:val="17"/>
          <w:color w:val="auto"/>
        </w:rPr>
        <w:t>While the dividend of the Rights was not taxable to stockholders or to us, stockholders or we may, depending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recognize taxable income in the event that the Rights become exercisable as set forth above.</w:t>
      </w:r>
    </w:p>
    <w:p>
      <w:pPr>
        <w:spacing w:after="0" w:line="52"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b w:val="1"/>
          <w:bCs w:val="1"/>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designated as 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31" w:lineRule="exact"/>
        <w:rPr>
          <w:sz w:val="20"/>
          <w:szCs w:val="20"/>
          <w:color w:val="auto"/>
        </w:rPr>
      </w:pPr>
    </w:p>
    <w:p>
      <w:pPr>
        <w:ind w:left="1400" w:hanging="302"/>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7"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0" w:lineRule="exact"/>
        <w:rPr>
          <w:sz w:val="20"/>
          <w:szCs w:val="20"/>
          <w:color w:val="auto"/>
        </w:rPr>
      </w:pPr>
    </w:p>
    <w:p>
      <w:pPr>
        <w:ind w:left="700" w:right="680" w:firstLine="397"/>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260" w:firstLine="397"/>
        <w:spacing w:after="0" w:line="302" w:lineRule="auto"/>
        <w:rPr>
          <w:sz w:val="20"/>
          <w:szCs w:val="20"/>
          <w:color w:val="auto"/>
        </w:rPr>
      </w:pPr>
      <w:r>
        <w:rPr>
          <w:rFonts w:ascii="Arial" w:cs="Arial" w:eastAsia="Arial" w:hAnsi="Arial"/>
          <w:sz w:val="16"/>
          <w:szCs w:val="16"/>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7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83"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7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1400" w:hanging="302"/>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117" w:lineRule="exact"/>
        <w:rPr>
          <w:rFonts w:ascii="Arial" w:cs="Arial" w:eastAsia="Arial" w:hAnsi="Arial"/>
          <w:sz w:val="18"/>
          <w:szCs w:val="18"/>
          <w:color w:val="auto"/>
        </w:rPr>
      </w:pPr>
    </w:p>
    <w:p>
      <w:pPr>
        <w:ind w:left="1400" w:right="120" w:hanging="302"/>
        <w:spacing w:after="0" w:line="277" w:lineRule="auto"/>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17" w:lineRule="exact"/>
        <w:rPr>
          <w:rFonts w:ascii="Arial" w:cs="Arial" w:eastAsia="Arial" w:hAnsi="Arial"/>
          <w:sz w:val="18"/>
          <w:szCs w:val="18"/>
          <w:color w:val="auto"/>
        </w:rPr>
      </w:pPr>
    </w:p>
    <w:p>
      <w:pPr>
        <w:ind w:left="1400" w:right="420" w:hanging="302"/>
        <w:spacing w:after="0" w:line="308" w:lineRule="auto"/>
        <w:tabs>
          <w:tab w:leader="none" w:pos="14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description of our capital stock incorporated in our Current Report on Form 8-K12G3 and Registration Statement on Form 8-A12G, each filed on November 18, 2002, as the same may be amended from time to time.</w:t>
      </w:r>
    </w:p>
    <w:p>
      <w:pPr>
        <w:spacing w:after="0" w:line="5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400685</wp:posOffset>
            </wp:positionV>
            <wp:extent cx="1431925"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$550,000,000 6.625% Notes due 2056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-127635</wp:posOffset>
            </wp:positionV>
            <wp:extent cx="2452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237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17145</wp:posOffset>
            </wp:positionV>
            <wp:extent cx="24523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tcPr>
          <w:p>
            <w:pPr>
              <w:jc w:val="center"/>
              <w:ind w:right="84"/>
              <w:spacing w:after="0"/>
              <w:rPr>
                <w:sz w:val="20"/>
                <w:szCs w:val="20"/>
                <w:color w:val="auto"/>
              </w:rPr>
            </w:pPr>
            <w:r>
              <w:rPr>
                <w:rFonts w:ascii="Arial" w:cs="Arial" w:eastAsia="Arial" w:hAnsi="Arial"/>
                <w:sz w:val="18"/>
                <w:szCs w:val="18"/>
                <w:i w:val="1"/>
                <w:iCs w:val="1"/>
                <w:color w:val="auto"/>
                <w:w w:val="91"/>
              </w:rPr>
              <w:t>Joint Book-Running Managers</w:t>
            </w:r>
          </w:p>
        </w:tc>
        <w:tc>
          <w:tcPr>
            <w:tcW w:w="3560" w:type="dxa"/>
            <w:vAlign w:val="bottom"/>
          </w:tcPr>
          <w:p>
            <w:pPr>
              <w:spacing w:after="0"/>
              <w:rPr>
                <w:sz w:val="20"/>
                <w:szCs w:val="20"/>
                <w:color w:val="auto"/>
              </w:rPr>
            </w:pPr>
          </w:p>
        </w:tc>
      </w:tr>
      <w:tr>
        <w:trPr>
          <w:trHeight w:val="340"/>
        </w:trPr>
        <w:tc>
          <w:tcPr>
            <w:tcW w:w="3720" w:type="dxa"/>
            <w:vAlign w:val="bottom"/>
            <w:gridSpan w:val="2"/>
          </w:tcPr>
          <w:p>
            <w:pPr>
              <w:spacing w:after="0"/>
              <w:rPr>
                <w:sz w:val="20"/>
                <w:szCs w:val="20"/>
                <w:color w:val="auto"/>
              </w:rPr>
            </w:pPr>
            <w:r>
              <w:rPr>
                <w:rFonts w:ascii="Arial" w:cs="Arial" w:eastAsia="Arial" w:hAnsi="Arial"/>
                <w:sz w:val="23"/>
                <w:szCs w:val="23"/>
                <w:b w:val="1"/>
                <w:bCs w:val="1"/>
                <w:color w:val="auto"/>
              </w:rPr>
              <w:t>Citi</w:t>
            </w:r>
          </w:p>
        </w:tc>
        <w:tc>
          <w:tcPr>
            <w:tcW w:w="264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23"/>
                <w:szCs w:val="23"/>
                <w:b w:val="1"/>
                <w:bCs w:val="1"/>
                <w:color w:val="auto"/>
              </w:rPr>
              <w:t>Merrill Lynch &amp; Co.</w:t>
            </w:r>
          </w:p>
        </w:tc>
      </w:tr>
      <w:tr>
        <w:trPr>
          <w:trHeight w:val="349"/>
        </w:trPr>
        <w:tc>
          <w:tcPr>
            <w:tcW w:w="17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4"/>
        </w:trPr>
        <w:tc>
          <w:tcPr>
            <w:tcW w:w="3720" w:type="dxa"/>
            <w:vAlign w:val="bottom"/>
            <w:gridSpan w:val="2"/>
          </w:tcPr>
          <w:p>
            <w:pPr>
              <w:spacing w:after="0"/>
              <w:rPr>
                <w:sz w:val="20"/>
                <w:szCs w:val="20"/>
                <w:color w:val="auto"/>
              </w:rPr>
            </w:pPr>
            <w:r>
              <w:rPr>
                <w:rFonts w:ascii="Arial" w:cs="Arial" w:eastAsia="Arial" w:hAnsi="Arial"/>
                <w:sz w:val="22"/>
                <w:szCs w:val="22"/>
                <w:b w:val="1"/>
                <w:bCs w:val="1"/>
                <w:color w:val="auto"/>
              </w:rPr>
              <w:t>Morgan Stanley</w:t>
            </w:r>
          </w:p>
        </w:tc>
        <w:tc>
          <w:tcPr>
            <w:tcW w:w="2640" w:type="dxa"/>
            <w:vAlign w:val="bottom"/>
          </w:tcPr>
          <w:p>
            <w:pPr>
              <w:ind w:left="340"/>
              <w:spacing w:after="0"/>
              <w:rPr>
                <w:sz w:val="20"/>
                <w:szCs w:val="20"/>
                <w:color w:val="auto"/>
              </w:rPr>
            </w:pPr>
            <w:r>
              <w:rPr>
                <w:rFonts w:ascii="Arial" w:cs="Arial" w:eastAsia="Arial" w:hAnsi="Arial"/>
                <w:sz w:val="22"/>
                <w:szCs w:val="22"/>
                <w:b w:val="1"/>
                <w:bCs w:val="1"/>
                <w:color w:val="auto"/>
                <w:w w:val="99"/>
              </w:rPr>
              <w:t>UBS Investment Bank</w:t>
            </w:r>
          </w:p>
        </w:tc>
        <w:tc>
          <w:tcPr>
            <w:tcW w:w="3560" w:type="dxa"/>
            <w:vAlign w:val="bottom"/>
          </w:tcPr>
          <w:p>
            <w:pPr>
              <w:jc w:val="right"/>
              <w:spacing w:after="0"/>
              <w:rPr>
                <w:sz w:val="20"/>
                <w:szCs w:val="20"/>
                <w:color w:val="auto"/>
              </w:rPr>
            </w:pPr>
            <w:r>
              <w:rPr>
                <w:rFonts w:ascii="Arial" w:cs="Arial" w:eastAsia="Arial" w:hAnsi="Arial"/>
                <w:sz w:val="22"/>
                <w:szCs w:val="22"/>
                <w:b w:val="1"/>
                <w:bCs w:val="1"/>
                <w:color w:val="auto"/>
              </w:rPr>
              <w:t>Wachovia Securities</w:t>
            </w:r>
          </w:p>
        </w:tc>
      </w:tr>
      <w:tr>
        <w:trPr>
          <w:trHeight w:val="328"/>
        </w:trPr>
        <w:tc>
          <w:tcPr>
            <w:tcW w:w="17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4"/>
        </w:trPr>
        <w:tc>
          <w:tcPr>
            <w:tcW w:w="3720" w:type="dxa"/>
            <w:vAlign w:val="bottom"/>
            <w:gridSpan w:val="2"/>
          </w:tcPr>
          <w:p>
            <w:pPr>
              <w:spacing w:after="0"/>
              <w:rPr>
                <w:sz w:val="20"/>
                <w:szCs w:val="20"/>
                <w:color w:val="auto"/>
              </w:rPr>
            </w:pPr>
            <w:r>
              <w:rPr>
                <w:rFonts w:ascii="Arial" w:cs="Arial" w:eastAsia="Arial" w:hAnsi="Arial"/>
                <w:sz w:val="22"/>
                <w:szCs w:val="22"/>
                <w:b w:val="1"/>
                <w:bCs w:val="1"/>
                <w:color w:val="auto"/>
              </w:rPr>
              <w:t>A.G. Edwards</w:t>
            </w:r>
          </w:p>
        </w:tc>
        <w:tc>
          <w:tcPr>
            <w:tcW w:w="264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22"/>
                <w:szCs w:val="22"/>
                <w:b w:val="1"/>
                <w:bCs w:val="1"/>
                <w:color w:val="auto"/>
              </w:rPr>
              <w:t>RBC Capital Markets</w:t>
            </w:r>
          </w:p>
        </w:tc>
      </w:tr>
      <w:tr>
        <w:trPr>
          <w:trHeight w:val="328"/>
        </w:trPr>
        <w:tc>
          <w:tcPr>
            <w:tcW w:w="178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33"/>
        </w:trPr>
        <w:tc>
          <w:tcPr>
            <w:tcW w:w="3720" w:type="dxa"/>
            <w:vAlign w:val="bottom"/>
            <w:gridSpan w:val="2"/>
          </w:tcPr>
          <w:p>
            <w:pPr>
              <w:jc w:val="center"/>
              <w:ind w:left="1136"/>
              <w:spacing w:after="0"/>
              <w:rPr>
                <w:sz w:val="20"/>
                <w:szCs w:val="20"/>
                <w:color w:val="auto"/>
              </w:rPr>
            </w:pPr>
            <w:r>
              <w:rPr>
                <w:rFonts w:ascii="Arial" w:cs="Arial" w:eastAsia="Arial" w:hAnsi="Arial"/>
                <w:sz w:val="16"/>
                <w:szCs w:val="16"/>
                <w:b w:val="1"/>
                <w:bCs w:val="1"/>
                <w:color w:val="auto"/>
                <w:w w:val="92"/>
              </w:rPr>
              <w:t>Banc of America Securities LLC</w:t>
            </w:r>
          </w:p>
        </w:tc>
        <w:tc>
          <w:tcPr>
            <w:tcW w:w="2640" w:type="dxa"/>
            <w:vAlign w:val="bottom"/>
          </w:tcPr>
          <w:p>
            <w:pPr>
              <w:spacing w:after="0"/>
              <w:rPr>
                <w:sz w:val="24"/>
                <w:szCs w:val="24"/>
                <w:color w:val="auto"/>
              </w:rPr>
            </w:pPr>
          </w:p>
        </w:tc>
        <w:tc>
          <w:tcPr>
            <w:tcW w:w="3560" w:type="dxa"/>
            <w:vAlign w:val="bottom"/>
          </w:tcPr>
          <w:p>
            <w:pPr>
              <w:jc w:val="right"/>
              <w:ind w:right="1461"/>
              <w:spacing w:after="0"/>
              <w:rPr>
                <w:sz w:val="20"/>
                <w:szCs w:val="20"/>
                <w:color w:val="auto"/>
              </w:rPr>
            </w:pPr>
            <w:r>
              <w:rPr>
                <w:rFonts w:ascii="Arial" w:cs="Arial" w:eastAsia="Arial" w:hAnsi="Arial"/>
                <w:sz w:val="16"/>
                <w:szCs w:val="16"/>
                <w:b w:val="1"/>
                <w:bCs w:val="1"/>
                <w:color w:val="auto"/>
              </w:rPr>
              <w:t>Deutsche Bank Securities</w:t>
            </w:r>
          </w:p>
        </w:tc>
      </w:tr>
      <w:tr>
        <w:trPr>
          <w:trHeight w:val="210"/>
        </w:trPr>
        <w:tc>
          <w:tcPr>
            <w:tcW w:w="1780" w:type="dxa"/>
            <w:vAlign w:val="bottom"/>
          </w:tcPr>
          <w:p>
            <w:pPr>
              <w:spacing w:after="0"/>
              <w:rPr>
                <w:sz w:val="18"/>
                <w:szCs w:val="18"/>
                <w:color w:val="auto"/>
              </w:rPr>
            </w:pPr>
          </w:p>
        </w:tc>
        <w:tc>
          <w:tcPr>
            <w:tcW w:w="1940" w:type="dxa"/>
            <w:vAlign w:val="bottom"/>
          </w:tcPr>
          <w:p>
            <w:pPr>
              <w:jc w:val="center"/>
              <w:ind w:right="479"/>
              <w:spacing w:after="0"/>
              <w:rPr>
                <w:sz w:val="20"/>
                <w:szCs w:val="20"/>
                <w:color w:val="auto"/>
              </w:rPr>
            </w:pPr>
            <w:r>
              <w:rPr>
                <w:rFonts w:ascii="Arial" w:cs="Arial" w:eastAsia="Arial" w:hAnsi="Arial"/>
                <w:sz w:val="16"/>
                <w:szCs w:val="16"/>
                <w:b w:val="1"/>
                <w:bCs w:val="1"/>
                <w:color w:val="auto"/>
                <w:w w:val="95"/>
              </w:rPr>
              <w:t>JPMorgan</w:t>
            </w:r>
          </w:p>
        </w:tc>
        <w:tc>
          <w:tcPr>
            <w:tcW w:w="2640" w:type="dxa"/>
            <w:vAlign w:val="bottom"/>
          </w:tcPr>
          <w:p>
            <w:pPr>
              <w:spacing w:after="0"/>
              <w:rPr>
                <w:sz w:val="18"/>
                <w:szCs w:val="18"/>
                <w:color w:val="auto"/>
              </w:rPr>
            </w:pPr>
          </w:p>
        </w:tc>
        <w:tc>
          <w:tcPr>
            <w:tcW w:w="3560" w:type="dxa"/>
            <w:vAlign w:val="bottom"/>
          </w:tcPr>
          <w:p>
            <w:pPr>
              <w:jc w:val="right"/>
              <w:ind w:right="1721"/>
              <w:spacing w:after="0"/>
              <w:rPr>
                <w:sz w:val="20"/>
                <w:szCs w:val="20"/>
                <w:color w:val="auto"/>
              </w:rPr>
            </w:pPr>
            <w:r>
              <w:rPr>
                <w:rFonts w:ascii="Arial" w:cs="Arial" w:eastAsia="Arial" w:hAnsi="Arial"/>
                <w:sz w:val="16"/>
                <w:szCs w:val="16"/>
                <w:b w:val="1"/>
                <w:bCs w:val="1"/>
                <w:color w:val="auto"/>
              </w:rPr>
              <w:t>Lehman Brothers</w:t>
            </w:r>
          </w:p>
        </w:tc>
      </w:tr>
      <w:tr>
        <w:trPr>
          <w:trHeight w:val="290"/>
        </w:trPr>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jc w:val="center"/>
              <w:ind w:right="64"/>
              <w:spacing w:after="0"/>
              <w:rPr>
                <w:sz w:val="20"/>
                <w:szCs w:val="20"/>
                <w:color w:val="auto"/>
              </w:rPr>
            </w:pPr>
            <w:r>
              <w:rPr>
                <w:rFonts w:ascii="Arial" w:cs="Arial" w:eastAsia="Arial" w:hAnsi="Arial"/>
                <w:sz w:val="18"/>
                <w:szCs w:val="18"/>
                <w:color w:val="auto"/>
                <w:w w:val="92"/>
              </w:rPr>
              <w:t>May 3, 2007</w:t>
            </w:r>
          </w:p>
        </w:tc>
        <w:tc>
          <w:tcPr>
            <w:tcW w:w="3560" w:type="dxa"/>
            <w:vAlign w:val="bottom"/>
          </w:tcPr>
          <w:p>
            <w:pPr>
              <w:spacing w:after="0"/>
              <w:rPr>
                <w:sz w:val="24"/>
                <w:szCs w:val="24"/>
                <w:color w:val="auto"/>
              </w:rPr>
            </w:pPr>
          </w:p>
        </w:tc>
      </w:tr>
      <w:tr>
        <w:trPr>
          <w:trHeight w:val="196"/>
        </w:trPr>
        <w:tc>
          <w:tcPr>
            <w:tcW w:w="17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620"/>
      </w:cols>
      <w:pgMar w:left="240" w:top="419" w:right="10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15"/>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1)"/>
      <w:numFmt w:val="lowerLetter"/>
      <w:start w:val="26"/>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lvl w:ilvl="1">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decimal"/>
      <w:start w:val="1"/>
    </w:lvl>
    <w:lvl w:ilvl="1">
      <w:lvlJc w:val="left"/>
      <w:lvlText w:val="(%2)"/>
      <w:numFmt w:val="lowerRoman"/>
      <w:start w:val="1"/>
    </w:lvl>
  </w:abstractNum>
  <w:abstractNum w:abstractNumId="17">
    <w:nsid w:val="5E884ADC"/>
    <w:multiLevelType w:val="hybridMultilevel"/>
    <w:lvl w:ilvl="0">
      <w:lvlJc w:val="left"/>
      <w:lvlText w:val="(%1)"/>
      <w:numFmt w:val="decimal"/>
      <w:start w:val="2"/>
    </w:lvl>
    <w:lvl w:ilvl="1">
      <w:lvlJc w:val="left"/>
      <w:lvlText w:val="(%2)"/>
      <w:numFmt w:val="lowerRoman"/>
      <w:start w:val="3"/>
    </w:lvl>
  </w:abstractNum>
  <w:abstractNum w:abstractNumId="18">
    <w:nsid w:val="51EAD36B"/>
    <w:multiLevelType w:val="hybridMultilevel"/>
    <w:lvl w:ilvl="0">
      <w:lvlJc w:val="left"/>
      <w:lvlText w:val="(%1)"/>
      <w:numFmt w:val="lowerRoman"/>
      <w:start w:val="1"/>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lowerRoman"/>
      <w:start w:val="2"/>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o"/>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o"/>
      <w:numFmt w:val="bullet"/>
      <w:start w:val="1"/>
    </w:lvl>
  </w:abstractNum>
  <w:abstractNum w:abstractNumId="35">
    <w:nsid w:val="7644A45C"/>
    <w:multiLevelType w:val="hybridMultilevel"/>
    <w:lvl w:ilvl="0">
      <w:lvlJc w:val="left"/>
      <w:lvlText w:val="o"/>
      <w:numFmt w:val="bullet"/>
      <w:start w:val="1"/>
    </w:lvl>
  </w:abstractNum>
  <w:abstractNum w:abstractNumId="36">
    <w:nsid w:val="32FFF902"/>
    <w:multiLevelType w:val="hybridMultilevel"/>
    <w:lvl w:ilvl="0">
      <w:lvlJc w:val="left"/>
      <w:lvlText w:val="•"/>
      <w:numFmt w:val="bullet"/>
      <w:start w:val="1"/>
    </w:lvl>
    <w:lvl w:ilvl="1">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1)"/>
      <w:numFmt w:val="decimal"/>
      <w:start w:val="3"/>
    </w:lvl>
    <w:lvl w:ilvl="1">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o"/>
      <w:numFmt w:val="bullet"/>
      <w:start w:val="1"/>
    </w:lvl>
  </w:abstractNum>
  <w:abstractNum w:abstractNumId="45">
    <w:nsid w:val="70C6A529"/>
    <w:multiLevelType w:val="hybridMultilevel"/>
    <w:lvl w:ilvl="0">
      <w:lvlJc w:val="left"/>
      <w:lvlText w:val="o"/>
      <w:numFmt w:val="bullet"/>
      <w:start w:val="1"/>
    </w:lvl>
  </w:abstractNum>
  <w:abstractNum w:abstractNumId="46">
    <w:nsid w:val="520EEDD1"/>
    <w:multiLevelType w:val="hybridMultilevel"/>
    <w:lvl w:ilvl="0">
      <w:lvlJc w:val="left"/>
      <w:lvlText w:val="•"/>
      <w:numFmt w:val="bullet"/>
      <w:start w:val="1"/>
    </w:lvl>
    <w:lvl w:ilvl="1">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o"/>
      <w:numFmt w:val="bullet"/>
      <w:start w:val="1"/>
    </w:lvl>
  </w:abstractNum>
  <w:abstractNum w:abstractNumId="49">
    <w:nsid w:val="23F9C13C"/>
    <w:multiLevelType w:val="hybridMultilevel"/>
    <w:lvl w:ilvl="0">
      <w:lvlJc w:val="left"/>
      <w:lvlText w:val="o"/>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2"/>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2019-12-15T06:42:10Z</dcterms:created>
  <dcterms:modified xsi:type="dcterms:W3CDTF">2019-12-15T06:42:10Z</dcterms:modified>
</cp:coreProperties>
</file>